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9A4605" w14:textId="55F1A016" w:rsidR="00E57C9A" w:rsidRDefault="00C81D6D" w:rsidP="00917210">
      <w:pPr>
        <w:pStyle w:val="Heading1"/>
      </w:pPr>
      <w:bookmarkStart w:id="0" w:name="_Toc133236145"/>
      <w:bookmarkStart w:id="1" w:name="_Toc133236171"/>
      <w:bookmarkStart w:id="2" w:name="_Toc143786729"/>
      <w:r>
        <w:rPr>
          <w:noProof/>
        </w:rPr>
        <mc:AlternateContent>
          <mc:Choice Requires="wps">
            <w:drawing>
              <wp:anchor distT="45720" distB="45720" distL="114300" distR="114300" simplePos="0" relativeHeight="251658240" behindDoc="0" locked="0" layoutInCell="1" allowOverlap="1" wp14:anchorId="5279710E" wp14:editId="6968CCC7">
                <wp:simplePos x="0" y="0"/>
                <wp:positionH relativeFrom="margin">
                  <wp:posOffset>-28575</wp:posOffset>
                </wp:positionH>
                <wp:positionV relativeFrom="paragraph">
                  <wp:posOffset>683895</wp:posOffset>
                </wp:positionV>
                <wp:extent cx="5864400" cy="8110800"/>
                <wp:effectExtent l="0" t="0" r="22225" b="2413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4400" cy="8110800"/>
                        </a:xfrm>
                        <a:prstGeom prst="rect">
                          <a:avLst/>
                        </a:prstGeom>
                        <a:solidFill>
                          <a:srgbClr val="E5F8FF"/>
                        </a:solidFill>
                        <a:ln w="9525">
                          <a:solidFill>
                            <a:sysClr val="window" lastClr="FFFFFF"/>
                          </a:solidFill>
                          <a:miter lim="800000"/>
                          <a:headEnd/>
                          <a:tailEnd/>
                        </a:ln>
                      </wps:spPr>
                      <wps:txbx>
                        <w:txbxContent>
                          <w:p w14:paraId="3067867E" w14:textId="7818B994" w:rsidR="00552A03" w:rsidRDefault="00552A03" w:rsidP="00001F40">
                            <w:pPr>
                              <w:pStyle w:val="Heading2"/>
                              <w:keepNext/>
                              <w:spacing w:before="120"/>
                            </w:pPr>
                            <w:r>
                              <w:t>Review outcome</w:t>
                            </w:r>
                            <w:r w:rsidR="0069611E">
                              <w:t>s</w:t>
                            </w:r>
                          </w:p>
                          <w:p w14:paraId="4B829C50" w14:textId="580A4840" w:rsidR="00A91C64" w:rsidRDefault="0066158B" w:rsidP="00A91C64">
                            <w:pPr>
                              <w:pStyle w:val="CGC2025Bullet1"/>
                            </w:pPr>
                            <w:r>
                              <w:t>During the 2025 Review, t</w:t>
                            </w:r>
                            <w:r w:rsidR="00D55FBC" w:rsidRPr="00D01D5C">
                              <w:t>he Commission</w:t>
                            </w:r>
                            <w:r w:rsidR="00D55FBC" w:rsidRPr="00D01D5C" w:rsidDel="008470D6">
                              <w:t xml:space="preserve"> </w:t>
                            </w:r>
                            <w:r w:rsidR="00B31E0F">
                              <w:t>delayed</w:t>
                            </w:r>
                            <w:r>
                              <w:t xml:space="preserve"> finalising the </w:t>
                            </w:r>
                            <w:r w:rsidR="00BB1EBC">
                              <w:t xml:space="preserve">review </w:t>
                            </w:r>
                            <w:r w:rsidR="00CC1FF0">
                              <w:t>and</w:t>
                            </w:r>
                            <w:r w:rsidR="00E6586E">
                              <w:t xml:space="preserve"> </w:t>
                            </w:r>
                            <w:r w:rsidR="00D55FBC" w:rsidRPr="00D01D5C">
                              <w:t>implement</w:t>
                            </w:r>
                            <w:r>
                              <w:t>ation</w:t>
                            </w:r>
                            <w:r w:rsidR="00D33558">
                              <w:t xml:space="preserve"> of</w:t>
                            </w:r>
                            <w:r w:rsidR="00271416">
                              <w:t xml:space="preserve"> method</w:t>
                            </w:r>
                            <w:r w:rsidR="00D55FBC" w:rsidRPr="00D01D5C">
                              <w:t xml:space="preserve"> </w:t>
                            </w:r>
                            <w:r w:rsidR="00271416">
                              <w:t>changes</w:t>
                            </w:r>
                            <w:r w:rsidR="00CC1FF0">
                              <w:t xml:space="preserve"> to the </w:t>
                            </w:r>
                            <w:r w:rsidR="00DE1929">
                              <w:t>j</w:t>
                            </w:r>
                            <w:r w:rsidR="00CC1FF0">
                              <w:t>ustice assessment</w:t>
                            </w:r>
                            <w:r w:rsidR="00271416" w:rsidDel="00C013BC">
                              <w:t xml:space="preserve"> </w:t>
                            </w:r>
                            <w:r w:rsidR="00BE53D2">
                              <w:t>until</w:t>
                            </w:r>
                            <w:r w:rsidR="00D55FBC" w:rsidRPr="00D01D5C">
                              <w:t xml:space="preserve"> the 2026</w:t>
                            </w:r>
                            <w:r w:rsidR="00085DF9">
                              <w:t> </w:t>
                            </w:r>
                            <w:r w:rsidR="00D55FBC" w:rsidRPr="00D01D5C">
                              <w:t>Update</w:t>
                            </w:r>
                            <w:r w:rsidR="00C013BC">
                              <w:t xml:space="preserve"> to</w:t>
                            </w:r>
                            <w:r w:rsidR="00BE53D2">
                              <w:t xml:space="preserve"> allow the use of data that w</w:t>
                            </w:r>
                            <w:r w:rsidR="00D472E3">
                              <w:t>ere</w:t>
                            </w:r>
                            <w:r w:rsidR="00BE53D2">
                              <w:t xml:space="preserve"> not</w:t>
                            </w:r>
                            <w:r w:rsidR="00401177">
                              <w:t xml:space="preserve"> unduly</w:t>
                            </w:r>
                            <w:r w:rsidR="00BE53D2">
                              <w:t xml:space="preserve"> </w:t>
                            </w:r>
                            <w:r w:rsidR="00786131">
                              <w:t>affected by the COVID</w:t>
                            </w:r>
                            <w:r w:rsidR="0070391A">
                              <w:t>-</w:t>
                            </w:r>
                            <w:r w:rsidR="00786131">
                              <w:t>19 pandemic</w:t>
                            </w:r>
                            <w:r w:rsidR="00C013BC">
                              <w:t xml:space="preserve"> and app</w:t>
                            </w:r>
                            <w:r w:rsidR="00FB2EAC">
                              <w:t xml:space="preserve">ropriate consultation with </w:t>
                            </w:r>
                            <w:r w:rsidR="00176825">
                              <w:t>stakeholders</w:t>
                            </w:r>
                            <w:r w:rsidR="00786131">
                              <w:t>.</w:t>
                            </w:r>
                          </w:p>
                          <w:p w14:paraId="242BA6B1" w14:textId="6FA436C1" w:rsidR="00D01D5C" w:rsidRDefault="00F75BB0" w:rsidP="00A91C64">
                            <w:pPr>
                              <w:pStyle w:val="CGC2025Bullet1"/>
                            </w:pPr>
                            <w:r>
                              <w:t xml:space="preserve">The </w:t>
                            </w:r>
                            <w:r w:rsidR="00170B7A">
                              <w:t>following changes were made to the assessment.</w:t>
                            </w:r>
                          </w:p>
                          <w:p w14:paraId="1735A127" w14:textId="5689C5E2" w:rsidR="00810C66" w:rsidRDefault="00DF2EB0" w:rsidP="004611E7">
                            <w:pPr>
                              <w:pStyle w:val="CGC2025Bullet2"/>
                            </w:pPr>
                            <w:r>
                              <w:t xml:space="preserve">The </w:t>
                            </w:r>
                            <w:r w:rsidR="00B3570E">
                              <w:t xml:space="preserve">police </w:t>
                            </w:r>
                            <w:r w:rsidR="00BA340B">
                              <w:t>regression will use a combined remote and very remote variabl</w:t>
                            </w:r>
                            <w:r w:rsidR="005A119C">
                              <w:t>e</w:t>
                            </w:r>
                            <w:r w:rsidR="00116727">
                              <w:t>.</w:t>
                            </w:r>
                            <w:r w:rsidR="00CC2939">
                              <w:t xml:space="preserve"> This change </w:t>
                            </w:r>
                            <w:r w:rsidR="009E0511">
                              <w:t xml:space="preserve">reflects that state data show remote areas cost more to police than </w:t>
                            </w:r>
                            <w:r w:rsidR="00765118">
                              <w:t>very remote areas.</w:t>
                            </w:r>
                            <w:r w:rsidR="004611E7">
                              <w:t xml:space="preserve"> </w:t>
                            </w:r>
                            <w:r w:rsidR="00B932D8">
                              <w:t xml:space="preserve">The Commission considers </w:t>
                            </w:r>
                            <w:r w:rsidR="00B932D8" w:rsidRPr="004611E7">
                              <w:t xml:space="preserve">it appropriate to combine remote and very remote cost weights </w:t>
                            </w:r>
                            <w:r w:rsidR="00B932D8" w:rsidRPr="00574A3E">
                              <w:t xml:space="preserve">as it is </w:t>
                            </w:r>
                            <w:r w:rsidR="004611E7" w:rsidRPr="00574A3E">
                              <w:t>too early to determine whether this relationship reflects a permanent change in what states do.</w:t>
                            </w:r>
                          </w:p>
                          <w:p w14:paraId="5CCC9DC4" w14:textId="532A66B4" w:rsidR="00170B7A" w:rsidRDefault="00116727" w:rsidP="00693E82">
                            <w:pPr>
                              <w:pStyle w:val="CGC2025Bullet2"/>
                            </w:pPr>
                            <w:r>
                              <w:t>Prior to running the</w:t>
                            </w:r>
                            <w:r w:rsidR="00B14AC0">
                              <w:t xml:space="preserve"> police</w:t>
                            </w:r>
                            <w:r>
                              <w:t xml:space="preserve"> regression,</w:t>
                            </w:r>
                            <w:r w:rsidR="00B3570E">
                              <w:t xml:space="preserve"> </w:t>
                            </w:r>
                            <w:r w:rsidR="009D2DE1">
                              <w:t xml:space="preserve">central costs will be </w:t>
                            </w:r>
                            <w:r w:rsidR="005617F9">
                              <w:t xml:space="preserve">allocated on the basis of 50% proportion of full-time equivalent staff and 50% </w:t>
                            </w:r>
                            <w:r w:rsidR="00DC5CD1">
                              <w:t>police district expenses.</w:t>
                            </w:r>
                            <w:r w:rsidR="003E262B">
                              <w:t xml:space="preserve"> This change </w:t>
                            </w:r>
                            <w:r w:rsidR="00571C8C">
                              <w:t xml:space="preserve">recognises </w:t>
                            </w:r>
                            <w:r w:rsidR="00523740">
                              <w:t xml:space="preserve">the cost of </w:t>
                            </w:r>
                            <w:r w:rsidR="00693E82" w:rsidRPr="00693E82">
                              <w:t xml:space="preserve">police support services where expenses are driven by </w:t>
                            </w:r>
                            <w:r w:rsidR="00693E82" w:rsidRPr="00574A3E">
                              <w:t>staff</w:t>
                            </w:r>
                            <w:r w:rsidR="00BF66FF" w:rsidRPr="00BF66FF">
                              <w:t>ing</w:t>
                            </w:r>
                            <w:r w:rsidR="00571E23">
                              <w:t xml:space="preserve"> rather than remoteness.</w:t>
                            </w:r>
                          </w:p>
                          <w:p w14:paraId="5B8086D3" w14:textId="676596A7" w:rsidR="00DC5CD1" w:rsidRDefault="00FD4B06" w:rsidP="00170B7A">
                            <w:pPr>
                              <w:pStyle w:val="CGC2025Bullet2"/>
                            </w:pPr>
                            <w:r>
                              <w:t xml:space="preserve">A </w:t>
                            </w:r>
                            <w:r w:rsidR="000972BD">
                              <w:t xml:space="preserve">5-tier socio-economic status structure will be used </w:t>
                            </w:r>
                            <w:r w:rsidR="003A5FF7">
                              <w:t>to assess</w:t>
                            </w:r>
                            <w:r w:rsidR="0090661D">
                              <w:t xml:space="preserve"> the</w:t>
                            </w:r>
                            <w:r w:rsidR="00AE06B4">
                              <w:t xml:space="preserve"> </w:t>
                            </w:r>
                            <w:r w:rsidR="00AE06B4" w:rsidRPr="00C048BC">
                              <w:t>socio</w:t>
                            </w:r>
                            <w:r w:rsidR="00EB1BDD" w:rsidRPr="00C048BC">
                              <w:noBreakHyphen/>
                            </w:r>
                            <w:r w:rsidR="00AE06B4" w:rsidRPr="00C048BC">
                              <w:t>demographic composition</w:t>
                            </w:r>
                            <w:r w:rsidR="00AE06B4">
                              <w:t xml:space="preserve"> of </w:t>
                            </w:r>
                            <w:r w:rsidR="000508E7">
                              <w:t>First Nation</w:t>
                            </w:r>
                            <w:r w:rsidR="001224E3">
                              <w:t>s</w:t>
                            </w:r>
                            <w:r w:rsidR="006A27AE">
                              <w:t xml:space="preserve"> </w:t>
                            </w:r>
                            <w:r w:rsidR="000508E7">
                              <w:t>offenders.</w:t>
                            </w:r>
                            <w:r w:rsidR="00213D7F">
                              <w:t xml:space="preserve"> This reflects a</w:t>
                            </w:r>
                            <w:r w:rsidR="002B2F8A">
                              <w:t xml:space="preserve"> linear relationship between socio-economic status and </w:t>
                            </w:r>
                            <w:r w:rsidR="00A7788E">
                              <w:t>offender rates</w:t>
                            </w:r>
                            <w:r w:rsidR="002B2F8A">
                              <w:t xml:space="preserve"> being</w:t>
                            </w:r>
                            <w:r w:rsidR="00A7788E">
                              <w:t xml:space="preserve"> </w:t>
                            </w:r>
                            <w:r w:rsidR="00B35659">
                              <w:t>observed in state data.</w:t>
                            </w:r>
                            <w:r w:rsidR="002B2F8A">
                              <w:t xml:space="preserve"> </w:t>
                            </w:r>
                          </w:p>
                          <w:p w14:paraId="4A8FD087" w14:textId="72C8618D" w:rsidR="0088638D" w:rsidRDefault="00E52999" w:rsidP="00170B7A">
                            <w:pPr>
                              <w:pStyle w:val="CGC2025Bullet2"/>
                            </w:pPr>
                            <w:r>
                              <w:t>Regional costs will not be assessed in criminal courts and other legal services.</w:t>
                            </w:r>
                            <w:r w:rsidR="009B2127">
                              <w:t xml:space="preserve"> </w:t>
                            </w:r>
                            <w:r w:rsidR="004321BD">
                              <w:t>State data did not show a re</w:t>
                            </w:r>
                            <w:r w:rsidR="00D84329">
                              <w:t xml:space="preserve">lationship between </w:t>
                            </w:r>
                            <w:r w:rsidR="00A062EE">
                              <w:t xml:space="preserve">remoteness and criminal court </w:t>
                            </w:r>
                            <w:r w:rsidR="004F07E2">
                              <w:t>expenses</w:t>
                            </w:r>
                            <w:r w:rsidR="00A062EE">
                              <w:t xml:space="preserve">. This </w:t>
                            </w:r>
                            <w:r w:rsidR="00A062EE" w:rsidRPr="00C048BC">
                              <w:t>likely reflects</w:t>
                            </w:r>
                            <w:r w:rsidR="00A062EE">
                              <w:t xml:space="preserve"> the increasing uptake </w:t>
                            </w:r>
                            <w:r w:rsidR="00F13461">
                              <w:t>of audio</w:t>
                            </w:r>
                            <w:r w:rsidR="00875D51">
                              <w:noBreakHyphen/>
                            </w:r>
                            <w:r w:rsidR="00F13461">
                              <w:t xml:space="preserve">visual technology </w:t>
                            </w:r>
                            <w:r w:rsidR="005808FB">
                              <w:t>in courts.</w:t>
                            </w:r>
                          </w:p>
                          <w:p w14:paraId="2E37B5F9" w14:textId="3D7596E9" w:rsidR="0050213D" w:rsidRDefault="00E11300" w:rsidP="00170B7A">
                            <w:pPr>
                              <w:pStyle w:val="CGC2025Bullet2"/>
                            </w:pPr>
                            <w:r>
                              <w:t xml:space="preserve">Defendants with non-stated Indigenous status will be attributed </w:t>
                            </w:r>
                            <w:r w:rsidR="00EA547F">
                              <w:t xml:space="preserve">an Indigenous status </w:t>
                            </w:r>
                            <w:r w:rsidR="00491A9C">
                              <w:t xml:space="preserve">based on the </w:t>
                            </w:r>
                            <w:r w:rsidR="008E00AC">
                              <w:t>proportions of stated responses.</w:t>
                            </w:r>
                            <w:r w:rsidR="00563568">
                              <w:t xml:space="preserve"> New data </w:t>
                            </w:r>
                            <w:r w:rsidR="001E2D74">
                              <w:t xml:space="preserve">suggested the 2020 Review method was </w:t>
                            </w:r>
                            <w:r w:rsidR="006A76AB">
                              <w:t>understating the proportion of First Nations offenders.</w:t>
                            </w:r>
                            <w:r w:rsidR="0024014C">
                              <w:t xml:space="preserve"> This change also affects the </w:t>
                            </w:r>
                            <w:r w:rsidR="0035002F">
                              <w:t xml:space="preserve">prisoner socio-economic status proxy used in </w:t>
                            </w:r>
                            <w:r w:rsidR="00E42918">
                              <w:t>prisons.</w:t>
                            </w:r>
                          </w:p>
                          <w:p w14:paraId="7EC9B3A4" w14:textId="6BDD267E" w:rsidR="0057688F" w:rsidRDefault="00586F93" w:rsidP="00170B7A">
                            <w:pPr>
                              <w:pStyle w:val="CGC2025Bullet2"/>
                            </w:pPr>
                            <w:r>
                              <w:t xml:space="preserve">The general service delivery scale </w:t>
                            </w:r>
                            <w:r w:rsidR="00670BDB">
                              <w:t xml:space="preserve">costs </w:t>
                            </w:r>
                            <w:r>
                              <w:t>gradient will be used in the prison</w:t>
                            </w:r>
                            <w:r w:rsidR="00796859">
                              <w:t>s</w:t>
                            </w:r>
                            <w:r>
                              <w:t xml:space="preserve"> assessment. </w:t>
                            </w:r>
                            <w:r w:rsidR="00684602">
                              <w:t xml:space="preserve">The </w:t>
                            </w:r>
                            <w:r w:rsidR="009A5765">
                              <w:t xml:space="preserve">2020 Review </w:t>
                            </w:r>
                            <w:r w:rsidR="00684602">
                              <w:t xml:space="preserve">regression </w:t>
                            </w:r>
                            <w:r w:rsidR="008C0A10">
                              <w:t xml:space="preserve">used </w:t>
                            </w:r>
                            <w:r w:rsidR="003315F7">
                              <w:t>to calculate regional costs</w:t>
                            </w:r>
                            <w:r w:rsidR="009A5765">
                              <w:t xml:space="preserve"> </w:t>
                            </w:r>
                            <w:r w:rsidR="00991780">
                              <w:t>was found to be too weak when updated with new data</w:t>
                            </w:r>
                            <w:r w:rsidR="003315F7">
                              <w:t xml:space="preserve">. </w:t>
                            </w:r>
                            <w:r w:rsidR="004C4615">
                              <w:t xml:space="preserve">While the </w:t>
                            </w:r>
                            <w:r w:rsidR="005000C7">
                              <w:t xml:space="preserve">conceptual case for regional </w:t>
                            </w:r>
                            <w:r w:rsidR="007B41EB">
                              <w:t>and service delivery scale</w:t>
                            </w:r>
                            <w:r w:rsidR="00FE333F">
                              <w:t xml:space="preserve"> </w:t>
                            </w:r>
                            <w:r w:rsidR="00FE3009">
                              <w:t xml:space="preserve">costs </w:t>
                            </w:r>
                            <w:r w:rsidR="00FE333F">
                              <w:t>in prisons</w:t>
                            </w:r>
                            <w:r w:rsidR="00F312F2">
                              <w:t xml:space="preserve"> remains strong</w:t>
                            </w:r>
                            <w:r w:rsidR="00FE333F">
                              <w:t>,</w:t>
                            </w:r>
                            <w:r w:rsidR="00F312F2">
                              <w:t xml:space="preserve"> </w:t>
                            </w:r>
                            <w:r w:rsidR="00CD52AF">
                              <w:t xml:space="preserve">applying the combined </w:t>
                            </w:r>
                            <w:r w:rsidR="008705ED">
                              <w:t xml:space="preserve">general </w:t>
                            </w:r>
                            <w:r w:rsidR="00CD7286">
                              <w:t xml:space="preserve">regional and service delivery scale </w:t>
                            </w:r>
                            <w:r w:rsidR="00FF596B">
                              <w:t xml:space="preserve">costs </w:t>
                            </w:r>
                            <w:r w:rsidR="002E3E45">
                              <w:t xml:space="preserve">gradient </w:t>
                            </w:r>
                            <w:r w:rsidR="006F5201">
                              <w:t xml:space="preserve">would overstate </w:t>
                            </w:r>
                            <w:r w:rsidR="0024019A">
                              <w:t>the costs of operating r</w:t>
                            </w:r>
                            <w:r w:rsidR="00B00C4E">
                              <w:t>emote</w:t>
                            </w:r>
                            <w:r w:rsidR="0024019A">
                              <w:t xml:space="preserve"> prisons</w:t>
                            </w:r>
                            <w:r w:rsidR="00B00C4E">
                              <w:t>.</w:t>
                            </w:r>
                          </w:p>
                          <w:p w14:paraId="225DA4EB" w14:textId="7436C06F" w:rsidR="004F6A68" w:rsidRDefault="00CF098F" w:rsidP="00170B7A">
                            <w:pPr>
                              <w:pStyle w:val="CGC2025Bullet2"/>
                            </w:pPr>
                            <w:r>
                              <w:t>A juvenile cost weight will be used in prisons</w:t>
                            </w:r>
                            <w:r w:rsidR="004F6A68">
                              <w:t xml:space="preserve"> as its inclusion was material.</w:t>
                            </w:r>
                          </w:p>
                          <w:p w14:paraId="25F38D18" w14:textId="4C55D1E1" w:rsidR="00E52999" w:rsidRDefault="004E6A32" w:rsidP="004E6A32">
                            <w:pPr>
                              <w:pStyle w:val="CGC2025Bullet2"/>
                            </w:pPr>
                            <w:r w:rsidRPr="004E6A32">
                              <w:t xml:space="preserve">To facilitate the introduction of the juvenile detainee cost weight, </w:t>
                            </w:r>
                            <w:r w:rsidR="002F4033">
                              <w:t>the</w:t>
                            </w:r>
                            <w:r w:rsidRPr="004E6A32">
                              <w:t xml:space="preserve"> age groups</w:t>
                            </w:r>
                            <w:r w:rsidR="000F69A4">
                              <w:t xml:space="preserve"> used</w:t>
                            </w:r>
                            <w:r w:rsidRPr="004E6A32">
                              <w:t xml:space="preserve"> across the justice assessment</w:t>
                            </w:r>
                            <w:r w:rsidR="000F69A4">
                              <w:t xml:space="preserve"> will be adjusted</w:t>
                            </w:r>
                            <w:r w:rsidRPr="004E6A32">
                              <w:t>. The new age groups will be 0–17, 18–24, 25–44, 45–64 and 65+.</w:t>
                            </w:r>
                          </w:p>
                          <w:p w14:paraId="52889664" w14:textId="62AF6BD8" w:rsidR="00626F1A" w:rsidRDefault="00626F1A" w:rsidP="00626F1A">
                            <w:pPr>
                              <w:pStyle w:val="CGC2025Bullet1"/>
                            </w:pPr>
                            <w:r w:rsidRPr="00626F1A">
                              <w:t xml:space="preserve">The Commission </w:t>
                            </w:r>
                            <w:r w:rsidRPr="005031C1">
                              <w:t xml:space="preserve">considered </w:t>
                            </w:r>
                            <w:r w:rsidR="004F3FD0">
                              <w:t xml:space="preserve">other changes but did not </w:t>
                            </w:r>
                            <w:r w:rsidR="00C10CC2">
                              <w:t>adopt them</w:t>
                            </w:r>
                            <w:r w:rsidRPr="00626F1A">
                              <w:t>.</w:t>
                            </w:r>
                          </w:p>
                          <w:p w14:paraId="544A4880" w14:textId="3831CD16" w:rsidR="008459D4" w:rsidRPr="00BA46EE" w:rsidRDefault="00A008EB" w:rsidP="00613F10">
                            <w:pPr>
                              <w:pStyle w:val="CGC2025Bullet2"/>
                            </w:pPr>
                            <w:r w:rsidRPr="006A2DAC">
                              <w:t xml:space="preserve">Use rates in </w:t>
                            </w:r>
                            <w:r w:rsidR="00AD0AB6" w:rsidRPr="006A2DAC">
                              <w:t>police and courts will be based on 2022–23 and 2023–</w:t>
                            </w:r>
                            <w:r w:rsidR="008430CE" w:rsidRPr="006A2DAC">
                              <w:t xml:space="preserve">24 </w:t>
                            </w:r>
                            <w:r w:rsidR="006C0051" w:rsidRPr="006A2DAC">
                              <w:t xml:space="preserve">data rather than </w:t>
                            </w:r>
                            <w:r w:rsidR="00C85392" w:rsidRPr="006A2DAC">
                              <w:t>data being requested each year</w:t>
                            </w:r>
                            <w:r w:rsidR="00C85392">
                              <w:t>.</w:t>
                            </w:r>
                            <w:bookmarkStart w:id="3" w:name="tempbookmark"/>
                            <w:bookmarkEnd w:id="3"/>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279710E" id="_x0000_t202" coordsize="21600,21600" o:spt="202" path="m,l,21600r21600,l21600,xe">
                <v:stroke joinstyle="miter"/>
                <v:path gradientshapeok="t" o:connecttype="rect"/>
              </v:shapetype>
              <v:shape id="Text Box 217" o:spid="_x0000_s1026" type="#_x0000_t202" style="position:absolute;margin-left:-2.25pt;margin-top:53.85pt;width:461.75pt;height:638.6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" fillcolor="#e5f8ff" strokecolor="window">
                <v:textbox>
                  <w:txbxContent>
                    <w:p w14:paraId="3067867E" w14:textId="7818B994" w:rsidR="00552A03" w:rsidRDefault="00552A03" w:rsidP="00001F40">
                      <w:pPr>
                        <w:pStyle w:val="Heading2"/>
                        <w:keepNext/>
                        <w:spacing w:before="120"/>
                      </w:pPr>
                      <w:r>
                        <w:t>Review outcome</w:t>
                      </w:r>
                      <w:r w:rsidR="0069611E">
                        <w:t>s</w:t>
                      </w:r>
                    </w:p>
                    <w:p w14:paraId="4B829C50" w14:textId="580A4840" w:rsidR="00A91C64" w:rsidRDefault="0066158B" w:rsidP="00A91C64">
                      <w:pPr>
                        <w:pStyle w:val="CGC2025Bullet1"/>
                      </w:pPr>
                      <w:r>
                        <w:t>During the 2025 Review, t</w:t>
                      </w:r>
                      <w:r w:rsidR="00D55FBC" w:rsidRPr="00D01D5C">
                        <w:t>he Commission</w:t>
                      </w:r>
                      <w:r w:rsidR="00D55FBC" w:rsidRPr="00D01D5C" w:rsidDel="008470D6">
                        <w:t xml:space="preserve"> </w:t>
                      </w:r>
                      <w:r w:rsidR="00B31E0F">
                        <w:t>delayed</w:t>
                      </w:r>
                      <w:r>
                        <w:t xml:space="preserve"> finalising the </w:t>
                      </w:r>
                      <w:r w:rsidR="00BB1EBC">
                        <w:t xml:space="preserve">review </w:t>
                      </w:r>
                      <w:r w:rsidR="00CC1FF0">
                        <w:t>and</w:t>
                      </w:r>
                      <w:r w:rsidR="00E6586E">
                        <w:t xml:space="preserve"> </w:t>
                      </w:r>
                      <w:r w:rsidR="00D55FBC" w:rsidRPr="00D01D5C">
                        <w:t>implement</w:t>
                      </w:r>
                      <w:r>
                        <w:t>ation</w:t>
                      </w:r>
                      <w:r w:rsidR="00D33558">
                        <w:t xml:space="preserve"> of</w:t>
                      </w:r>
                      <w:r w:rsidR="00271416">
                        <w:t xml:space="preserve"> method</w:t>
                      </w:r>
                      <w:r w:rsidR="00D55FBC" w:rsidRPr="00D01D5C">
                        <w:t xml:space="preserve"> </w:t>
                      </w:r>
                      <w:r w:rsidR="00271416">
                        <w:t>changes</w:t>
                      </w:r>
                      <w:r w:rsidR="00CC1FF0">
                        <w:t xml:space="preserve"> to the </w:t>
                      </w:r>
                      <w:r w:rsidR="00DE1929">
                        <w:t>j</w:t>
                      </w:r>
                      <w:r w:rsidR="00CC1FF0">
                        <w:t>ustice assessment</w:t>
                      </w:r>
                      <w:r w:rsidR="00271416" w:rsidDel="00C013BC">
                        <w:t xml:space="preserve"> </w:t>
                      </w:r>
                      <w:r w:rsidR="00BE53D2">
                        <w:t>until</w:t>
                      </w:r>
                      <w:r w:rsidR="00D55FBC" w:rsidRPr="00D01D5C">
                        <w:t xml:space="preserve"> the 2026</w:t>
                      </w:r>
                      <w:r w:rsidR="00085DF9">
                        <w:t> </w:t>
                      </w:r>
                      <w:r w:rsidR="00D55FBC" w:rsidRPr="00D01D5C">
                        <w:t>Update</w:t>
                      </w:r>
                      <w:r w:rsidR="00C013BC">
                        <w:t xml:space="preserve"> to</w:t>
                      </w:r>
                      <w:r w:rsidR="00BE53D2">
                        <w:t xml:space="preserve"> allow the use of data that w</w:t>
                      </w:r>
                      <w:r w:rsidR="00D472E3">
                        <w:t>ere</w:t>
                      </w:r>
                      <w:r w:rsidR="00BE53D2">
                        <w:t xml:space="preserve"> not</w:t>
                      </w:r>
                      <w:r w:rsidR="00401177">
                        <w:t xml:space="preserve"> unduly</w:t>
                      </w:r>
                      <w:r w:rsidR="00BE53D2">
                        <w:t xml:space="preserve"> </w:t>
                      </w:r>
                      <w:r w:rsidR="00786131">
                        <w:t>affected by the COVID</w:t>
                      </w:r>
                      <w:r w:rsidR="0070391A">
                        <w:t>-</w:t>
                      </w:r>
                      <w:r w:rsidR="00786131">
                        <w:t>19 pandemic</w:t>
                      </w:r>
                      <w:r w:rsidR="00C013BC">
                        <w:t xml:space="preserve"> and app</w:t>
                      </w:r>
                      <w:r w:rsidR="00FB2EAC">
                        <w:t xml:space="preserve">ropriate consultation with </w:t>
                      </w:r>
                      <w:r w:rsidR="00176825">
                        <w:t>stakeholders</w:t>
                      </w:r>
                      <w:r w:rsidR="00786131">
                        <w:t>.</w:t>
                      </w:r>
                    </w:p>
                    <w:p w14:paraId="242BA6B1" w14:textId="6FA436C1" w:rsidR="00D01D5C" w:rsidRDefault="00F75BB0" w:rsidP="00A91C64">
                      <w:pPr>
                        <w:pStyle w:val="CGC2025Bullet1"/>
                      </w:pPr>
                      <w:r>
                        <w:t xml:space="preserve">The </w:t>
                      </w:r>
                      <w:r w:rsidR="00170B7A">
                        <w:t>following changes were made to the assessment.</w:t>
                      </w:r>
                    </w:p>
                    <w:p w14:paraId="1735A127" w14:textId="5689C5E2" w:rsidR="00810C66" w:rsidRDefault="00DF2EB0" w:rsidP="004611E7">
                      <w:pPr>
                        <w:pStyle w:val="CGC2025Bullet2"/>
                      </w:pPr>
                      <w:r>
                        <w:t xml:space="preserve">The </w:t>
                      </w:r>
                      <w:r w:rsidR="00B3570E">
                        <w:t xml:space="preserve">police </w:t>
                      </w:r>
                      <w:r w:rsidR="00BA340B">
                        <w:t>regression will use a combined remote and very remote variabl</w:t>
                      </w:r>
                      <w:r w:rsidR="005A119C">
                        <w:t>e</w:t>
                      </w:r>
                      <w:r w:rsidR="00116727">
                        <w:t>.</w:t>
                      </w:r>
                      <w:r w:rsidR="00CC2939">
                        <w:t xml:space="preserve"> This change </w:t>
                      </w:r>
                      <w:r w:rsidR="009E0511">
                        <w:t xml:space="preserve">reflects that state data show remote areas cost more to police than </w:t>
                      </w:r>
                      <w:r w:rsidR="00765118">
                        <w:t>very remote areas.</w:t>
                      </w:r>
                      <w:r w:rsidR="004611E7">
                        <w:t xml:space="preserve"> </w:t>
                      </w:r>
                      <w:r w:rsidR="00B932D8">
                        <w:t xml:space="preserve">The Commission considers </w:t>
                      </w:r>
                      <w:r w:rsidR="00B932D8" w:rsidRPr="004611E7">
                        <w:t xml:space="preserve">it appropriate to combine remote and very remote cost weights </w:t>
                      </w:r>
                      <w:r w:rsidR="00B932D8" w:rsidRPr="00574A3E">
                        <w:t xml:space="preserve">as it is </w:t>
                      </w:r>
                      <w:r w:rsidR="004611E7" w:rsidRPr="00574A3E">
                        <w:t>too early to determine whether this relationship reflects a permanent change in what states do.</w:t>
                      </w:r>
                    </w:p>
                    <w:p w14:paraId="5CCC9DC4" w14:textId="532A66B4" w:rsidR="00170B7A" w:rsidRDefault="00116727" w:rsidP="00693E82">
                      <w:pPr>
                        <w:pStyle w:val="CGC2025Bullet2"/>
                      </w:pPr>
                      <w:r>
                        <w:t>Prior to running the</w:t>
                      </w:r>
                      <w:r w:rsidR="00B14AC0">
                        <w:t xml:space="preserve"> police</w:t>
                      </w:r>
                      <w:r>
                        <w:t xml:space="preserve"> regression,</w:t>
                      </w:r>
                      <w:r w:rsidR="00B3570E">
                        <w:t xml:space="preserve"> </w:t>
                      </w:r>
                      <w:r w:rsidR="009D2DE1">
                        <w:t xml:space="preserve">central costs will be </w:t>
                      </w:r>
                      <w:r w:rsidR="005617F9">
                        <w:t xml:space="preserve">allocated on the basis of 50% proportion of full-time equivalent staff and 50% </w:t>
                      </w:r>
                      <w:r w:rsidR="00DC5CD1">
                        <w:t>police district expenses.</w:t>
                      </w:r>
                      <w:r w:rsidR="003E262B">
                        <w:t xml:space="preserve"> This change </w:t>
                      </w:r>
                      <w:r w:rsidR="00571C8C">
                        <w:t xml:space="preserve">recognises </w:t>
                      </w:r>
                      <w:r w:rsidR="00523740">
                        <w:t xml:space="preserve">the cost of </w:t>
                      </w:r>
                      <w:r w:rsidR="00693E82" w:rsidRPr="00693E82">
                        <w:t xml:space="preserve">police support services where expenses are driven by </w:t>
                      </w:r>
                      <w:r w:rsidR="00693E82" w:rsidRPr="00574A3E">
                        <w:t>staff</w:t>
                      </w:r>
                      <w:r w:rsidR="00BF66FF" w:rsidRPr="00BF66FF">
                        <w:t>ing</w:t>
                      </w:r>
                      <w:r w:rsidR="00571E23">
                        <w:t xml:space="preserve"> rather than remoteness.</w:t>
                      </w:r>
                    </w:p>
                    <w:p w14:paraId="5B8086D3" w14:textId="676596A7" w:rsidR="00DC5CD1" w:rsidRDefault="00FD4B06" w:rsidP="00170B7A">
                      <w:pPr>
                        <w:pStyle w:val="CGC2025Bullet2"/>
                      </w:pPr>
                      <w:r>
                        <w:t xml:space="preserve">A </w:t>
                      </w:r>
                      <w:r w:rsidR="000972BD">
                        <w:t xml:space="preserve">5-tier socio-economic status structure will be used </w:t>
                      </w:r>
                      <w:r w:rsidR="003A5FF7">
                        <w:t>to assess</w:t>
                      </w:r>
                      <w:r w:rsidR="0090661D">
                        <w:t xml:space="preserve"> the</w:t>
                      </w:r>
                      <w:r w:rsidR="00AE06B4">
                        <w:t xml:space="preserve"> </w:t>
                      </w:r>
                      <w:r w:rsidR="00AE06B4" w:rsidRPr="00C048BC">
                        <w:t>socio</w:t>
                      </w:r>
                      <w:r w:rsidR="00EB1BDD" w:rsidRPr="00C048BC">
                        <w:noBreakHyphen/>
                      </w:r>
                      <w:r w:rsidR="00AE06B4" w:rsidRPr="00C048BC">
                        <w:t>demographic composition</w:t>
                      </w:r>
                      <w:r w:rsidR="00AE06B4">
                        <w:t xml:space="preserve"> of </w:t>
                      </w:r>
                      <w:r w:rsidR="000508E7">
                        <w:t>First Nation</w:t>
                      </w:r>
                      <w:r w:rsidR="001224E3">
                        <w:t>s</w:t>
                      </w:r>
                      <w:r w:rsidR="006A27AE">
                        <w:t xml:space="preserve"> </w:t>
                      </w:r>
                      <w:r w:rsidR="000508E7">
                        <w:t>offenders.</w:t>
                      </w:r>
                      <w:r w:rsidR="00213D7F">
                        <w:t xml:space="preserve"> This reflects a</w:t>
                      </w:r>
                      <w:r w:rsidR="002B2F8A">
                        <w:t xml:space="preserve"> linear relationship between socio-economic status and </w:t>
                      </w:r>
                      <w:r w:rsidR="00A7788E">
                        <w:t>offender rates</w:t>
                      </w:r>
                      <w:r w:rsidR="002B2F8A">
                        <w:t xml:space="preserve"> being</w:t>
                      </w:r>
                      <w:r w:rsidR="00A7788E">
                        <w:t xml:space="preserve"> </w:t>
                      </w:r>
                      <w:r w:rsidR="00B35659">
                        <w:t>observed in state data.</w:t>
                      </w:r>
                      <w:r w:rsidR="002B2F8A">
                        <w:t xml:space="preserve"> </w:t>
                      </w:r>
                    </w:p>
                    <w:p w14:paraId="4A8FD087" w14:textId="72C8618D" w:rsidR="0088638D" w:rsidRDefault="00E52999" w:rsidP="00170B7A">
                      <w:pPr>
                        <w:pStyle w:val="CGC2025Bullet2"/>
                      </w:pPr>
                      <w:r>
                        <w:t>Regional costs will not be assessed in criminal courts and other legal services.</w:t>
                      </w:r>
                      <w:r w:rsidR="009B2127">
                        <w:t xml:space="preserve"> </w:t>
                      </w:r>
                      <w:r w:rsidR="004321BD">
                        <w:t>State data did not show a re</w:t>
                      </w:r>
                      <w:r w:rsidR="00D84329">
                        <w:t xml:space="preserve">lationship between </w:t>
                      </w:r>
                      <w:r w:rsidR="00A062EE">
                        <w:t xml:space="preserve">remoteness and criminal court </w:t>
                      </w:r>
                      <w:r w:rsidR="004F07E2">
                        <w:t>expenses</w:t>
                      </w:r>
                      <w:r w:rsidR="00A062EE">
                        <w:t xml:space="preserve">. This </w:t>
                      </w:r>
                      <w:r w:rsidR="00A062EE" w:rsidRPr="00C048BC">
                        <w:t>likely reflects</w:t>
                      </w:r>
                      <w:r w:rsidR="00A062EE">
                        <w:t xml:space="preserve"> the increasing uptake </w:t>
                      </w:r>
                      <w:r w:rsidR="00F13461">
                        <w:t>of audio</w:t>
                      </w:r>
                      <w:r w:rsidR="00875D51">
                        <w:noBreakHyphen/>
                      </w:r>
                      <w:r w:rsidR="00F13461">
                        <w:t xml:space="preserve">visual technology </w:t>
                      </w:r>
                      <w:r w:rsidR="005808FB">
                        <w:t>in courts.</w:t>
                      </w:r>
                    </w:p>
                    <w:p w14:paraId="2E37B5F9" w14:textId="3D7596E9" w:rsidR="0050213D" w:rsidRDefault="00E11300" w:rsidP="00170B7A">
                      <w:pPr>
                        <w:pStyle w:val="CGC2025Bullet2"/>
                      </w:pPr>
                      <w:r>
                        <w:t xml:space="preserve">Defendants with non-stated Indigenous status will be attributed </w:t>
                      </w:r>
                      <w:r w:rsidR="00EA547F">
                        <w:t xml:space="preserve">an Indigenous status </w:t>
                      </w:r>
                      <w:r w:rsidR="00491A9C">
                        <w:t xml:space="preserve">based on the </w:t>
                      </w:r>
                      <w:r w:rsidR="008E00AC">
                        <w:t>proportions of stated responses.</w:t>
                      </w:r>
                      <w:r w:rsidR="00563568">
                        <w:t xml:space="preserve"> New data </w:t>
                      </w:r>
                      <w:r w:rsidR="001E2D74">
                        <w:t xml:space="preserve">suggested the 2020 Review method was </w:t>
                      </w:r>
                      <w:r w:rsidR="006A76AB">
                        <w:t>understating the proportion of First Nations offenders.</w:t>
                      </w:r>
                      <w:r w:rsidR="0024014C">
                        <w:t xml:space="preserve"> This change also affects the </w:t>
                      </w:r>
                      <w:r w:rsidR="0035002F">
                        <w:t xml:space="preserve">prisoner socio-economic status proxy used in </w:t>
                      </w:r>
                      <w:r w:rsidR="00E42918">
                        <w:t>prisons.</w:t>
                      </w:r>
                    </w:p>
                    <w:p w14:paraId="7EC9B3A4" w14:textId="6BDD267E" w:rsidR="0057688F" w:rsidRDefault="00586F93" w:rsidP="00170B7A">
                      <w:pPr>
                        <w:pStyle w:val="CGC2025Bullet2"/>
                      </w:pPr>
                      <w:r>
                        <w:t xml:space="preserve">The general service delivery scale </w:t>
                      </w:r>
                      <w:r w:rsidR="00670BDB">
                        <w:t xml:space="preserve">costs </w:t>
                      </w:r>
                      <w:r>
                        <w:t>gradient will be used in the prison</w:t>
                      </w:r>
                      <w:r w:rsidR="00796859">
                        <w:t>s</w:t>
                      </w:r>
                      <w:r>
                        <w:t xml:space="preserve"> assessment. </w:t>
                      </w:r>
                      <w:r w:rsidR="00684602">
                        <w:t xml:space="preserve">The </w:t>
                      </w:r>
                      <w:r w:rsidR="009A5765">
                        <w:t xml:space="preserve">2020 Review </w:t>
                      </w:r>
                      <w:r w:rsidR="00684602">
                        <w:t xml:space="preserve">regression </w:t>
                      </w:r>
                      <w:r w:rsidR="008C0A10">
                        <w:t xml:space="preserve">used </w:t>
                      </w:r>
                      <w:r w:rsidR="003315F7">
                        <w:t>to calculate regional costs</w:t>
                      </w:r>
                      <w:r w:rsidR="009A5765">
                        <w:t xml:space="preserve"> </w:t>
                      </w:r>
                      <w:r w:rsidR="00991780">
                        <w:t>was found to be too weak when updated with new data</w:t>
                      </w:r>
                      <w:r w:rsidR="003315F7">
                        <w:t xml:space="preserve">. </w:t>
                      </w:r>
                      <w:r w:rsidR="004C4615">
                        <w:t xml:space="preserve">While the </w:t>
                      </w:r>
                      <w:r w:rsidR="005000C7">
                        <w:t xml:space="preserve">conceptual case for regional </w:t>
                      </w:r>
                      <w:r w:rsidR="007B41EB">
                        <w:t>and service delivery scale</w:t>
                      </w:r>
                      <w:r w:rsidR="00FE333F">
                        <w:t xml:space="preserve"> </w:t>
                      </w:r>
                      <w:r w:rsidR="00FE3009">
                        <w:t xml:space="preserve">costs </w:t>
                      </w:r>
                      <w:r w:rsidR="00FE333F">
                        <w:t>in prisons</w:t>
                      </w:r>
                      <w:r w:rsidR="00F312F2">
                        <w:t xml:space="preserve"> remains strong</w:t>
                      </w:r>
                      <w:r w:rsidR="00FE333F">
                        <w:t>,</w:t>
                      </w:r>
                      <w:r w:rsidR="00F312F2">
                        <w:t xml:space="preserve"> </w:t>
                      </w:r>
                      <w:r w:rsidR="00CD52AF">
                        <w:t xml:space="preserve">applying the combined </w:t>
                      </w:r>
                      <w:r w:rsidR="008705ED">
                        <w:t xml:space="preserve">general </w:t>
                      </w:r>
                      <w:r w:rsidR="00CD7286">
                        <w:t xml:space="preserve">regional and service delivery scale </w:t>
                      </w:r>
                      <w:r w:rsidR="00FF596B">
                        <w:t xml:space="preserve">costs </w:t>
                      </w:r>
                      <w:r w:rsidR="002E3E45">
                        <w:t xml:space="preserve">gradient </w:t>
                      </w:r>
                      <w:r w:rsidR="006F5201">
                        <w:t xml:space="preserve">would overstate </w:t>
                      </w:r>
                      <w:r w:rsidR="0024019A">
                        <w:t>the costs of operating r</w:t>
                      </w:r>
                      <w:r w:rsidR="00B00C4E">
                        <w:t>emote</w:t>
                      </w:r>
                      <w:r w:rsidR="0024019A">
                        <w:t xml:space="preserve"> prisons</w:t>
                      </w:r>
                      <w:r w:rsidR="00B00C4E">
                        <w:t>.</w:t>
                      </w:r>
                    </w:p>
                    <w:p w14:paraId="225DA4EB" w14:textId="7436C06F" w:rsidR="004F6A68" w:rsidRDefault="00CF098F" w:rsidP="00170B7A">
                      <w:pPr>
                        <w:pStyle w:val="CGC2025Bullet2"/>
                      </w:pPr>
                      <w:r>
                        <w:t>A juvenile cost weight will be used in prisons</w:t>
                      </w:r>
                      <w:r w:rsidR="004F6A68">
                        <w:t xml:space="preserve"> as its inclusion was material.</w:t>
                      </w:r>
                    </w:p>
                    <w:p w14:paraId="25F38D18" w14:textId="4C55D1E1" w:rsidR="00E52999" w:rsidRDefault="004E6A32" w:rsidP="004E6A32">
                      <w:pPr>
                        <w:pStyle w:val="CGC2025Bullet2"/>
                      </w:pPr>
                      <w:r w:rsidRPr="004E6A32">
                        <w:t xml:space="preserve">To facilitate the introduction of the juvenile detainee cost weight, </w:t>
                      </w:r>
                      <w:r w:rsidR="002F4033">
                        <w:t>the</w:t>
                      </w:r>
                      <w:r w:rsidRPr="004E6A32">
                        <w:t xml:space="preserve"> age groups</w:t>
                      </w:r>
                      <w:r w:rsidR="000F69A4">
                        <w:t xml:space="preserve"> used</w:t>
                      </w:r>
                      <w:r w:rsidRPr="004E6A32">
                        <w:t xml:space="preserve"> across the justice assessment</w:t>
                      </w:r>
                      <w:r w:rsidR="000F69A4">
                        <w:t xml:space="preserve"> will be adjusted</w:t>
                      </w:r>
                      <w:r w:rsidRPr="004E6A32">
                        <w:t>. The new age groups will be 0–17, 18–24, 25–44, 45–64 and 65+.</w:t>
                      </w:r>
                    </w:p>
                    <w:p w14:paraId="52889664" w14:textId="62AF6BD8" w:rsidR="00626F1A" w:rsidRDefault="00626F1A" w:rsidP="00626F1A">
                      <w:pPr>
                        <w:pStyle w:val="CGC2025Bullet1"/>
                      </w:pPr>
                      <w:r w:rsidRPr="00626F1A">
                        <w:t xml:space="preserve">The Commission </w:t>
                      </w:r>
                      <w:r w:rsidRPr="005031C1">
                        <w:t xml:space="preserve">considered </w:t>
                      </w:r>
                      <w:r w:rsidR="004F3FD0">
                        <w:t xml:space="preserve">other changes but did not </w:t>
                      </w:r>
                      <w:r w:rsidR="00C10CC2">
                        <w:t>adopt them</w:t>
                      </w:r>
                      <w:r w:rsidRPr="00626F1A">
                        <w:t>.</w:t>
                      </w:r>
                    </w:p>
                    <w:p w14:paraId="544A4880" w14:textId="3831CD16" w:rsidR="008459D4" w:rsidRPr="00BA46EE" w:rsidRDefault="00A008EB" w:rsidP="00613F10">
                      <w:pPr>
                        <w:pStyle w:val="CGC2025Bullet2"/>
                      </w:pPr>
                      <w:r w:rsidRPr="006A2DAC">
                        <w:t xml:space="preserve">Use rates in </w:t>
                      </w:r>
                      <w:r w:rsidR="00AD0AB6" w:rsidRPr="006A2DAC">
                        <w:t>police and courts will be based on 2022–23 and 2023–</w:t>
                      </w:r>
                      <w:r w:rsidR="008430CE" w:rsidRPr="006A2DAC">
                        <w:t xml:space="preserve">24 </w:t>
                      </w:r>
                      <w:r w:rsidR="006C0051" w:rsidRPr="006A2DAC">
                        <w:t xml:space="preserve">data rather than </w:t>
                      </w:r>
                      <w:r w:rsidR="00C85392" w:rsidRPr="006A2DAC">
                        <w:t>data being requested each year</w:t>
                      </w:r>
                      <w:r w:rsidR="00C85392">
                        <w:t>.</w:t>
                      </w:r>
                      <w:bookmarkStart w:id="4" w:name="tempbookmark"/>
                      <w:bookmarkEnd w:id="4"/>
                    </w:p>
                  </w:txbxContent>
                </v:textbox>
                <w10:wrap type="square" anchorx="margin"/>
              </v:shape>
            </w:pict>
          </mc:Fallback>
        </mc:AlternateContent>
      </w:r>
      <w:r w:rsidR="0004689B">
        <w:t>Justice</w:t>
      </w:r>
      <w:r w:rsidR="00D132C4">
        <w:t xml:space="preserve"> - Addendum</w:t>
      </w:r>
    </w:p>
    <w:p w14:paraId="1A5F2E10" w14:textId="68844131" w:rsidR="006E5D74" w:rsidRPr="00AD1713" w:rsidRDefault="005346F8" w:rsidP="008438AB">
      <w:pPr>
        <w:pStyle w:val="Heading2"/>
      </w:pPr>
      <w:bookmarkStart w:id="5" w:name="_Toc133236159"/>
      <w:bookmarkStart w:id="6" w:name="_Toc133236185"/>
      <w:bookmarkEnd w:id="0"/>
      <w:bookmarkEnd w:id="1"/>
      <w:bookmarkEnd w:id="2"/>
      <w:r>
        <w:rPr>
          <w:noProof/>
        </w:rPr>
        <w:lastRenderedPageBreak/>
        <mc:AlternateContent>
          <mc:Choice Requires="wps">
            <w:drawing>
              <wp:anchor distT="45720" distB="45720" distL="114300" distR="114300" simplePos="0" relativeHeight="251658241" behindDoc="0" locked="0" layoutInCell="1" allowOverlap="1" wp14:anchorId="0DE79218" wp14:editId="6EB24A0F">
                <wp:simplePos x="0" y="0"/>
                <wp:positionH relativeFrom="margin">
                  <wp:posOffset>43815</wp:posOffset>
                </wp:positionH>
                <wp:positionV relativeFrom="paragraph">
                  <wp:posOffset>0</wp:posOffset>
                </wp:positionV>
                <wp:extent cx="5864225" cy="7432040"/>
                <wp:effectExtent l="0" t="0" r="22225" b="16510"/>
                <wp:wrapSquare wrapText="bothSides"/>
                <wp:docPr id="1148255139" name="Text Box 1148255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4225" cy="7432040"/>
                        </a:xfrm>
                        <a:prstGeom prst="rect">
                          <a:avLst/>
                        </a:prstGeom>
                        <a:solidFill>
                          <a:srgbClr val="E5F8FF"/>
                        </a:solidFill>
                        <a:ln w="9525">
                          <a:solidFill>
                            <a:sysClr val="window" lastClr="FFFFFF"/>
                          </a:solidFill>
                          <a:miter lim="800000"/>
                          <a:headEnd/>
                          <a:tailEnd/>
                        </a:ln>
                      </wps:spPr>
                      <wps:txbx>
                        <w:txbxContent>
                          <w:p w14:paraId="13ED442F" w14:textId="23F00257" w:rsidR="00146086" w:rsidRDefault="006A0454" w:rsidP="0070367E">
                            <w:pPr>
                              <w:pStyle w:val="CGC2025Bullet2"/>
                            </w:pPr>
                            <w:r>
                              <w:t>Additional</w:t>
                            </w:r>
                            <w:r w:rsidR="006E45B9" w:rsidRPr="006E45B9">
                              <w:t xml:space="preserve"> discounts or equal per capita assessments</w:t>
                            </w:r>
                            <w:r>
                              <w:t xml:space="preserve"> will not be </w:t>
                            </w:r>
                            <w:r w:rsidR="00DC53AD">
                              <w:t xml:space="preserve">applied </w:t>
                            </w:r>
                            <w:r w:rsidR="006E45B9" w:rsidRPr="006E45B9">
                              <w:t>in response to policy neutrality</w:t>
                            </w:r>
                            <w:r w:rsidR="00C754EC">
                              <w:t xml:space="preserve"> </w:t>
                            </w:r>
                            <w:r w:rsidR="00CE4DC4">
                              <w:t>or policy barrier</w:t>
                            </w:r>
                            <w:r w:rsidR="006E45B9" w:rsidRPr="006E45B9">
                              <w:t xml:space="preserve"> concerns</w:t>
                            </w:r>
                            <w:r w:rsidR="006170FF">
                              <w:t xml:space="preserve"> in police</w:t>
                            </w:r>
                            <w:r w:rsidR="00DC53AD">
                              <w:t>.</w:t>
                            </w:r>
                          </w:p>
                          <w:p w14:paraId="20670B29" w14:textId="6BADDD1C" w:rsidR="00494A13" w:rsidRDefault="00494A13" w:rsidP="0070367E">
                            <w:pPr>
                              <w:pStyle w:val="CGC2025Bullet2"/>
                            </w:pPr>
                            <w:r>
                              <w:t>The</w:t>
                            </w:r>
                            <w:r w:rsidR="009E620E">
                              <w:t xml:space="preserve"> police</w:t>
                            </w:r>
                            <w:r w:rsidR="00C86C78">
                              <w:t xml:space="preserve"> regression </w:t>
                            </w:r>
                            <w:r w:rsidR="006225FF">
                              <w:t xml:space="preserve">model, </w:t>
                            </w:r>
                            <w:r w:rsidR="00795263">
                              <w:t>which</w:t>
                            </w:r>
                            <w:r w:rsidR="006225FF">
                              <w:t xml:space="preserve"> </w:t>
                            </w:r>
                            <w:r w:rsidR="006C5F87">
                              <w:t>recognises reacti</w:t>
                            </w:r>
                            <w:r w:rsidR="00DA425A">
                              <w:t>ve</w:t>
                            </w:r>
                            <w:r w:rsidR="006C5F87">
                              <w:t xml:space="preserve"> </w:t>
                            </w:r>
                            <w:r w:rsidR="00D964F6">
                              <w:t xml:space="preserve">and preventative policing activities </w:t>
                            </w:r>
                            <w:r w:rsidR="0078602E">
                              <w:t xml:space="preserve">and </w:t>
                            </w:r>
                            <w:r w:rsidR="00511395">
                              <w:t xml:space="preserve">accounts for different police </w:t>
                            </w:r>
                            <w:r w:rsidR="00511395" w:rsidRPr="009755A3">
                              <w:t>district size</w:t>
                            </w:r>
                            <w:r w:rsidR="00511395">
                              <w:t xml:space="preserve"> and population</w:t>
                            </w:r>
                            <w:r w:rsidR="00795263">
                              <w:t>, will be broadly retained.</w:t>
                            </w:r>
                          </w:p>
                          <w:p w14:paraId="5186E37D" w14:textId="2B1B3482" w:rsidR="00DC53AD" w:rsidRDefault="00D32012" w:rsidP="006E45B9">
                            <w:pPr>
                              <w:pStyle w:val="CGC2025Bullet2"/>
                            </w:pPr>
                            <w:r>
                              <w:t>A</w:t>
                            </w:r>
                            <w:r w:rsidR="00221498">
                              <w:t xml:space="preserve">dding </w:t>
                            </w:r>
                            <w:r w:rsidR="00470FD0">
                              <w:t>a remote offender variable</w:t>
                            </w:r>
                            <w:r w:rsidR="00D84641">
                              <w:t xml:space="preserve"> </w:t>
                            </w:r>
                            <w:r w:rsidR="00221498">
                              <w:t>in the</w:t>
                            </w:r>
                            <w:r w:rsidR="00C71841">
                              <w:t xml:space="preserve"> police</w:t>
                            </w:r>
                            <w:r w:rsidR="00221498">
                              <w:t xml:space="preserve"> regression </w:t>
                            </w:r>
                            <w:r>
                              <w:t xml:space="preserve">did not sufficiently improve the </w:t>
                            </w:r>
                            <w:r w:rsidR="00262740">
                              <w:t>regression</w:t>
                            </w:r>
                            <w:r w:rsidR="00262740" w:rsidDel="00CA1913">
                              <w:t xml:space="preserve"> </w:t>
                            </w:r>
                            <w:r w:rsidR="00262740">
                              <w:t xml:space="preserve">to </w:t>
                            </w:r>
                            <w:r w:rsidR="00D84641">
                              <w:t>warran</w:t>
                            </w:r>
                            <w:r w:rsidR="00FD55C5">
                              <w:t>t its inclusion</w:t>
                            </w:r>
                            <w:r w:rsidR="00397E93">
                              <w:t xml:space="preserve"> given the added complexity</w:t>
                            </w:r>
                            <w:r w:rsidR="00D84641">
                              <w:t>.</w:t>
                            </w:r>
                          </w:p>
                          <w:p w14:paraId="54849D92" w14:textId="2DEEF28F" w:rsidR="00463CBF" w:rsidRDefault="0004585E" w:rsidP="000E0580">
                            <w:pPr>
                              <w:pStyle w:val="CGC2025Bullet2"/>
                            </w:pPr>
                            <w:r>
                              <w:t>P</w:t>
                            </w:r>
                            <w:r w:rsidR="000E0580" w:rsidRPr="000E0580">
                              <w:t>roceedings counts</w:t>
                            </w:r>
                            <w:r w:rsidR="00463CBF">
                              <w:t xml:space="preserve"> will</w:t>
                            </w:r>
                            <w:r w:rsidR="00651EE8">
                              <w:t xml:space="preserve"> </w:t>
                            </w:r>
                            <w:r w:rsidR="008469C6">
                              <w:t>continue</w:t>
                            </w:r>
                            <w:r w:rsidR="00651EE8">
                              <w:t xml:space="preserve"> to</w:t>
                            </w:r>
                            <w:r w:rsidR="00463CBF">
                              <w:t xml:space="preserve"> be used</w:t>
                            </w:r>
                            <w:r w:rsidR="000E0580" w:rsidRPr="000E0580">
                              <w:t xml:space="preserve"> for </w:t>
                            </w:r>
                            <w:r w:rsidR="008469C6">
                              <w:t>the Commission’s</w:t>
                            </w:r>
                            <w:r w:rsidR="000E0580" w:rsidRPr="000E0580">
                              <w:t xml:space="preserve"> measure of offenders</w:t>
                            </w:r>
                            <w:r w:rsidR="00934E29">
                              <w:t xml:space="preserve"> as it is the best measure to capture </w:t>
                            </w:r>
                            <w:r w:rsidR="001F73FF">
                              <w:t xml:space="preserve">people that offend </w:t>
                            </w:r>
                            <w:r w:rsidR="00C825CD">
                              <w:t>more than once in a single year</w:t>
                            </w:r>
                            <w:r w:rsidR="008469C6">
                              <w:t>.</w:t>
                            </w:r>
                          </w:p>
                          <w:p w14:paraId="6DB2C2F3" w14:textId="077979BA" w:rsidR="000E0580" w:rsidRDefault="003830B6" w:rsidP="000E0580">
                            <w:pPr>
                              <w:pStyle w:val="CGC2025Bullet2"/>
                            </w:pPr>
                            <w:r>
                              <w:t>T</w:t>
                            </w:r>
                            <w:r w:rsidR="000E0580" w:rsidRPr="000E0580">
                              <w:t>raffic and breach of bail offence data</w:t>
                            </w:r>
                            <w:r>
                              <w:t xml:space="preserve"> will continue to be excluded</w:t>
                            </w:r>
                            <w:r w:rsidR="000E0580" w:rsidRPr="000E0580">
                              <w:t xml:space="preserve"> from </w:t>
                            </w:r>
                            <w:r>
                              <w:t>police</w:t>
                            </w:r>
                            <w:r w:rsidR="00F56716">
                              <w:t xml:space="preserve"> as</w:t>
                            </w:r>
                            <w:r w:rsidR="003B0CA1">
                              <w:t xml:space="preserve"> there are</w:t>
                            </w:r>
                            <w:r w:rsidR="00F56716">
                              <w:t xml:space="preserve"> data quality </w:t>
                            </w:r>
                            <w:r w:rsidR="003B0CA1">
                              <w:t>concerns with their use</w:t>
                            </w:r>
                            <w:r>
                              <w:t>.</w:t>
                            </w:r>
                          </w:p>
                          <w:p w14:paraId="66174431" w14:textId="211709E5" w:rsidR="00AD73A2" w:rsidRDefault="007551F7" w:rsidP="000E0580">
                            <w:pPr>
                              <w:pStyle w:val="CGC2025Bullet2"/>
                            </w:pPr>
                            <w:r>
                              <w:t>A s</w:t>
                            </w:r>
                            <w:r w:rsidR="00A814F9">
                              <w:t xml:space="preserve">uitable </w:t>
                            </w:r>
                            <w:r w:rsidR="00CE2E12">
                              <w:t xml:space="preserve">definition </w:t>
                            </w:r>
                            <w:r w:rsidR="00A814F9">
                              <w:t xml:space="preserve">and </w:t>
                            </w:r>
                            <w:r w:rsidR="007A4EDF">
                              <w:t>d</w:t>
                            </w:r>
                            <w:r w:rsidR="00CE2E12">
                              <w:t>ata</w:t>
                            </w:r>
                            <w:r w:rsidR="007A4EDF">
                              <w:t xml:space="preserve"> </w:t>
                            </w:r>
                            <w:r w:rsidR="002F32CF">
                              <w:t>could not be identified</w:t>
                            </w:r>
                            <w:r w:rsidR="007A4EDF">
                              <w:t xml:space="preserve"> </w:t>
                            </w:r>
                            <w:r w:rsidR="00C42D38">
                              <w:t>for</w:t>
                            </w:r>
                            <w:r w:rsidR="007A4EDF">
                              <w:t xml:space="preserve"> </w:t>
                            </w:r>
                            <w:r w:rsidR="009B7B47">
                              <w:t>introduc</w:t>
                            </w:r>
                            <w:r w:rsidR="00C42D38">
                              <w:t>ing</w:t>
                            </w:r>
                            <w:r w:rsidR="00AC3EF8">
                              <w:t xml:space="preserve"> a </w:t>
                            </w:r>
                            <w:r w:rsidR="00E534FB">
                              <w:t>global cities</w:t>
                            </w:r>
                            <w:r w:rsidR="009B7B47">
                              <w:t xml:space="preserve"> driver in police.</w:t>
                            </w:r>
                          </w:p>
                          <w:p w14:paraId="78925EAB" w14:textId="3639A4D2" w:rsidR="00F175BB" w:rsidRDefault="00C953D3" w:rsidP="000E0580">
                            <w:pPr>
                              <w:pStyle w:val="CGC2025Bullet2"/>
                            </w:pPr>
                            <w:r>
                              <w:t xml:space="preserve">Finalised defendants </w:t>
                            </w:r>
                            <w:r w:rsidR="000B4F71">
                              <w:t xml:space="preserve">(rather than population) </w:t>
                            </w:r>
                            <w:r>
                              <w:t xml:space="preserve">will continue to be </w:t>
                            </w:r>
                            <w:r w:rsidR="00E53A5C">
                              <w:t>used as a measure of need in criminal courts</w:t>
                            </w:r>
                            <w:r w:rsidR="008869F6">
                              <w:t xml:space="preserve"> </w:t>
                            </w:r>
                            <w:r w:rsidR="00CD6D6C">
                              <w:t xml:space="preserve">as </w:t>
                            </w:r>
                            <w:r w:rsidR="000A3DF9">
                              <w:t>the</w:t>
                            </w:r>
                            <w:r w:rsidR="00DA4B2C">
                              <w:t xml:space="preserve">re is a strong conceptual case that </w:t>
                            </w:r>
                            <w:r w:rsidR="00FA7207">
                              <w:t>defend</w:t>
                            </w:r>
                            <w:r w:rsidR="0021658A">
                              <w:t>ants drive criminal court</w:t>
                            </w:r>
                            <w:r w:rsidR="00BE1C13">
                              <w:t xml:space="preserve"> expenses</w:t>
                            </w:r>
                            <w:r w:rsidR="00E53A5C">
                              <w:t>.</w:t>
                            </w:r>
                          </w:p>
                          <w:p w14:paraId="663AA8AF" w14:textId="60677017" w:rsidR="002E2BDF" w:rsidRDefault="002E2BDF" w:rsidP="002E2BDF">
                            <w:pPr>
                              <w:pStyle w:val="CGC2025Bullet2"/>
                            </w:pPr>
                            <w:r>
                              <w:t>D</w:t>
                            </w:r>
                            <w:r w:rsidRPr="002E2BDF">
                              <w:t>ata from all states</w:t>
                            </w:r>
                            <w:r w:rsidR="00BC299B">
                              <w:t xml:space="preserve"> will</w:t>
                            </w:r>
                            <w:r w:rsidR="00C040FF">
                              <w:t xml:space="preserve"> continue to</w:t>
                            </w:r>
                            <w:r w:rsidR="00BC299B">
                              <w:t xml:space="preserve"> be used</w:t>
                            </w:r>
                            <w:r w:rsidRPr="002E2BDF">
                              <w:t xml:space="preserve"> </w:t>
                            </w:r>
                            <w:r w:rsidR="00BC299B">
                              <w:t>to determine</w:t>
                            </w:r>
                            <w:r w:rsidRPr="002E2BDF">
                              <w:t xml:space="preserve"> the socio</w:t>
                            </w:r>
                            <w:r>
                              <w:noBreakHyphen/>
                            </w:r>
                            <w:r w:rsidRPr="002E2BDF">
                              <w:t xml:space="preserve">demographic composition </w:t>
                            </w:r>
                            <w:r w:rsidR="000E061C">
                              <w:t xml:space="preserve">of defendants. These </w:t>
                            </w:r>
                            <w:r w:rsidR="00E575AD">
                              <w:t xml:space="preserve">will continue to be disaggregated by </w:t>
                            </w:r>
                            <w:r w:rsidR="003A1A74">
                              <w:t xml:space="preserve">Indigenous status, </w:t>
                            </w:r>
                            <w:r w:rsidR="00E575AD">
                              <w:t>age,</w:t>
                            </w:r>
                            <w:r w:rsidR="003A1A74">
                              <w:t xml:space="preserve"> </w:t>
                            </w:r>
                            <w:r w:rsidR="009576FE">
                              <w:t xml:space="preserve">socio-economic status and </w:t>
                            </w:r>
                            <w:r w:rsidR="001B36F1">
                              <w:t>remoteness</w:t>
                            </w:r>
                            <w:r w:rsidR="00970803">
                              <w:t>.</w:t>
                            </w:r>
                          </w:p>
                          <w:p w14:paraId="3D4BE820" w14:textId="545FE148" w:rsidR="00A814F9" w:rsidRDefault="007F6429" w:rsidP="000E0580">
                            <w:pPr>
                              <w:pStyle w:val="CGC2025Bullet2"/>
                            </w:pPr>
                            <w:r>
                              <w:t>State data will continue to be used to split the criminal court</w:t>
                            </w:r>
                            <w:r w:rsidR="007258D3">
                              <w:t>s</w:t>
                            </w:r>
                            <w:r>
                              <w:t xml:space="preserve"> and other legal services </w:t>
                            </w:r>
                            <w:r w:rsidR="00CA30E1">
                              <w:t>budgets</w:t>
                            </w:r>
                            <w:r w:rsidR="00306D77">
                              <w:t xml:space="preserve"> as th</w:t>
                            </w:r>
                            <w:r w:rsidR="009553B4">
                              <w:t xml:space="preserve">ey are the best source of </w:t>
                            </w:r>
                            <w:r w:rsidR="003B0684">
                              <w:t xml:space="preserve">expense </w:t>
                            </w:r>
                            <w:r w:rsidR="009553B4">
                              <w:t xml:space="preserve">data for all court and legal </w:t>
                            </w:r>
                            <w:r w:rsidR="00B65AAB">
                              <w:t>services.</w:t>
                            </w:r>
                          </w:p>
                          <w:p w14:paraId="7E28C1C5" w14:textId="07BD3B4E" w:rsidR="00D53F1C" w:rsidRDefault="003B246D" w:rsidP="000E0580">
                            <w:pPr>
                              <w:pStyle w:val="CGC2025Bullet2"/>
                            </w:pPr>
                            <w:r>
                              <w:t xml:space="preserve">A separate assessment of community corrections will not be included in prisons as </w:t>
                            </w:r>
                            <w:r w:rsidR="004A41AC">
                              <w:t xml:space="preserve">such an assessment </w:t>
                            </w:r>
                            <w:r w:rsidR="003F00EF">
                              <w:t>is not material.</w:t>
                            </w:r>
                          </w:p>
                          <w:p w14:paraId="32FBFBA9" w14:textId="0C3EAEFB" w:rsidR="00C31668" w:rsidRDefault="009071F8" w:rsidP="00C31668">
                            <w:pPr>
                              <w:pStyle w:val="CGC2025Bullet2"/>
                            </w:pPr>
                            <w:r>
                              <w:t xml:space="preserve">No </w:t>
                            </w:r>
                            <w:r w:rsidR="0089792A" w:rsidRPr="0089792A">
                              <w:t>change</w:t>
                            </w:r>
                            <w:r>
                              <w:t>s</w:t>
                            </w:r>
                            <w:r w:rsidR="00C31668" w:rsidRPr="00C31668">
                              <w:t xml:space="preserve"> </w:t>
                            </w:r>
                            <w:r w:rsidR="0051760C">
                              <w:t xml:space="preserve">will </w:t>
                            </w:r>
                            <w:r>
                              <w:t>be made to</w:t>
                            </w:r>
                            <w:r w:rsidR="0089792A" w:rsidRPr="0089792A">
                              <w:t xml:space="preserve"> the conceptual framework </w:t>
                            </w:r>
                            <w:r w:rsidR="008F0077" w:rsidRPr="001243EA">
                              <w:t>of</w:t>
                            </w:r>
                            <w:r w:rsidR="0089792A" w:rsidRPr="00337955">
                              <w:t xml:space="preserve"> </w:t>
                            </w:r>
                            <w:r w:rsidR="00C205C3" w:rsidRPr="00337955">
                              <w:t>the</w:t>
                            </w:r>
                            <w:r w:rsidR="0089792A" w:rsidRPr="001243EA">
                              <w:t xml:space="preserve"> </w:t>
                            </w:r>
                            <w:r w:rsidR="00562DF0" w:rsidRPr="001243EA">
                              <w:t>assessed prisoner model</w:t>
                            </w:r>
                            <w:r w:rsidR="0089792A" w:rsidRPr="0089792A">
                              <w:t xml:space="preserve"> to reflect state objectives relating to prisoner welfare, health or reintegration</w:t>
                            </w:r>
                            <w:r w:rsidR="003A7E12">
                              <w:t xml:space="preserve"> as there </w:t>
                            </w:r>
                            <w:r w:rsidR="003D7903">
                              <w:t>is no co</w:t>
                            </w:r>
                            <w:r w:rsidR="0099306B">
                              <w:t xml:space="preserve">nceptual case or data that suggest this impacts </w:t>
                            </w:r>
                            <w:r w:rsidR="004966ED">
                              <w:t>some states more than others.</w:t>
                            </w:r>
                          </w:p>
                          <w:p w14:paraId="2B477BCE" w14:textId="19CAD7D5" w:rsidR="005F11A5" w:rsidRDefault="00035484" w:rsidP="00B51979">
                            <w:pPr>
                              <w:pStyle w:val="CGC2025Bullet2"/>
                            </w:pPr>
                            <w:r>
                              <w:t>No additional</w:t>
                            </w:r>
                            <w:r w:rsidRPr="00035484">
                              <w:t xml:space="preserve"> discounts </w:t>
                            </w:r>
                            <w:r>
                              <w:t>will be applied</w:t>
                            </w:r>
                            <w:r w:rsidRPr="00035484">
                              <w:t xml:space="preserve"> outside of the already discounted </w:t>
                            </w:r>
                            <w:r w:rsidR="004B392A">
                              <w:t xml:space="preserve">general </w:t>
                            </w:r>
                            <w:r w:rsidRPr="00035484">
                              <w:t xml:space="preserve">service delivery scale </w:t>
                            </w:r>
                            <w:r w:rsidR="00670BDB">
                              <w:t xml:space="preserve">costs </w:t>
                            </w:r>
                            <w:r w:rsidRPr="00035484">
                              <w:t>gradient</w:t>
                            </w:r>
                            <w:r w:rsidR="00631EE9">
                              <w:t>.</w:t>
                            </w:r>
                          </w:p>
                          <w:p w14:paraId="5D0F6A3E" w14:textId="214ABE09" w:rsidR="00F51C6F" w:rsidRPr="00150A17" w:rsidRDefault="0074396C" w:rsidP="007C396B">
                            <w:pPr>
                              <w:pStyle w:val="CGC2025Bullet1"/>
                            </w:pPr>
                            <w:r w:rsidRPr="00150A17">
                              <w:t>C</w:t>
                            </w:r>
                            <w:r w:rsidR="00AA5256" w:rsidRPr="00150A17">
                              <w:t>h</w:t>
                            </w:r>
                            <w:r w:rsidR="0051288F" w:rsidRPr="00150A17">
                              <w:t xml:space="preserve">anges </w:t>
                            </w:r>
                            <w:r w:rsidR="00F357F4" w:rsidRPr="00150A17">
                              <w:t xml:space="preserve">made </w:t>
                            </w:r>
                            <w:r w:rsidRPr="00150A17">
                              <w:t>to</w:t>
                            </w:r>
                            <w:r w:rsidR="0051288F" w:rsidRPr="00150A17">
                              <w:t xml:space="preserve"> the justice assessment</w:t>
                            </w:r>
                            <w:r w:rsidRPr="00150A17">
                              <w:t xml:space="preserve"> method</w:t>
                            </w:r>
                            <w:r w:rsidR="00FF3B44" w:rsidRPr="00150A17">
                              <w:t xml:space="preserve"> </w:t>
                            </w:r>
                            <w:r w:rsidR="0051288F" w:rsidRPr="00150A17">
                              <w:t>have implications fo</w:t>
                            </w:r>
                            <w:r w:rsidR="0064124E" w:rsidRPr="00150A17">
                              <w:t>r</w:t>
                            </w:r>
                            <w:r w:rsidR="00FE054B" w:rsidRPr="00150A17">
                              <w:t xml:space="preserve"> the</w:t>
                            </w:r>
                            <w:r w:rsidR="00382535" w:rsidRPr="00150A17">
                              <w:t xml:space="preserve"> Commission</w:t>
                            </w:r>
                            <w:r w:rsidR="004D2A5B" w:rsidRPr="00150A17">
                              <w:t>’s</w:t>
                            </w:r>
                            <w:r w:rsidR="0051288F" w:rsidRPr="00150A17">
                              <w:t xml:space="preserve"> </w:t>
                            </w:r>
                            <w:r w:rsidR="00F65BE4" w:rsidRPr="00150A17">
                              <w:t xml:space="preserve">geography </w:t>
                            </w:r>
                            <w:r w:rsidR="004D2A5B" w:rsidRPr="00150A17">
                              <w:t>assessment</w:t>
                            </w:r>
                            <w:r w:rsidR="000C2096" w:rsidRPr="00150A17">
                              <w:t xml:space="preserve"> (see </w:t>
                            </w:r>
                            <w:r w:rsidR="00987291" w:rsidRPr="00150A17">
                              <w:t>A</w:t>
                            </w:r>
                            <w:r w:rsidR="000C2096" w:rsidRPr="00150A17">
                              <w:t>ttachment B</w:t>
                            </w:r>
                            <w:r w:rsidR="00987291" w:rsidRPr="00150A17">
                              <w:t>)</w:t>
                            </w:r>
                            <w:r w:rsidR="00B108C1" w:rsidRPr="00150A17">
                              <w:t>.</w:t>
                            </w:r>
                            <w:r w:rsidR="00B21985" w:rsidRPr="00150A17">
                              <w:t xml:space="preserve"> </w:t>
                            </w:r>
                          </w:p>
                          <w:p w14:paraId="31834F44" w14:textId="164D5DD2" w:rsidR="00F51C6F" w:rsidRPr="00150A17" w:rsidRDefault="002C6765" w:rsidP="00F51C6F">
                            <w:pPr>
                              <w:pStyle w:val="CGC2025Bullet2"/>
                            </w:pPr>
                            <w:r w:rsidRPr="00150A17">
                              <w:t>A</w:t>
                            </w:r>
                            <w:r w:rsidR="00AF2858" w:rsidRPr="00150A17">
                              <w:t xml:space="preserve"> new ge</w:t>
                            </w:r>
                            <w:r w:rsidR="00E960DB" w:rsidRPr="00150A17">
                              <w:t xml:space="preserve">neral service delivery </w:t>
                            </w:r>
                            <w:r w:rsidR="00BD537A">
                              <w:t>scale</w:t>
                            </w:r>
                            <w:r w:rsidR="00FF596B">
                              <w:t xml:space="preserve"> costs</w:t>
                            </w:r>
                            <w:r w:rsidR="00BD537A">
                              <w:t xml:space="preserve"> </w:t>
                            </w:r>
                            <w:r w:rsidR="00E960DB" w:rsidRPr="00150A17">
                              <w:t>gradient</w:t>
                            </w:r>
                            <w:r w:rsidRPr="00150A17">
                              <w:t xml:space="preserve"> </w:t>
                            </w:r>
                            <w:r w:rsidR="000902C1" w:rsidRPr="00150A17">
                              <w:t xml:space="preserve">will be developed </w:t>
                            </w:r>
                            <w:r w:rsidR="00F942D3" w:rsidRPr="00150A17">
                              <w:t>for a</w:t>
                            </w:r>
                            <w:r w:rsidRPr="00150A17">
                              <w:t>ssessing service delivery scale in prisons</w:t>
                            </w:r>
                            <w:r w:rsidR="00E960DB" w:rsidRPr="00150A17">
                              <w:t>.</w:t>
                            </w:r>
                            <w:r w:rsidR="00DA07DD" w:rsidRPr="00150A17">
                              <w:t xml:space="preserve"> </w:t>
                            </w:r>
                          </w:p>
                          <w:p w14:paraId="0FA772F2" w14:textId="474EB505" w:rsidR="006134EB" w:rsidRPr="00150A17" w:rsidRDefault="000C67B2" w:rsidP="00F51C6F">
                            <w:pPr>
                              <w:pStyle w:val="CGC2025Bullet2"/>
                            </w:pPr>
                            <w:r w:rsidRPr="00150A17">
                              <w:t xml:space="preserve">Justice data </w:t>
                            </w:r>
                            <w:r w:rsidR="00842C65" w:rsidRPr="00150A17">
                              <w:t xml:space="preserve">will not </w:t>
                            </w:r>
                            <w:r w:rsidR="004A796C" w:rsidRPr="00150A17">
                              <w:t>be used to inform the general gradient</w:t>
                            </w:r>
                            <w:r w:rsidR="00173967" w:rsidRPr="00150A17">
                              <w:t>s</w:t>
                            </w:r>
                            <w:r w:rsidR="00D46AF8" w:rsidRPr="00150A17">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E79218" id="Text Box 1148255139" o:spid="_x0000_s1027" type="#_x0000_t202" style="position:absolute;margin-left:3.45pt;margin-top:0;width:461.75pt;height:585.2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" fillcolor="#e5f8ff" strokecolor="window">
                <v:textbox>
                  <w:txbxContent>
                    <w:p w14:paraId="13ED442F" w14:textId="23F00257" w:rsidR="00146086" w:rsidRDefault="006A0454" w:rsidP="0070367E">
                      <w:pPr>
                        <w:pStyle w:val="CGC2025Bullet2"/>
                      </w:pPr>
                      <w:r>
                        <w:t>Additional</w:t>
                      </w:r>
                      <w:r w:rsidR="006E45B9" w:rsidRPr="006E45B9">
                        <w:t xml:space="preserve"> discounts or equal per capita assessments</w:t>
                      </w:r>
                      <w:r>
                        <w:t xml:space="preserve"> will not be </w:t>
                      </w:r>
                      <w:r w:rsidR="00DC53AD">
                        <w:t xml:space="preserve">applied </w:t>
                      </w:r>
                      <w:r w:rsidR="006E45B9" w:rsidRPr="006E45B9">
                        <w:t>in response to policy neutrality</w:t>
                      </w:r>
                      <w:r w:rsidR="00C754EC">
                        <w:t xml:space="preserve"> </w:t>
                      </w:r>
                      <w:r w:rsidR="00CE4DC4">
                        <w:t>or policy barrier</w:t>
                      </w:r>
                      <w:r w:rsidR="006E45B9" w:rsidRPr="006E45B9">
                        <w:t xml:space="preserve"> concerns</w:t>
                      </w:r>
                      <w:r w:rsidR="006170FF">
                        <w:t xml:space="preserve"> in police</w:t>
                      </w:r>
                      <w:r w:rsidR="00DC53AD">
                        <w:t>.</w:t>
                      </w:r>
                    </w:p>
                    <w:p w14:paraId="20670B29" w14:textId="6BADDD1C" w:rsidR="00494A13" w:rsidRDefault="00494A13" w:rsidP="0070367E">
                      <w:pPr>
                        <w:pStyle w:val="CGC2025Bullet2"/>
                      </w:pPr>
                      <w:r>
                        <w:t>The</w:t>
                      </w:r>
                      <w:r w:rsidR="009E620E">
                        <w:t xml:space="preserve"> police</w:t>
                      </w:r>
                      <w:r w:rsidR="00C86C78">
                        <w:t xml:space="preserve"> regression </w:t>
                      </w:r>
                      <w:r w:rsidR="006225FF">
                        <w:t xml:space="preserve">model, </w:t>
                      </w:r>
                      <w:r w:rsidR="00795263">
                        <w:t>which</w:t>
                      </w:r>
                      <w:r w:rsidR="006225FF">
                        <w:t xml:space="preserve"> </w:t>
                      </w:r>
                      <w:r w:rsidR="006C5F87">
                        <w:t>recognises reacti</w:t>
                      </w:r>
                      <w:r w:rsidR="00DA425A">
                        <w:t>ve</w:t>
                      </w:r>
                      <w:r w:rsidR="006C5F87">
                        <w:t xml:space="preserve"> </w:t>
                      </w:r>
                      <w:r w:rsidR="00D964F6">
                        <w:t xml:space="preserve">and preventative policing activities </w:t>
                      </w:r>
                      <w:r w:rsidR="0078602E">
                        <w:t xml:space="preserve">and </w:t>
                      </w:r>
                      <w:r w:rsidR="00511395">
                        <w:t xml:space="preserve">accounts for different police </w:t>
                      </w:r>
                      <w:r w:rsidR="00511395" w:rsidRPr="009755A3">
                        <w:t>district size</w:t>
                      </w:r>
                      <w:r w:rsidR="00511395">
                        <w:t xml:space="preserve"> and population</w:t>
                      </w:r>
                      <w:r w:rsidR="00795263">
                        <w:t>, will be broadly retained.</w:t>
                      </w:r>
                    </w:p>
                    <w:p w14:paraId="5186E37D" w14:textId="2B1B3482" w:rsidR="00DC53AD" w:rsidRDefault="00D32012" w:rsidP="006E45B9">
                      <w:pPr>
                        <w:pStyle w:val="CGC2025Bullet2"/>
                      </w:pPr>
                      <w:r>
                        <w:t>A</w:t>
                      </w:r>
                      <w:r w:rsidR="00221498">
                        <w:t xml:space="preserve">dding </w:t>
                      </w:r>
                      <w:r w:rsidR="00470FD0">
                        <w:t>a remote offender variable</w:t>
                      </w:r>
                      <w:r w:rsidR="00D84641">
                        <w:t xml:space="preserve"> </w:t>
                      </w:r>
                      <w:r w:rsidR="00221498">
                        <w:t>in the</w:t>
                      </w:r>
                      <w:r w:rsidR="00C71841">
                        <w:t xml:space="preserve"> police</w:t>
                      </w:r>
                      <w:r w:rsidR="00221498">
                        <w:t xml:space="preserve"> regression </w:t>
                      </w:r>
                      <w:r>
                        <w:t xml:space="preserve">did not sufficiently improve the </w:t>
                      </w:r>
                      <w:r w:rsidR="00262740">
                        <w:t>regression</w:t>
                      </w:r>
                      <w:r w:rsidR="00262740" w:rsidDel="00CA1913">
                        <w:t xml:space="preserve"> </w:t>
                      </w:r>
                      <w:r w:rsidR="00262740">
                        <w:t xml:space="preserve">to </w:t>
                      </w:r>
                      <w:r w:rsidR="00D84641">
                        <w:t>warran</w:t>
                      </w:r>
                      <w:r w:rsidR="00FD55C5">
                        <w:t>t its inclusion</w:t>
                      </w:r>
                      <w:r w:rsidR="00397E93">
                        <w:t xml:space="preserve"> given the added complexity</w:t>
                      </w:r>
                      <w:r w:rsidR="00D84641">
                        <w:t>.</w:t>
                      </w:r>
                    </w:p>
                    <w:p w14:paraId="54849D92" w14:textId="2DEEF28F" w:rsidR="00463CBF" w:rsidRDefault="0004585E" w:rsidP="000E0580">
                      <w:pPr>
                        <w:pStyle w:val="CGC2025Bullet2"/>
                      </w:pPr>
                      <w:r>
                        <w:t>P</w:t>
                      </w:r>
                      <w:r w:rsidR="000E0580" w:rsidRPr="000E0580">
                        <w:t>roceedings counts</w:t>
                      </w:r>
                      <w:r w:rsidR="00463CBF">
                        <w:t xml:space="preserve"> will</w:t>
                      </w:r>
                      <w:r w:rsidR="00651EE8">
                        <w:t xml:space="preserve"> </w:t>
                      </w:r>
                      <w:r w:rsidR="008469C6">
                        <w:t>continue</w:t>
                      </w:r>
                      <w:r w:rsidR="00651EE8">
                        <w:t xml:space="preserve"> to</w:t>
                      </w:r>
                      <w:r w:rsidR="00463CBF">
                        <w:t xml:space="preserve"> be used</w:t>
                      </w:r>
                      <w:r w:rsidR="000E0580" w:rsidRPr="000E0580">
                        <w:t xml:space="preserve"> for </w:t>
                      </w:r>
                      <w:r w:rsidR="008469C6">
                        <w:t>the Commission’s</w:t>
                      </w:r>
                      <w:r w:rsidR="000E0580" w:rsidRPr="000E0580">
                        <w:t xml:space="preserve"> measure of offenders</w:t>
                      </w:r>
                      <w:r w:rsidR="00934E29">
                        <w:t xml:space="preserve"> as it is the best measure to capture </w:t>
                      </w:r>
                      <w:r w:rsidR="001F73FF">
                        <w:t xml:space="preserve">people that offend </w:t>
                      </w:r>
                      <w:r w:rsidR="00C825CD">
                        <w:t>more than once in a single year</w:t>
                      </w:r>
                      <w:r w:rsidR="008469C6">
                        <w:t>.</w:t>
                      </w:r>
                    </w:p>
                    <w:p w14:paraId="6DB2C2F3" w14:textId="077979BA" w:rsidR="000E0580" w:rsidRDefault="003830B6" w:rsidP="000E0580">
                      <w:pPr>
                        <w:pStyle w:val="CGC2025Bullet2"/>
                      </w:pPr>
                      <w:r>
                        <w:t>T</w:t>
                      </w:r>
                      <w:r w:rsidR="000E0580" w:rsidRPr="000E0580">
                        <w:t>raffic and breach of bail offence data</w:t>
                      </w:r>
                      <w:r>
                        <w:t xml:space="preserve"> will continue to be excluded</w:t>
                      </w:r>
                      <w:r w:rsidR="000E0580" w:rsidRPr="000E0580">
                        <w:t xml:space="preserve"> from </w:t>
                      </w:r>
                      <w:r>
                        <w:t>police</w:t>
                      </w:r>
                      <w:r w:rsidR="00F56716">
                        <w:t xml:space="preserve"> as</w:t>
                      </w:r>
                      <w:r w:rsidR="003B0CA1">
                        <w:t xml:space="preserve"> there are</w:t>
                      </w:r>
                      <w:r w:rsidR="00F56716">
                        <w:t xml:space="preserve"> data quality </w:t>
                      </w:r>
                      <w:r w:rsidR="003B0CA1">
                        <w:t>concerns with their use</w:t>
                      </w:r>
                      <w:r>
                        <w:t>.</w:t>
                      </w:r>
                    </w:p>
                    <w:p w14:paraId="66174431" w14:textId="211709E5" w:rsidR="00AD73A2" w:rsidRDefault="007551F7" w:rsidP="000E0580">
                      <w:pPr>
                        <w:pStyle w:val="CGC2025Bullet2"/>
                      </w:pPr>
                      <w:r>
                        <w:t>A s</w:t>
                      </w:r>
                      <w:r w:rsidR="00A814F9">
                        <w:t xml:space="preserve">uitable </w:t>
                      </w:r>
                      <w:r w:rsidR="00CE2E12">
                        <w:t xml:space="preserve">definition </w:t>
                      </w:r>
                      <w:r w:rsidR="00A814F9">
                        <w:t xml:space="preserve">and </w:t>
                      </w:r>
                      <w:r w:rsidR="007A4EDF">
                        <w:t>d</w:t>
                      </w:r>
                      <w:r w:rsidR="00CE2E12">
                        <w:t>ata</w:t>
                      </w:r>
                      <w:r w:rsidR="007A4EDF">
                        <w:t xml:space="preserve"> </w:t>
                      </w:r>
                      <w:r w:rsidR="002F32CF">
                        <w:t>could not be identified</w:t>
                      </w:r>
                      <w:r w:rsidR="007A4EDF">
                        <w:t xml:space="preserve"> </w:t>
                      </w:r>
                      <w:r w:rsidR="00C42D38">
                        <w:t>for</w:t>
                      </w:r>
                      <w:r w:rsidR="007A4EDF">
                        <w:t xml:space="preserve"> </w:t>
                      </w:r>
                      <w:r w:rsidR="009B7B47">
                        <w:t>introduc</w:t>
                      </w:r>
                      <w:r w:rsidR="00C42D38">
                        <w:t>ing</w:t>
                      </w:r>
                      <w:r w:rsidR="00AC3EF8">
                        <w:t xml:space="preserve"> a </w:t>
                      </w:r>
                      <w:r w:rsidR="00E534FB">
                        <w:t>global cities</w:t>
                      </w:r>
                      <w:r w:rsidR="009B7B47">
                        <w:t xml:space="preserve"> driver in police.</w:t>
                      </w:r>
                    </w:p>
                    <w:p w14:paraId="78925EAB" w14:textId="3639A4D2" w:rsidR="00F175BB" w:rsidRDefault="00C953D3" w:rsidP="000E0580">
                      <w:pPr>
                        <w:pStyle w:val="CGC2025Bullet2"/>
                      </w:pPr>
                      <w:r>
                        <w:t xml:space="preserve">Finalised defendants </w:t>
                      </w:r>
                      <w:r w:rsidR="000B4F71">
                        <w:t xml:space="preserve">(rather than population) </w:t>
                      </w:r>
                      <w:r>
                        <w:t xml:space="preserve">will continue to be </w:t>
                      </w:r>
                      <w:r w:rsidR="00E53A5C">
                        <w:t>used as a measure of need in criminal courts</w:t>
                      </w:r>
                      <w:r w:rsidR="008869F6">
                        <w:t xml:space="preserve"> </w:t>
                      </w:r>
                      <w:r w:rsidR="00CD6D6C">
                        <w:t xml:space="preserve">as </w:t>
                      </w:r>
                      <w:r w:rsidR="000A3DF9">
                        <w:t>the</w:t>
                      </w:r>
                      <w:r w:rsidR="00DA4B2C">
                        <w:t xml:space="preserve">re is a strong conceptual case that </w:t>
                      </w:r>
                      <w:r w:rsidR="00FA7207">
                        <w:t>defend</w:t>
                      </w:r>
                      <w:r w:rsidR="0021658A">
                        <w:t>ants drive criminal court</w:t>
                      </w:r>
                      <w:r w:rsidR="00BE1C13">
                        <w:t xml:space="preserve"> expenses</w:t>
                      </w:r>
                      <w:r w:rsidR="00E53A5C">
                        <w:t>.</w:t>
                      </w:r>
                    </w:p>
                    <w:p w14:paraId="663AA8AF" w14:textId="60677017" w:rsidR="002E2BDF" w:rsidRDefault="002E2BDF" w:rsidP="002E2BDF">
                      <w:pPr>
                        <w:pStyle w:val="CGC2025Bullet2"/>
                      </w:pPr>
                      <w:r>
                        <w:t>D</w:t>
                      </w:r>
                      <w:r w:rsidRPr="002E2BDF">
                        <w:t>ata from all states</w:t>
                      </w:r>
                      <w:r w:rsidR="00BC299B">
                        <w:t xml:space="preserve"> will</w:t>
                      </w:r>
                      <w:r w:rsidR="00C040FF">
                        <w:t xml:space="preserve"> continue to</w:t>
                      </w:r>
                      <w:r w:rsidR="00BC299B">
                        <w:t xml:space="preserve"> be used</w:t>
                      </w:r>
                      <w:r w:rsidRPr="002E2BDF">
                        <w:t xml:space="preserve"> </w:t>
                      </w:r>
                      <w:r w:rsidR="00BC299B">
                        <w:t>to determine</w:t>
                      </w:r>
                      <w:r w:rsidRPr="002E2BDF">
                        <w:t xml:space="preserve"> the socio</w:t>
                      </w:r>
                      <w:r>
                        <w:noBreakHyphen/>
                      </w:r>
                      <w:r w:rsidRPr="002E2BDF">
                        <w:t xml:space="preserve">demographic composition </w:t>
                      </w:r>
                      <w:r w:rsidR="000E061C">
                        <w:t xml:space="preserve">of defendants. These </w:t>
                      </w:r>
                      <w:r w:rsidR="00E575AD">
                        <w:t xml:space="preserve">will continue to be disaggregated by </w:t>
                      </w:r>
                      <w:r w:rsidR="003A1A74">
                        <w:t xml:space="preserve">Indigenous status, </w:t>
                      </w:r>
                      <w:r w:rsidR="00E575AD">
                        <w:t>age,</w:t>
                      </w:r>
                      <w:r w:rsidR="003A1A74">
                        <w:t xml:space="preserve"> </w:t>
                      </w:r>
                      <w:r w:rsidR="009576FE">
                        <w:t xml:space="preserve">socio-economic status and </w:t>
                      </w:r>
                      <w:r w:rsidR="001B36F1">
                        <w:t>remoteness</w:t>
                      </w:r>
                      <w:r w:rsidR="00970803">
                        <w:t>.</w:t>
                      </w:r>
                    </w:p>
                    <w:p w14:paraId="3D4BE820" w14:textId="545FE148" w:rsidR="00A814F9" w:rsidRDefault="007F6429" w:rsidP="000E0580">
                      <w:pPr>
                        <w:pStyle w:val="CGC2025Bullet2"/>
                      </w:pPr>
                      <w:r>
                        <w:t>State data will continue to be used to split the criminal court</w:t>
                      </w:r>
                      <w:r w:rsidR="007258D3">
                        <w:t>s</w:t>
                      </w:r>
                      <w:r>
                        <w:t xml:space="preserve"> and other legal services </w:t>
                      </w:r>
                      <w:r w:rsidR="00CA30E1">
                        <w:t>budgets</w:t>
                      </w:r>
                      <w:r w:rsidR="00306D77">
                        <w:t xml:space="preserve"> as th</w:t>
                      </w:r>
                      <w:r w:rsidR="009553B4">
                        <w:t xml:space="preserve">ey are the best source of </w:t>
                      </w:r>
                      <w:r w:rsidR="003B0684">
                        <w:t xml:space="preserve">expense </w:t>
                      </w:r>
                      <w:r w:rsidR="009553B4">
                        <w:t xml:space="preserve">data for all court and legal </w:t>
                      </w:r>
                      <w:r w:rsidR="00B65AAB">
                        <w:t>services.</w:t>
                      </w:r>
                    </w:p>
                    <w:p w14:paraId="7E28C1C5" w14:textId="07BD3B4E" w:rsidR="00D53F1C" w:rsidRDefault="003B246D" w:rsidP="000E0580">
                      <w:pPr>
                        <w:pStyle w:val="CGC2025Bullet2"/>
                      </w:pPr>
                      <w:r>
                        <w:t xml:space="preserve">A separate assessment of community corrections will not be included in prisons as </w:t>
                      </w:r>
                      <w:r w:rsidR="004A41AC">
                        <w:t xml:space="preserve">such an assessment </w:t>
                      </w:r>
                      <w:r w:rsidR="003F00EF">
                        <w:t>is not material.</w:t>
                      </w:r>
                    </w:p>
                    <w:p w14:paraId="32FBFBA9" w14:textId="0C3EAEFB" w:rsidR="00C31668" w:rsidRDefault="009071F8" w:rsidP="00C31668">
                      <w:pPr>
                        <w:pStyle w:val="CGC2025Bullet2"/>
                      </w:pPr>
                      <w:r>
                        <w:t xml:space="preserve">No </w:t>
                      </w:r>
                      <w:r w:rsidR="0089792A" w:rsidRPr="0089792A">
                        <w:t>change</w:t>
                      </w:r>
                      <w:r>
                        <w:t>s</w:t>
                      </w:r>
                      <w:r w:rsidR="00C31668" w:rsidRPr="00C31668">
                        <w:t xml:space="preserve"> </w:t>
                      </w:r>
                      <w:r w:rsidR="0051760C">
                        <w:t xml:space="preserve">will </w:t>
                      </w:r>
                      <w:r>
                        <w:t>be made to</w:t>
                      </w:r>
                      <w:r w:rsidR="0089792A" w:rsidRPr="0089792A">
                        <w:t xml:space="preserve"> the conceptual framework </w:t>
                      </w:r>
                      <w:r w:rsidR="008F0077" w:rsidRPr="001243EA">
                        <w:t>of</w:t>
                      </w:r>
                      <w:r w:rsidR="0089792A" w:rsidRPr="00337955">
                        <w:t xml:space="preserve"> </w:t>
                      </w:r>
                      <w:r w:rsidR="00C205C3" w:rsidRPr="00337955">
                        <w:t>the</w:t>
                      </w:r>
                      <w:r w:rsidR="0089792A" w:rsidRPr="001243EA">
                        <w:t xml:space="preserve"> </w:t>
                      </w:r>
                      <w:r w:rsidR="00562DF0" w:rsidRPr="001243EA">
                        <w:t>assessed prisoner model</w:t>
                      </w:r>
                      <w:r w:rsidR="0089792A" w:rsidRPr="0089792A">
                        <w:t xml:space="preserve"> to reflect state objectives relating to prisoner welfare, health or reintegration</w:t>
                      </w:r>
                      <w:r w:rsidR="003A7E12">
                        <w:t xml:space="preserve"> as there </w:t>
                      </w:r>
                      <w:r w:rsidR="003D7903">
                        <w:t>is no co</w:t>
                      </w:r>
                      <w:r w:rsidR="0099306B">
                        <w:t xml:space="preserve">nceptual case or data that suggest this impacts </w:t>
                      </w:r>
                      <w:r w:rsidR="004966ED">
                        <w:t>some states more than others.</w:t>
                      </w:r>
                    </w:p>
                    <w:p w14:paraId="2B477BCE" w14:textId="19CAD7D5" w:rsidR="005F11A5" w:rsidRDefault="00035484" w:rsidP="00B51979">
                      <w:pPr>
                        <w:pStyle w:val="CGC2025Bullet2"/>
                      </w:pPr>
                      <w:r>
                        <w:t>No additional</w:t>
                      </w:r>
                      <w:r w:rsidRPr="00035484">
                        <w:t xml:space="preserve"> discounts </w:t>
                      </w:r>
                      <w:r>
                        <w:t>will be applied</w:t>
                      </w:r>
                      <w:r w:rsidRPr="00035484">
                        <w:t xml:space="preserve"> outside of the already discounted </w:t>
                      </w:r>
                      <w:r w:rsidR="004B392A">
                        <w:t xml:space="preserve">general </w:t>
                      </w:r>
                      <w:r w:rsidRPr="00035484">
                        <w:t xml:space="preserve">service delivery scale </w:t>
                      </w:r>
                      <w:r w:rsidR="00670BDB">
                        <w:t xml:space="preserve">costs </w:t>
                      </w:r>
                      <w:r w:rsidRPr="00035484">
                        <w:t>gradient</w:t>
                      </w:r>
                      <w:r w:rsidR="00631EE9">
                        <w:t>.</w:t>
                      </w:r>
                    </w:p>
                    <w:p w14:paraId="5D0F6A3E" w14:textId="214ABE09" w:rsidR="00F51C6F" w:rsidRPr="00150A17" w:rsidRDefault="0074396C" w:rsidP="007C396B">
                      <w:pPr>
                        <w:pStyle w:val="CGC2025Bullet1"/>
                      </w:pPr>
                      <w:r w:rsidRPr="00150A17">
                        <w:t>C</w:t>
                      </w:r>
                      <w:r w:rsidR="00AA5256" w:rsidRPr="00150A17">
                        <w:t>h</w:t>
                      </w:r>
                      <w:r w:rsidR="0051288F" w:rsidRPr="00150A17">
                        <w:t xml:space="preserve">anges </w:t>
                      </w:r>
                      <w:r w:rsidR="00F357F4" w:rsidRPr="00150A17">
                        <w:t xml:space="preserve">made </w:t>
                      </w:r>
                      <w:r w:rsidRPr="00150A17">
                        <w:t>to</w:t>
                      </w:r>
                      <w:r w:rsidR="0051288F" w:rsidRPr="00150A17">
                        <w:t xml:space="preserve"> the justice assessment</w:t>
                      </w:r>
                      <w:r w:rsidRPr="00150A17">
                        <w:t xml:space="preserve"> method</w:t>
                      </w:r>
                      <w:r w:rsidR="00FF3B44" w:rsidRPr="00150A17">
                        <w:t xml:space="preserve"> </w:t>
                      </w:r>
                      <w:r w:rsidR="0051288F" w:rsidRPr="00150A17">
                        <w:t>have implications fo</w:t>
                      </w:r>
                      <w:r w:rsidR="0064124E" w:rsidRPr="00150A17">
                        <w:t>r</w:t>
                      </w:r>
                      <w:r w:rsidR="00FE054B" w:rsidRPr="00150A17">
                        <w:t xml:space="preserve"> the</w:t>
                      </w:r>
                      <w:r w:rsidR="00382535" w:rsidRPr="00150A17">
                        <w:t xml:space="preserve"> Commission</w:t>
                      </w:r>
                      <w:r w:rsidR="004D2A5B" w:rsidRPr="00150A17">
                        <w:t>’s</w:t>
                      </w:r>
                      <w:r w:rsidR="0051288F" w:rsidRPr="00150A17">
                        <w:t xml:space="preserve"> </w:t>
                      </w:r>
                      <w:r w:rsidR="00F65BE4" w:rsidRPr="00150A17">
                        <w:t xml:space="preserve">geography </w:t>
                      </w:r>
                      <w:r w:rsidR="004D2A5B" w:rsidRPr="00150A17">
                        <w:t>assessment</w:t>
                      </w:r>
                      <w:r w:rsidR="000C2096" w:rsidRPr="00150A17">
                        <w:t xml:space="preserve"> (see </w:t>
                      </w:r>
                      <w:r w:rsidR="00987291" w:rsidRPr="00150A17">
                        <w:t>A</w:t>
                      </w:r>
                      <w:r w:rsidR="000C2096" w:rsidRPr="00150A17">
                        <w:t>ttachment B</w:t>
                      </w:r>
                      <w:r w:rsidR="00987291" w:rsidRPr="00150A17">
                        <w:t>)</w:t>
                      </w:r>
                      <w:r w:rsidR="00B108C1" w:rsidRPr="00150A17">
                        <w:t>.</w:t>
                      </w:r>
                      <w:r w:rsidR="00B21985" w:rsidRPr="00150A17">
                        <w:t xml:space="preserve"> </w:t>
                      </w:r>
                    </w:p>
                    <w:p w14:paraId="31834F44" w14:textId="164D5DD2" w:rsidR="00F51C6F" w:rsidRPr="00150A17" w:rsidRDefault="002C6765" w:rsidP="00F51C6F">
                      <w:pPr>
                        <w:pStyle w:val="CGC2025Bullet2"/>
                      </w:pPr>
                      <w:r w:rsidRPr="00150A17">
                        <w:t>A</w:t>
                      </w:r>
                      <w:r w:rsidR="00AF2858" w:rsidRPr="00150A17">
                        <w:t xml:space="preserve"> new ge</w:t>
                      </w:r>
                      <w:r w:rsidR="00E960DB" w:rsidRPr="00150A17">
                        <w:t xml:space="preserve">neral service delivery </w:t>
                      </w:r>
                      <w:r w:rsidR="00BD537A">
                        <w:t>scale</w:t>
                      </w:r>
                      <w:r w:rsidR="00FF596B">
                        <w:t xml:space="preserve"> costs</w:t>
                      </w:r>
                      <w:r w:rsidR="00BD537A">
                        <w:t xml:space="preserve"> </w:t>
                      </w:r>
                      <w:r w:rsidR="00E960DB" w:rsidRPr="00150A17">
                        <w:t>gradient</w:t>
                      </w:r>
                      <w:r w:rsidRPr="00150A17">
                        <w:t xml:space="preserve"> </w:t>
                      </w:r>
                      <w:r w:rsidR="000902C1" w:rsidRPr="00150A17">
                        <w:t xml:space="preserve">will be developed </w:t>
                      </w:r>
                      <w:r w:rsidR="00F942D3" w:rsidRPr="00150A17">
                        <w:t>for a</w:t>
                      </w:r>
                      <w:r w:rsidRPr="00150A17">
                        <w:t>ssessing service delivery scale in prisons</w:t>
                      </w:r>
                      <w:r w:rsidR="00E960DB" w:rsidRPr="00150A17">
                        <w:t>.</w:t>
                      </w:r>
                      <w:r w:rsidR="00DA07DD" w:rsidRPr="00150A17">
                        <w:t xml:space="preserve"> </w:t>
                      </w:r>
                    </w:p>
                    <w:p w14:paraId="0FA772F2" w14:textId="474EB505" w:rsidR="006134EB" w:rsidRPr="00150A17" w:rsidRDefault="000C67B2" w:rsidP="00F51C6F">
                      <w:pPr>
                        <w:pStyle w:val="CGC2025Bullet2"/>
                      </w:pPr>
                      <w:r w:rsidRPr="00150A17">
                        <w:t xml:space="preserve">Justice data </w:t>
                      </w:r>
                      <w:r w:rsidR="00842C65" w:rsidRPr="00150A17">
                        <w:t xml:space="preserve">will not </w:t>
                      </w:r>
                      <w:r w:rsidR="004A796C" w:rsidRPr="00150A17">
                        <w:t>be used to inform the general gradient</w:t>
                      </w:r>
                      <w:r w:rsidR="00173967" w:rsidRPr="00150A17">
                        <w:t>s</w:t>
                      </w:r>
                      <w:r w:rsidR="00D46AF8" w:rsidRPr="00150A17">
                        <w:t>.</w:t>
                      </w:r>
                    </w:p>
                  </w:txbxContent>
                </v:textbox>
                <w10:wrap type="square" anchorx="margin"/>
              </v:shape>
            </w:pict>
          </mc:Fallback>
        </mc:AlternateContent>
      </w:r>
      <w:r w:rsidR="00F5352E">
        <w:t>Introduction</w:t>
      </w:r>
    </w:p>
    <w:p w14:paraId="36127B49" w14:textId="79ADDA32" w:rsidR="004D00D8" w:rsidRDefault="00F961C0" w:rsidP="004D00D8">
      <w:pPr>
        <w:pStyle w:val="CGC2025ParaNumbers"/>
      </w:pPr>
      <w:bookmarkStart w:id="7" w:name="_Toc143786730"/>
      <w:r>
        <w:t>As part of the 2025 Methodology Review, t</w:t>
      </w:r>
      <w:r w:rsidR="004D00D8">
        <w:t xml:space="preserve">he Commission postponed </w:t>
      </w:r>
      <w:r w:rsidR="008A5945">
        <w:t xml:space="preserve">reviewing and </w:t>
      </w:r>
      <w:r w:rsidR="004D00D8">
        <w:t xml:space="preserve">implementing changes to the justice assessment until the 2026 Update. This allowed for the collection of 2022–23 and 2023–24 data, which better reflected service delivery post the COVID-19 pandemic. </w:t>
      </w:r>
      <w:r w:rsidR="00524E96">
        <w:t>It</w:t>
      </w:r>
      <w:r w:rsidR="004D00D8" w:rsidDel="00524E96">
        <w:t xml:space="preserve"> </w:t>
      </w:r>
      <w:r w:rsidR="004D00D8">
        <w:t xml:space="preserve">also enabled substantive consultation on </w:t>
      </w:r>
      <w:r w:rsidR="004D00D8">
        <w:lastRenderedPageBreak/>
        <w:t>potential method changes and for the Commission to process the new justice data for application into the model.</w:t>
      </w:r>
    </w:p>
    <w:p w14:paraId="7100BDF6" w14:textId="5F4B9473" w:rsidR="00F52493" w:rsidRPr="00AD2AFD" w:rsidRDefault="00524E96" w:rsidP="000872EA">
      <w:pPr>
        <w:pStyle w:val="CGC2025ParaNumbers"/>
      </w:pPr>
      <w:r>
        <w:t xml:space="preserve">As a result, </w:t>
      </w:r>
      <w:r w:rsidR="00F52493">
        <w:t>t</w:t>
      </w:r>
      <w:r w:rsidR="00F52493" w:rsidRPr="00A1605E">
        <w:t>he 2024 Update</w:t>
      </w:r>
      <w:r w:rsidR="00F52493">
        <w:t xml:space="preserve"> </w:t>
      </w:r>
      <w:r w:rsidR="00F52493" w:rsidRPr="00A1605E">
        <w:t>method</w:t>
      </w:r>
      <w:r w:rsidR="00F52493">
        <w:t xml:space="preserve"> was used</w:t>
      </w:r>
      <w:r w:rsidR="00F52493" w:rsidRPr="00A1605E">
        <w:t xml:space="preserve"> for recommendi</w:t>
      </w:r>
      <w:r w:rsidR="00F52493">
        <w:t>ng</w:t>
      </w:r>
      <w:r w:rsidR="00F52493" w:rsidRPr="00A1605E">
        <w:t xml:space="preserve"> GST distribution in 2025–26</w:t>
      </w:r>
      <w:r w:rsidR="00F52493">
        <w:t>.</w:t>
      </w:r>
    </w:p>
    <w:p w14:paraId="5269CD4E" w14:textId="015791B8" w:rsidR="00C46292" w:rsidRPr="00A9433D" w:rsidRDefault="00B83ACA" w:rsidP="006D3F43">
      <w:pPr>
        <w:pStyle w:val="CGC2025ParaNumbers"/>
        <w:tabs>
          <w:tab w:val="clear" w:pos="567"/>
        </w:tabs>
      </w:pPr>
      <w:r>
        <w:t xml:space="preserve">On </w:t>
      </w:r>
      <w:r w:rsidR="00435024" w:rsidRPr="00CD32BA">
        <w:t>15</w:t>
      </w:r>
      <w:r>
        <w:t xml:space="preserve"> </w:t>
      </w:r>
      <w:r w:rsidR="00D36955">
        <w:t>Oc</w:t>
      </w:r>
      <w:r w:rsidR="00FB4B3B">
        <w:t>tober</w:t>
      </w:r>
      <w:r w:rsidR="007B71E3">
        <w:t xml:space="preserve"> 2</w:t>
      </w:r>
      <w:r>
        <w:t>02</w:t>
      </w:r>
      <w:r w:rsidR="00ED1169">
        <w:t>5</w:t>
      </w:r>
      <w:r>
        <w:t xml:space="preserve">, the Commission published </w:t>
      </w:r>
      <w:r w:rsidR="00B4527E" w:rsidRPr="00A9433D">
        <w:t xml:space="preserve">the </w:t>
      </w:r>
      <w:hyperlink r:id="rId11" w:history="1">
        <w:r w:rsidR="00F4325C" w:rsidRPr="00354B90">
          <w:rPr>
            <w:rStyle w:val="Hyperlink"/>
          </w:rPr>
          <w:t>O</w:t>
        </w:r>
        <w:r w:rsidR="00ED2AE1" w:rsidRPr="00354B90">
          <w:rPr>
            <w:rStyle w:val="Hyperlink"/>
          </w:rPr>
          <w:t xml:space="preserve">verview of the final </w:t>
        </w:r>
        <w:r w:rsidR="00CD32BA" w:rsidRPr="00354B90">
          <w:rPr>
            <w:rStyle w:val="Hyperlink"/>
          </w:rPr>
          <w:t xml:space="preserve">draft </w:t>
        </w:r>
        <w:r w:rsidR="00ED2AE1" w:rsidRPr="00354B90">
          <w:rPr>
            <w:rStyle w:val="Hyperlink"/>
          </w:rPr>
          <w:t>justice assessment</w:t>
        </w:r>
      </w:hyperlink>
      <w:r w:rsidR="00CE4825" w:rsidRPr="00A9433D">
        <w:t xml:space="preserve"> for</w:t>
      </w:r>
      <w:r w:rsidRPr="00A9433D">
        <w:t xml:space="preserve"> the 2025</w:t>
      </w:r>
      <w:r w:rsidR="00167B0C" w:rsidRPr="00A9433D">
        <w:t> </w:t>
      </w:r>
      <w:r w:rsidRPr="00A9433D">
        <w:t>Methodology Review.</w:t>
      </w:r>
    </w:p>
    <w:p w14:paraId="0A8502C7" w14:textId="205AD291" w:rsidR="00B05EE4" w:rsidRPr="00A9433D" w:rsidRDefault="002358F4" w:rsidP="00B555C6">
      <w:pPr>
        <w:pStyle w:val="CGC2025ParaNumbers"/>
      </w:pPr>
      <w:r w:rsidRPr="00A9433D">
        <w:t xml:space="preserve">The </w:t>
      </w:r>
      <w:r w:rsidR="00B555C6" w:rsidRPr="00B555C6">
        <w:t xml:space="preserve">Overview of the final </w:t>
      </w:r>
      <w:r w:rsidR="00F204C7">
        <w:t xml:space="preserve">draft </w:t>
      </w:r>
      <w:r w:rsidR="00B555C6" w:rsidRPr="00B555C6">
        <w:t xml:space="preserve">justice assessment </w:t>
      </w:r>
      <w:r w:rsidR="00530FA3" w:rsidRPr="00A9433D">
        <w:t>include</w:t>
      </w:r>
      <w:r w:rsidR="00B05EE4" w:rsidRPr="00A9433D">
        <w:t>d</w:t>
      </w:r>
      <w:r w:rsidR="00530FA3" w:rsidRPr="00A9433D">
        <w:t xml:space="preserve"> a detailed analysis and response to issues raised by states </w:t>
      </w:r>
      <w:r w:rsidR="00B93967" w:rsidRPr="00A9433D">
        <w:t xml:space="preserve">and territories (states) </w:t>
      </w:r>
      <w:r w:rsidR="00530FA3" w:rsidRPr="00A9433D">
        <w:t xml:space="preserve">in their </w:t>
      </w:r>
      <w:hyperlink r:id="rId12" w:anchor=":~:text=(112.18%20KB)-,State%20submissions,-NSW%20submission" w:history="1">
        <w:r w:rsidR="00530FA3" w:rsidRPr="00A9433D">
          <w:rPr>
            <w:rStyle w:val="Hyperlink"/>
          </w:rPr>
          <w:t>submissions</w:t>
        </w:r>
      </w:hyperlink>
      <w:r w:rsidR="00530FA3" w:rsidRPr="00A9433D">
        <w:t xml:space="preserve"> on the Commission’s </w:t>
      </w:r>
      <w:hyperlink r:id="rId13" w:history="1">
        <w:r w:rsidR="00487077" w:rsidRPr="00AB7E7F">
          <w:rPr>
            <w:rStyle w:val="Hyperlink"/>
          </w:rPr>
          <w:t>justice draft position paper</w:t>
        </w:r>
      </w:hyperlink>
      <w:r w:rsidR="00B05EE4" w:rsidRPr="00A9433D">
        <w:t>.</w:t>
      </w:r>
      <w:r w:rsidR="007011C8">
        <w:t xml:space="preserve"> The </w:t>
      </w:r>
      <w:r w:rsidR="001B3FEE">
        <w:t>O</w:t>
      </w:r>
      <w:r w:rsidR="007011C8">
        <w:t>verview</w:t>
      </w:r>
      <w:r w:rsidR="00716C2F">
        <w:t xml:space="preserve"> also</w:t>
      </w:r>
      <w:r w:rsidR="007011C8">
        <w:t xml:space="preserve"> </w:t>
      </w:r>
      <w:r w:rsidR="00716C2F">
        <w:t xml:space="preserve">considered </w:t>
      </w:r>
      <w:r w:rsidR="00793054">
        <w:t xml:space="preserve">issues </w:t>
      </w:r>
      <w:r w:rsidR="00937B11">
        <w:t>raised</w:t>
      </w:r>
      <w:r w:rsidR="00DD494C">
        <w:t xml:space="preserve"> in</w:t>
      </w:r>
      <w:r w:rsidR="00C306B6">
        <w:t xml:space="preserve"> state</w:t>
      </w:r>
      <w:r w:rsidR="00DD494C">
        <w:t xml:space="preserve"> submissions to</w:t>
      </w:r>
      <w:r w:rsidR="00937B11">
        <w:t xml:space="preserve"> the </w:t>
      </w:r>
      <w:hyperlink r:id="rId14" w:history="1">
        <w:r w:rsidR="00937B11" w:rsidRPr="004A4F19">
          <w:rPr>
            <w:rStyle w:val="Hyperlink"/>
          </w:rPr>
          <w:t>Draft Report</w:t>
        </w:r>
      </w:hyperlink>
      <w:r w:rsidR="00937B11">
        <w:t xml:space="preserve"> and </w:t>
      </w:r>
      <w:hyperlink r:id="rId15" w:history="1">
        <w:r w:rsidR="00937B11" w:rsidRPr="00843ABA">
          <w:rPr>
            <w:rStyle w:val="Hyperlink"/>
          </w:rPr>
          <w:t>consultation paper</w:t>
        </w:r>
      </w:hyperlink>
      <w:r w:rsidR="00C5126D">
        <w:t>.</w:t>
      </w:r>
    </w:p>
    <w:p w14:paraId="23863F0C" w14:textId="632B755A" w:rsidR="0087650B" w:rsidRDefault="00E970BA" w:rsidP="00BF0E85">
      <w:pPr>
        <w:pStyle w:val="CGC2025ParaNumbers"/>
      </w:pPr>
      <w:r w:rsidRPr="00A9433D">
        <w:t xml:space="preserve">State submissions on the </w:t>
      </w:r>
      <w:r w:rsidR="00C15BC8" w:rsidRPr="00C15BC8">
        <w:t xml:space="preserve">Overview of the final justice assessment </w:t>
      </w:r>
      <w:r w:rsidRPr="00A9433D">
        <w:t xml:space="preserve">can be viewed </w:t>
      </w:r>
      <w:hyperlink r:id="rId16" w:history="1">
        <w:r w:rsidRPr="0085199F">
          <w:rPr>
            <w:rStyle w:val="Hyperlink"/>
          </w:rPr>
          <w:t>here</w:t>
        </w:r>
      </w:hyperlink>
      <w:r w:rsidRPr="00A9433D">
        <w:t>.</w:t>
      </w:r>
    </w:p>
    <w:p w14:paraId="52CABCE6" w14:textId="6ED38546" w:rsidR="00CD7065" w:rsidRDefault="00542091">
      <w:pPr>
        <w:pStyle w:val="CGC2025ParaNumbers"/>
      </w:pPr>
      <w:r w:rsidRPr="00A46E6F">
        <w:t xml:space="preserve">This chapter </w:t>
      </w:r>
      <w:r w:rsidR="00F83FF2" w:rsidRPr="00A46E6F">
        <w:t>includes</w:t>
      </w:r>
      <w:r w:rsidR="00B83ACA">
        <w:t>:</w:t>
      </w:r>
    </w:p>
    <w:p w14:paraId="75891BAD" w14:textId="0ECF58BC" w:rsidR="00CD7065" w:rsidRDefault="00BF083B" w:rsidP="00CD7065">
      <w:pPr>
        <w:pStyle w:val="CGC2025Bullet1"/>
      </w:pPr>
      <w:r>
        <w:t xml:space="preserve">an overview </w:t>
      </w:r>
      <w:r w:rsidR="00761320">
        <w:t xml:space="preserve">of </w:t>
      </w:r>
      <w:r w:rsidR="00C879EF">
        <w:t xml:space="preserve">the </w:t>
      </w:r>
      <w:r w:rsidR="00AE4834">
        <w:t>issues</w:t>
      </w:r>
      <w:r w:rsidR="00364F73">
        <w:t xml:space="preserve"> </w:t>
      </w:r>
      <w:r w:rsidR="00AE4834">
        <w:t xml:space="preserve">considered </w:t>
      </w:r>
      <w:r w:rsidR="00364F73">
        <w:t>throughout</w:t>
      </w:r>
      <w:r w:rsidR="00393077">
        <w:t xml:space="preserve"> the review</w:t>
      </w:r>
    </w:p>
    <w:p w14:paraId="007B7EA2" w14:textId="77777777" w:rsidR="00392E14" w:rsidRDefault="00542091" w:rsidP="00150EA4">
      <w:pPr>
        <w:pStyle w:val="CGC2025Bullet1"/>
      </w:pPr>
      <w:r>
        <w:t xml:space="preserve">the Commission’s </w:t>
      </w:r>
      <w:r w:rsidR="00C1107C">
        <w:t>response and decision</w:t>
      </w:r>
      <w:r w:rsidR="0048355A">
        <w:t>s</w:t>
      </w:r>
      <w:r>
        <w:t xml:space="preserve"> on</w:t>
      </w:r>
      <w:r w:rsidR="00392E14">
        <w:t xml:space="preserve"> each</w:t>
      </w:r>
      <w:r>
        <w:t xml:space="preserve"> issue</w:t>
      </w:r>
    </w:p>
    <w:p w14:paraId="5EE02DBE" w14:textId="4F73D5F3" w:rsidR="00150EA4" w:rsidRDefault="00392E14" w:rsidP="00150EA4">
      <w:pPr>
        <w:pStyle w:val="CGC2025Bullet1"/>
      </w:pPr>
      <w:r>
        <w:t>GST impacts of method changes.</w:t>
      </w:r>
      <w:bookmarkStart w:id="8" w:name="_Toc143786736"/>
      <w:bookmarkEnd w:id="5"/>
      <w:bookmarkEnd w:id="6"/>
      <w:bookmarkEnd w:id="7"/>
    </w:p>
    <w:p w14:paraId="39412B06" w14:textId="4B5349AF" w:rsidR="00150EA4" w:rsidRPr="00607814" w:rsidRDefault="00391DFC" w:rsidP="00680FDA">
      <w:pPr>
        <w:pStyle w:val="CGC2025ParaNumbers"/>
      </w:pPr>
      <w:r w:rsidRPr="00607814">
        <w:t xml:space="preserve">State views </w:t>
      </w:r>
      <w:r w:rsidR="002F5FB3" w:rsidRPr="00607814">
        <w:t>on the</w:t>
      </w:r>
      <w:r w:rsidR="0047548C">
        <w:t xml:space="preserve"> </w:t>
      </w:r>
      <w:r w:rsidR="00680FDA" w:rsidRPr="00680FDA">
        <w:t xml:space="preserve">Overview of the final </w:t>
      </w:r>
      <w:r w:rsidR="00B84066">
        <w:t xml:space="preserve">draft </w:t>
      </w:r>
      <w:r w:rsidR="00680FDA" w:rsidRPr="00680FDA">
        <w:t xml:space="preserve">justice assessment </w:t>
      </w:r>
      <w:r w:rsidRPr="00607814">
        <w:t>are</w:t>
      </w:r>
      <w:r w:rsidR="002F5FB3" w:rsidRPr="00607814">
        <w:t xml:space="preserve"> </w:t>
      </w:r>
      <w:r w:rsidR="00E82F1D" w:rsidRPr="00607814">
        <w:t>included</w:t>
      </w:r>
      <w:r w:rsidRPr="00607814">
        <w:t xml:space="preserve"> in this chapter.</w:t>
      </w:r>
    </w:p>
    <w:p w14:paraId="2CA4CCD5" w14:textId="4335F29F" w:rsidR="00711AE1" w:rsidRPr="00711AE1" w:rsidRDefault="00711AE1" w:rsidP="00711AE1">
      <w:pPr>
        <w:pStyle w:val="CGC2025ParaNumbers"/>
      </w:pPr>
      <w:r w:rsidRPr="00711AE1">
        <w:t xml:space="preserve">A description of the assessment method, incorporating the changes made </w:t>
      </w:r>
      <w:r w:rsidR="00FE2280">
        <w:t xml:space="preserve">from the </w:t>
      </w:r>
      <w:r w:rsidR="00167C14">
        <w:t xml:space="preserve">2025 Review and implemented </w:t>
      </w:r>
      <w:r w:rsidRPr="00711AE1">
        <w:t>in the 202</w:t>
      </w:r>
      <w:r w:rsidR="002E6FFA">
        <w:t>6 Update</w:t>
      </w:r>
      <w:r w:rsidRPr="00711AE1">
        <w:t xml:space="preserve">, can be found in the </w:t>
      </w:r>
      <w:r w:rsidR="007532F6">
        <w:t>justice</w:t>
      </w:r>
      <w:r w:rsidRPr="00711AE1">
        <w:t xml:space="preserve"> chapter of the </w:t>
      </w:r>
      <w:r w:rsidRPr="00A37AE9">
        <w:rPr>
          <w:i/>
          <w:iCs/>
        </w:rPr>
        <w:t>Commission’s</w:t>
      </w:r>
      <w:r w:rsidRPr="00711AE1">
        <w:t xml:space="preserve"> </w:t>
      </w:r>
      <w:r w:rsidRPr="007532F6">
        <w:rPr>
          <w:i/>
          <w:iCs/>
        </w:rPr>
        <w:t xml:space="preserve">Assessment </w:t>
      </w:r>
      <w:r w:rsidR="006B5D72">
        <w:rPr>
          <w:i/>
          <w:iCs/>
        </w:rPr>
        <w:t>M</w:t>
      </w:r>
      <w:r w:rsidR="00244CB8" w:rsidRPr="007532F6">
        <w:rPr>
          <w:i/>
          <w:iCs/>
        </w:rPr>
        <w:t>ethodology</w:t>
      </w:r>
      <w:r w:rsidR="00244CB8">
        <w:t>.</w:t>
      </w:r>
    </w:p>
    <w:p w14:paraId="61C97C18" w14:textId="4080F0E3" w:rsidR="00D92AB4" w:rsidRDefault="00A132B8" w:rsidP="00711AE1">
      <w:pPr>
        <w:pStyle w:val="Heading2"/>
        <w:keepNext/>
      </w:pPr>
      <w:r>
        <w:t>Issues considered</w:t>
      </w:r>
    </w:p>
    <w:p w14:paraId="55B04EDF" w14:textId="4FE050AE" w:rsidR="00123545" w:rsidRPr="00123545" w:rsidRDefault="00F35D85" w:rsidP="00A60468">
      <w:pPr>
        <w:pStyle w:val="Heading3"/>
        <w:keepNext/>
      </w:pPr>
      <w:r>
        <w:t xml:space="preserve">Justice </w:t>
      </w:r>
      <w:r w:rsidR="00852B63">
        <w:t>model</w:t>
      </w:r>
      <w:r w:rsidR="00F674B9">
        <w:t xml:space="preserve"> </w:t>
      </w:r>
      <w:r w:rsidR="00AE7F54">
        <w:t xml:space="preserve">and </w:t>
      </w:r>
      <w:r>
        <w:t>d</w:t>
      </w:r>
      <w:r w:rsidR="00353A17">
        <w:t xml:space="preserve">ata </w:t>
      </w:r>
      <w:r w:rsidR="006708D8">
        <w:t xml:space="preserve">issues </w:t>
      </w:r>
    </w:p>
    <w:p w14:paraId="249A85E8" w14:textId="412A00BA" w:rsidR="0083764A" w:rsidRPr="00C6180D" w:rsidRDefault="001A3FC0" w:rsidP="00EA54CB">
      <w:pPr>
        <w:pStyle w:val="CGC2025ParaNumbers"/>
      </w:pPr>
      <w:r w:rsidRPr="00C6180D">
        <w:t>The Commission sought state views on the</w:t>
      </w:r>
      <w:r w:rsidR="00AE1ECE" w:rsidRPr="00C6180D">
        <w:t xml:space="preserve"> </w:t>
      </w:r>
      <w:r w:rsidR="00596849" w:rsidRPr="00C6180D">
        <w:t xml:space="preserve">appropriateness </w:t>
      </w:r>
      <w:r w:rsidR="00F31CD0" w:rsidRPr="00C6180D">
        <w:t xml:space="preserve">of the </w:t>
      </w:r>
      <w:r w:rsidR="008820F8" w:rsidRPr="00C6180D">
        <w:t>2020</w:t>
      </w:r>
      <w:r w:rsidR="00984B63">
        <w:t> </w:t>
      </w:r>
      <w:r w:rsidR="008820F8" w:rsidRPr="00C6180D">
        <w:t xml:space="preserve">Review </w:t>
      </w:r>
      <w:r w:rsidR="001E26B9">
        <w:t>j</w:t>
      </w:r>
      <w:r w:rsidR="008820F8" w:rsidRPr="00C6180D">
        <w:t xml:space="preserve">ustice </w:t>
      </w:r>
      <w:r w:rsidR="00B63DBA" w:rsidRPr="00C6180D">
        <w:t>m</w:t>
      </w:r>
      <w:r w:rsidR="003B5C63" w:rsidRPr="00C6180D">
        <w:t>odel</w:t>
      </w:r>
      <w:r w:rsidR="00141457" w:rsidRPr="00C6180D">
        <w:t xml:space="preserve"> if updated with fit</w:t>
      </w:r>
      <w:r w:rsidR="00442057">
        <w:noBreakHyphen/>
      </w:r>
      <w:r w:rsidR="00141457" w:rsidRPr="00C6180D">
        <w:t>for</w:t>
      </w:r>
      <w:r w:rsidR="00442057">
        <w:noBreakHyphen/>
      </w:r>
      <w:r w:rsidR="00141457" w:rsidRPr="00C6180D">
        <w:t>purpose data.</w:t>
      </w:r>
    </w:p>
    <w:p w14:paraId="05EAE3B5" w14:textId="253488C7" w:rsidR="00824892" w:rsidRDefault="00C01829" w:rsidP="002D2B0F">
      <w:pPr>
        <w:pStyle w:val="CGC2025ParaNumbers"/>
      </w:pPr>
      <w:r>
        <w:t xml:space="preserve">Given the </w:t>
      </w:r>
      <w:r w:rsidR="00E5369D">
        <w:t xml:space="preserve">change in justice </w:t>
      </w:r>
      <w:r w:rsidR="00E5369D" w:rsidRPr="002D2B0F">
        <w:t>services</w:t>
      </w:r>
      <w:r w:rsidR="00E5369D">
        <w:t xml:space="preserve"> during the COVID</w:t>
      </w:r>
      <w:r w:rsidR="00784847">
        <w:t>-</w:t>
      </w:r>
      <w:r w:rsidR="00E5369D">
        <w:t>19 pandemic</w:t>
      </w:r>
      <w:r w:rsidR="005339EC">
        <w:t xml:space="preserve">, the Commission noted the likelihood that </w:t>
      </w:r>
      <w:r w:rsidR="00287986">
        <w:t>2019–</w:t>
      </w:r>
      <w:r w:rsidR="00DF21AC">
        <w:t xml:space="preserve">20, </w:t>
      </w:r>
      <w:r w:rsidR="004E12A0">
        <w:t xml:space="preserve">2020–21 and 2021–22 did not reflect </w:t>
      </w:r>
      <w:r w:rsidR="00A72AAE">
        <w:t>long-term</w:t>
      </w:r>
      <w:r w:rsidR="00B81C45">
        <w:t xml:space="preserve"> patterns of justice </w:t>
      </w:r>
      <w:r w:rsidR="00A33B5A">
        <w:t>service provision</w:t>
      </w:r>
      <w:r w:rsidR="00D76FE1">
        <w:t xml:space="preserve">, </w:t>
      </w:r>
      <w:r w:rsidR="00D76FE1" w:rsidRPr="003F0829">
        <w:t>particularly for police and criminal courts</w:t>
      </w:r>
      <w:r w:rsidR="00A33B5A" w:rsidRPr="003F0829">
        <w:t>.</w:t>
      </w:r>
      <w:r w:rsidR="008877E0" w:rsidRPr="003F0829">
        <w:t xml:space="preserve"> </w:t>
      </w:r>
      <w:r w:rsidR="008877E0" w:rsidRPr="00776ADA">
        <w:t>During this time, resources were reallocated to enforce public health directives and lockdowns, crime</w:t>
      </w:r>
      <w:r w:rsidR="00223F5F" w:rsidRPr="00776ADA">
        <w:t xml:space="preserve"> patterns </w:t>
      </w:r>
      <w:proofErr w:type="gramStart"/>
      <w:r w:rsidR="004B480F" w:rsidRPr="00776ADA">
        <w:t>chang</w:t>
      </w:r>
      <w:r w:rsidR="00223F5F" w:rsidRPr="00776ADA">
        <w:t>ed</w:t>
      </w:r>
      <w:proofErr w:type="gramEnd"/>
      <w:r w:rsidR="008877E0" w:rsidRPr="00776ADA">
        <w:t xml:space="preserve"> and some court proceedings </w:t>
      </w:r>
      <w:r w:rsidR="00E54687" w:rsidRPr="00776ADA">
        <w:t xml:space="preserve">were </w:t>
      </w:r>
      <w:r w:rsidR="008877E0" w:rsidRPr="00776ADA">
        <w:t>move</w:t>
      </w:r>
      <w:r w:rsidR="00E54687" w:rsidRPr="00776ADA">
        <w:t>d</w:t>
      </w:r>
      <w:r w:rsidR="008877E0" w:rsidRPr="00776ADA">
        <w:t xml:space="preserve"> online or suspended.</w:t>
      </w:r>
    </w:p>
    <w:p w14:paraId="1791A7BE" w14:textId="704A6B7F" w:rsidR="00D70B14" w:rsidRDefault="00507914" w:rsidP="00EA54CB">
      <w:pPr>
        <w:pStyle w:val="CGC2025ParaNumbers"/>
      </w:pPr>
      <w:r>
        <w:t xml:space="preserve">The Commission </w:t>
      </w:r>
      <w:r w:rsidR="00F5290D">
        <w:t xml:space="preserve">raised the </w:t>
      </w:r>
      <w:r w:rsidR="00B97BBC">
        <w:t>issue</w:t>
      </w:r>
      <w:r w:rsidR="00F5290D">
        <w:t xml:space="preserve"> of whether 2022–23 data should be used </w:t>
      </w:r>
      <w:r w:rsidR="00FB6A16">
        <w:t xml:space="preserve">to update the justice assessment if </w:t>
      </w:r>
      <w:r w:rsidR="007F0E93">
        <w:t>they are</w:t>
      </w:r>
      <w:r w:rsidR="00FB6A16">
        <w:t xml:space="preserve"> fit for purpose.</w:t>
      </w:r>
      <w:r w:rsidR="00892B00">
        <w:t xml:space="preserve"> It also </w:t>
      </w:r>
      <w:r w:rsidR="000A5DDE">
        <w:t>proposed</w:t>
      </w:r>
      <w:r w:rsidR="007318EE">
        <w:t xml:space="preserve"> updating the assessment</w:t>
      </w:r>
      <w:r w:rsidR="00721FEB">
        <w:t xml:space="preserve"> in the 2026 Update </w:t>
      </w:r>
      <w:r w:rsidR="004F2AEE">
        <w:t>to allow</w:t>
      </w:r>
      <w:r w:rsidR="007A09C0">
        <w:t xml:space="preserve"> the Commission to</w:t>
      </w:r>
      <w:r w:rsidR="0066305A">
        <w:t xml:space="preserve"> collect</w:t>
      </w:r>
      <w:r w:rsidR="006651E5">
        <w:t xml:space="preserve"> and process</w:t>
      </w:r>
      <w:r w:rsidR="0066305A">
        <w:t xml:space="preserve"> </w:t>
      </w:r>
      <w:r w:rsidR="00627944">
        <w:t>202</w:t>
      </w:r>
      <w:r w:rsidR="00E64EB7">
        <w:t>3</w:t>
      </w:r>
      <w:r w:rsidR="00627944">
        <w:t>–24</w:t>
      </w:r>
      <w:r w:rsidR="007970FC">
        <w:t xml:space="preserve"> data </w:t>
      </w:r>
      <w:r w:rsidR="000E5FEC">
        <w:t>and consult on potential method changes</w:t>
      </w:r>
      <w:r w:rsidR="001D17D9">
        <w:t>.</w:t>
      </w:r>
    </w:p>
    <w:p w14:paraId="0BB2E39D" w14:textId="62C3196A" w:rsidR="008675B1" w:rsidRPr="008675B1" w:rsidRDefault="008675B1" w:rsidP="008675B1">
      <w:pPr>
        <w:pStyle w:val="Heading4"/>
      </w:pPr>
      <w:r>
        <w:lastRenderedPageBreak/>
        <w:t>State views</w:t>
      </w:r>
    </w:p>
    <w:p w14:paraId="7547C9A9" w14:textId="3B3BE254" w:rsidR="00763F20" w:rsidRDefault="00763F20" w:rsidP="00763F20">
      <w:pPr>
        <w:pStyle w:val="Heading5"/>
      </w:pPr>
      <w:r w:rsidRPr="003E4F8C">
        <w:t>Justice model</w:t>
      </w:r>
    </w:p>
    <w:p w14:paraId="6B06F1F2" w14:textId="3619C372" w:rsidR="00F4597B" w:rsidRPr="00607814" w:rsidRDefault="00141457">
      <w:pPr>
        <w:pStyle w:val="CGC2025ParaNumbers"/>
      </w:pPr>
      <w:r w:rsidRPr="00607814">
        <w:t>Most states</w:t>
      </w:r>
      <w:r w:rsidR="0050653B" w:rsidRPr="00607814">
        <w:t xml:space="preserve"> broadly agreed that the 2020 Review justice m</w:t>
      </w:r>
      <w:r w:rsidR="003B5C63" w:rsidRPr="00607814">
        <w:t>odel</w:t>
      </w:r>
      <w:r w:rsidR="0050653B" w:rsidRPr="00607814">
        <w:t xml:space="preserve"> remained </w:t>
      </w:r>
      <w:r w:rsidR="00A46B01" w:rsidRPr="00607814">
        <w:t>appropr</w:t>
      </w:r>
      <w:r w:rsidR="00AD41BA" w:rsidRPr="00607814">
        <w:t>iate</w:t>
      </w:r>
      <w:r w:rsidR="00AD39B7" w:rsidRPr="00607814">
        <w:t>, although</w:t>
      </w:r>
      <w:r w:rsidR="00971A00" w:rsidRPr="00607814">
        <w:t xml:space="preserve"> </w:t>
      </w:r>
      <w:r w:rsidR="00CD5668">
        <w:t>some states</w:t>
      </w:r>
      <w:r w:rsidR="00EF6F12" w:rsidRPr="00607814">
        <w:t xml:space="preserve"> </w:t>
      </w:r>
      <w:r w:rsidR="00AB7BED" w:rsidRPr="00607814">
        <w:t>raised</w:t>
      </w:r>
      <w:r w:rsidR="00EF6F12" w:rsidRPr="00607814">
        <w:t xml:space="preserve"> </w:t>
      </w:r>
      <w:r w:rsidR="00AB7BED" w:rsidRPr="00607814">
        <w:t>issues</w:t>
      </w:r>
      <w:r w:rsidR="00EF6F12" w:rsidRPr="00607814">
        <w:t xml:space="preserve"> with </w:t>
      </w:r>
      <w:r w:rsidR="00287EB8" w:rsidRPr="00607814">
        <w:t xml:space="preserve">elements of </w:t>
      </w:r>
      <w:r w:rsidR="00676D79">
        <w:t>the model</w:t>
      </w:r>
      <w:r w:rsidR="00287EB8" w:rsidRPr="00607814">
        <w:t xml:space="preserve">. </w:t>
      </w:r>
    </w:p>
    <w:p w14:paraId="6FD79787" w14:textId="7BF9B5D5" w:rsidR="00287EB8" w:rsidRDefault="00287EB8" w:rsidP="00803BAA">
      <w:pPr>
        <w:pStyle w:val="CGC2025ParaNumbers"/>
      </w:pPr>
      <w:r>
        <w:t>Victoria did not support the model</w:t>
      </w:r>
      <w:r w:rsidR="004B010F">
        <w:t>. It</w:t>
      </w:r>
      <w:r w:rsidR="00BE1810">
        <w:t xml:space="preserve"> </w:t>
      </w:r>
      <w:r w:rsidR="006D6DAA">
        <w:t xml:space="preserve">said </w:t>
      </w:r>
      <w:r w:rsidR="00BE7686">
        <w:t xml:space="preserve">there were weaknesses in the conceptual case for some </w:t>
      </w:r>
      <w:r w:rsidR="00F452BB">
        <w:t>aspects</w:t>
      </w:r>
      <w:r w:rsidR="00BE7686">
        <w:t xml:space="preserve"> </w:t>
      </w:r>
      <w:r w:rsidR="00CD0C72">
        <w:t xml:space="preserve">and that the model </w:t>
      </w:r>
      <w:r w:rsidR="00923E1F">
        <w:t>was open to policy influence and could be a barrier for reform. Victoria</w:t>
      </w:r>
      <w:r>
        <w:t xml:space="preserve"> </w:t>
      </w:r>
      <w:r w:rsidR="00AB7BED">
        <w:t>engaged a consultant to review</w:t>
      </w:r>
      <w:r w:rsidR="00923E1F">
        <w:t xml:space="preserve"> the model</w:t>
      </w:r>
      <w:r w:rsidR="00486440">
        <w:t xml:space="preserve"> and support </w:t>
      </w:r>
      <w:r w:rsidR="00AC14FE">
        <w:t>its</w:t>
      </w:r>
      <w:r w:rsidR="00486440">
        <w:t xml:space="preserve"> submission</w:t>
      </w:r>
      <w:r w:rsidR="002E7D63">
        <w:t>.</w:t>
      </w:r>
      <w:r w:rsidR="00661329">
        <w:rPr>
          <w:rStyle w:val="FootnoteReference"/>
        </w:rPr>
        <w:footnoteReference w:id="2"/>
      </w:r>
      <w:r w:rsidR="00AB7BED">
        <w:t xml:space="preserve"> </w:t>
      </w:r>
      <w:r w:rsidR="00EA7467">
        <w:t>Queensland d</w:t>
      </w:r>
      <w:r w:rsidR="00E016F3">
        <w:t>id</w:t>
      </w:r>
      <w:r w:rsidR="00EA7467">
        <w:t xml:space="preserve"> not </w:t>
      </w:r>
      <w:r w:rsidR="0057089B">
        <w:t xml:space="preserve">support retaining the model without changes to </w:t>
      </w:r>
      <w:r w:rsidR="00E016F3">
        <w:t>the police assessment.</w:t>
      </w:r>
    </w:p>
    <w:p w14:paraId="30C81E9D" w14:textId="6FD68BE6" w:rsidR="00763F20" w:rsidRDefault="00763F20" w:rsidP="00763F20">
      <w:pPr>
        <w:pStyle w:val="Heading5"/>
      </w:pPr>
      <w:r>
        <w:t>Data quality concerns</w:t>
      </w:r>
    </w:p>
    <w:p w14:paraId="3B404A97" w14:textId="209C88FF" w:rsidR="00763F20" w:rsidRPr="003929D1" w:rsidRDefault="00763F20" w:rsidP="001E3AC2">
      <w:pPr>
        <w:pStyle w:val="CGC2025ParaNumbers"/>
      </w:pPr>
      <w:r w:rsidRPr="003929D1">
        <w:t>Victoria expressed b</w:t>
      </w:r>
      <w:r w:rsidRPr="00C55C1A">
        <w:t>road</w:t>
      </w:r>
      <w:r w:rsidRPr="003929D1">
        <w:t xml:space="preserve"> concerns regarding the data</w:t>
      </w:r>
      <w:r w:rsidR="000F7EB6">
        <w:t xml:space="preserve">, saying </w:t>
      </w:r>
      <w:r w:rsidR="007C34B6">
        <w:t>they</w:t>
      </w:r>
      <w:r w:rsidR="000F7EB6" w:rsidRPr="00C55C1A">
        <w:t xml:space="preserve"> w</w:t>
      </w:r>
      <w:r w:rsidR="007C34B6">
        <w:t>ere</w:t>
      </w:r>
      <w:r w:rsidR="000F7EB6">
        <w:t xml:space="preserve"> not fit for purpose</w:t>
      </w:r>
      <w:r w:rsidRPr="00C55C1A">
        <w:t>.</w:t>
      </w:r>
      <w:r w:rsidRPr="003929D1">
        <w:t xml:space="preserve"> It said the assessment</w:t>
      </w:r>
      <w:r w:rsidRPr="003929D1" w:rsidDel="00F5639C">
        <w:t xml:space="preserve"> </w:t>
      </w:r>
      <w:r w:rsidR="00F5639C">
        <w:t>was</w:t>
      </w:r>
      <w:r w:rsidRPr="003929D1">
        <w:t xml:space="preserve"> unable to adequately capture the drivers of justice expense needs because of data comparability issues. Victoria recommended the Commission discount, or assess components equal per capita, until </w:t>
      </w:r>
      <w:r w:rsidR="009514B8" w:rsidRPr="00C55C1A">
        <w:t>the</w:t>
      </w:r>
      <w:r w:rsidR="009514B8">
        <w:t xml:space="preserve"> data </w:t>
      </w:r>
      <w:r w:rsidR="009514B8" w:rsidRPr="00C55C1A">
        <w:t>ha</w:t>
      </w:r>
      <w:r w:rsidR="003A278E">
        <w:t>d</w:t>
      </w:r>
      <w:r w:rsidR="009514B8">
        <w:t xml:space="preserve"> reached a sufficient level of maturity</w:t>
      </w:r>
      <w:r w:rsidRPr="003929D1">
        <w:t xml:space="preserve">. </w:t>
      </w:r>
    </w:p>
    <w:p w14:paraId="2C7A6730" w14:textId="2BD6F5B3" w:rsidR="00763F20" w:rsidRPr="003E4F8C" w:rsidRDefault="00763F20" w:rsidP="00763F20">
      <w:pPr>
        <w:pStyle w:val="CGC2025ParaNumbers"/>
      </w:pPr>
      <w:r w:rsidRPr="003E4F8C">
        <w:rPr>
          <w:rFonts w:cstheme="minorHAnsi"/>
        </w:rPr>
        <w:t>Queensland supported not applying any new equal per capita assessments or discounts due to data concerns, and supported the data used in the assessment.</w:t>
      </w:r>
    </w:p>
    <w:p w14:paraId="0C6CBE0D" w14:textId="65A65E6F" w:rsidR="00763F20" w:rsidRPr="00607814" w:rsidRDefault="00763F20" w:rsidP="00763F20">
      <w:pPr>
        <w:pStyle w:val="Heading5"/>
      </w:pPr>
      <w:r>
        <w:t>Updating data used in the assessment</w:t>
      </w:r>
    </w:p>
    <w:p w14:paraId="7F4A753B" w14:textId="601CE85E" w:rsidR="003D55C7" w:rsidRDefault="00516DDB" w:rsidP="009E681E">
      <w:pPr>
        <w:pStyle w:val="CGC2025ParaNumbers"/>
      </w:pPr>
      <w:r>
        <w:t xml:space="preserve">All states agreed that data from 2019–20 to 2021–22 did not reflect </w:t>
      </w:r>
      <w:r w:rsidR="00817FEA">
        <w:t>normal</w:t>
      </w:r>
      <w:r>
        <w:t xml:space="preserve"> justice services and costs.</w:t>
      </w:r>
      <w:r w:rsidR="002E7B91">
        <w:t xml:space="preserve"> </w:t>
      </w:r>
      <w:r w:rsidR="009E681E">
        <w:t xml:space="preserve">Other than South Australia, all states supported using 2022–23 data in the assessment. South Australia </w:t>
      </w:r>
      <w:r w:rsidR="00887112">
        <w:t>proposed</w:t>
      </w:r>
      <w:r w:rsidR="00903BE2">
        <w:t xml:space="preserve"> 2022–23</w:t>
      </w:r>
      <w:r w:rsidR="009E681E">
        <w:t xml:space="preserve"> data be analysed for potential COVID-19 influence prior to use.</w:t>
      </w:r>
    </w:p>
    <w:p w14:paraId="6C0507FD" w14:textId="47681A5D" w:rsidR="00F851F3" w:rsidRDefault="00475A57" w:rsidP="0010286A">
      <w:pPr>
        <w:pStyle w:val="CGC2025ParaNumbers"/>
      </w:pPr>
      <w:r>
        <w:t xml:space="preserve">Some states </w:t>
      </w:r>
      <w:r w:rsidR="0010286A">
        <w:t xml:space="preserve">raised concerns over using only </w:t>
      </w:r>
      <w:r w:rsidR="008E32CC">
        <w:t>one</w:t>
      </w:r>
      <w:r w:rsidR="0010286A">
        <w:t xml:space="preserve"> year of data.</w:t>
      </w:r>
    </w:p>
    <w:p w14:paraId="0B234B69" w14:textId="40E812E2" w:rsidR="00797DDC" w:rsidRDefault="00797DDC" w:rsidP="00797DDC">
      <w:pPr>
        <w:pStyle w:val="CGC2025ParaNumbers"/>
      </w:pPr>
      <w:r w:rsidRPr="00797DDC">
        <w:t>The Northern Territory raised the possibility of using annual data to update the assessment. It considered that annual data would better capture short-term and medium-term trends in justice service use, particularly in remote areas.</w:t>
      </w:r>
    </w:p>
    <w:p w14:paraId="3E5000B7" w14:textId="602270DE" w:rsidR="00FB1524" w:rsidRPr="00E428EF" w:rsidRDefault="00190D28" w:rsidP="0010286A">
      <w:pPr>
        <w:pStyle w:val="CGC2025ParaNumbers"/>
      </w:pPr>
      <w:r>
        <w:t xml:space="preserve">Western Australia </w:t>
      </w:r>
      <w:r w:rsidR="000D528A">
        <w:t>said</w:t>
      </w:r>
      <w:r w:rsidR="00D8421D">
        <w:t xml:space="preserve"> it would be prudent to include </w:t>
      </w:r>
      <w:r w:rsidR="00C31A1A">
        <w:t xml:space="preserve">2023–24 and 2024–25 </w:t>
      </w:r>
      <w:r w:rsidR="00D60802">
        <w:t>data</w:t>
      </w:r>
      <w:r w:rsidR="00A332CB">
        <w:t xml:space="preserve">, particularly if </w:t>
      </w:r>
      <w:r w:rsidR="00570D18">
        <w:t xml:space="preserve">2022–23 data were COVID-19 </w:t>
      </w:r>
      <w:r w:rsidR="00397D58">
        <w:t>affected but</w:t>
      </w:r>
      <w:r w:rsidR="008F39EF">
        <w:t xml:space="preserve"> thought </w:t>
      </w:r>
      <w:r w:rsidR="006B77C0">
        <w:t xml:space="preserve">an annual data request could be </w:t>
      </w:r>
      <w:r w:rsidR="00BB6869">
        <w:t>burdensome.</w:t>
      </w:r>
      <w:r w:rsidR="00671AC5">
        <w:t xml:space="preserve"> </w:t>
      </w:r>
      <w:r w:rsidR="00842CD5" w:rsidRPr="00607814">
        <w:t>Queensland</w:t>
      </w:r>
      <w:r w:rsidR="00106D00" w:rsidRPr="00607814">
        <w:t xml:space="preserve"> </w:t>
      </w:r>
      <w:r w:rsidR="00BF4706" w:rsidRPr="00607814">
        <w:t>did</w:t>
      </w:r>
      <w:r w:rsidR="00842CD5" w:rsidRPr="00607814">
        <w:t xml:space="preserve"> not</w:t>
      </w:r>
      <w:r w:rsidR="00BF4706" w:rsidRPr="00607814">
        <w:t xml:space="preserve"> </w:t>
      </w:r>
      <w:r w:rsidR="00842CD5" w:rsidRPr="00607814">
        <w:t xml:space="preserve">support </w:t>
      </w:r>
      <w:r w:rsidR="00A86806" w:rsidRPr="00607814">
        <w:rPr>
          <w:rFonts w:cs="Calibri"/>
          <w:szCs w:val="20"/>
        </w:rPr>
        <w:t>requesting data from states on an ongoing annual basis.</w:t>
      </w:r>
    </w:p>
    <w:p w14:paraId="57F8FCA4" w14:textId="4DA08375" w:rsidR="00E428EF" w:rsidRPr="00607814" w:rsidRDefault="00E428EF" w:rsidP="0010286A">
      <w:pPr>
        <w:pStyle w:val="CGC2025ParaNumbers"/>
      </w:pPr>
      <w:r>
        <w:rPr>
          <w:rFonts w:cs="Calibri"/>
          <w:szCs w:val="20"/>
        </w:rPr>
        <w:t xml:space="preserve">There was broad support from </w:t>
      </w:r>
      <w:r w:rsidR="00B44C86">
        <w:rPr>
          <w:rFonts w:cs="Calibri"/>
          <w:szCs w:val="20"/>
        </w:rPr>
        <w:t xml:space="preserve">all </w:t>
      </w:r>
      <w:r>
        <w:rPr>
          <w:rFonts w:cs="Calibri"/>
          <w:szCs w:val="20"/>
        </w:rPr>
        <w:t xml:space="preserve">states </w:t>
      </w:r>
      <w:r w:rsidR="001301AB">
        <w:rPr>
          <w:rFonts w:cs="Calibri"/>
          <w:szCs w:val="20"/>
        </w:rPr>
        <w:t>for</w:t>
      </w:r>
      <w:r>
        <w:rPr>
          <w:rFonts w:cs="Calibri"/>
          <w:szCs w:val="20"/>
        </w:rPr>
        <w:t xml:space="preserve"> delay</w:t>
      </w:r>
      <w:r w:rsidR="001301AB">
        <w:rPr>
          <w:rFonts w:cs="Calibri"/>
          <w:szCs w:val="20"/>
        </w:rPr>
        <w:t>ing</w:t>
      </w:r>
      <w:r>
        <w:rPr>
          <w:rFonts w:cs="Calibri"/>
          <w:szCs w:val="20"/>
        </w:rPr>
        <w:t xml:space="preserve"> the </w:t>
      </w:r>
      <w:r w:rsidR="00C259C9">
        <w:rPr>
          <w:rFonts w:cs="Calibri"/>
          <w:szCs w:val="20"/>
        </w:rPr>
        <w:t>incorporati</w:t>
      </w:r>
      <w:r w:rsidR="001301AB">
        <w:rPr>
          <w:rFonts w:cs="Calibri"/>
          <w:szCs w:val="20"/>
        </w:rPr>
        <w:t>on of</w:t>
      </w:r>
      <w:r w:rsidR="00597491">
        <w:rPr>
          <w:rFonts w:cs="Calibri"/>
          <w:szCs w:val="20"/>
        </w:rPr>
        <w:t xml:space="preserve"> </w:t>
      </w:r>
      <w:r w:rsidR="00FE1AE1">
        <w:rPr>
          <w:rFonts w:cs="Calibri"/>
          <w:szCs w:val="20"/>
        </w:rPr>
        <w:t>changes to the</w:t>
      </w:r>
      <w:r w:rsidR="00C259C9">
        <w:rPr>
          <w:rFonts w:cs="Calibri"/>
          <w:szCs w:val="20"/>
        </w:rPr>
        <w:t xml:space="preserve"> assessment method until</w:t>
      </w:r>
      <w:r w:rsidR="001301AB">
        <w:rPr>
          <w:rFonts w:cs="Calibri"/>
          <w:szCs w:val="20"/>
        </w:rPr>
        <w:t xml:space="preserve"> the 2026 Update </w:t>
      </w:r>
      <w:r w:rsidR="00495394">
        <w:rPr>
          <w:rFonts w:cs="Calibri"/>
          <w:szCs w:val="20"/>
        </w:rPr>
        <w:t>and to include 2023–</w:t>
      </w:r>
      <w:r w:rsidR="0084316B">
        <w:rPr>
          <w:rFonts w:cs="Calibri"/>
          <w:szCs w:val="20"/>
        </w:rPr>
        <w:t>24 data in addition to 2022–23 data.</w:t>
      </w:r>
    </w:p>
    <w:p w14:paraId="6D1246B7" w14:textId="6A280D49" w:rsidR="00F120D9" w:rsidRDefault="00F120D9" w:rsidP="00F120D9">
      <w:pPr>
        <w:pStyle w:val="Heading4"/>
      </w:pPr>
      <w:r>
        <w:lastRenderedPageBreak/>
        <w:t>Commission response</w:t>
      </w:r>
    </w:p>
    <w:p w14:paraId="1A327DDF" w14:textId="0DC895FB" w:rsidR="000852A2" w:rsidRPr="003E4F8C" w:rsidRDefault="00DC119B" w:rsidP="000852A2">
      <w:pPr>
        <w:pStyle w:val="Heading5"/>
      </w:pPr>
      <w:bookmarkStart w:id="9" w:name="_Hlk211507357"/>
      <w:r w:rsidRPr="003E4F8C">
        <w:t>Ju</w:t>
      </w:r>
      <w:r w:rsidR="000852A2" w:rsidRPr="003E4F8C">
        <w:t>stice model</w:t>
      </w:r>
    </w:p>
    <w:bookmarkEnd w:id="9"/>
    <w:p w14:paraId="4049305B" w14:textId="75DAFB1F" w:rsidR="000852A2" w:rsidRPr="003E4F8C" w:rsidRDefault="005177A4" w:rsidP="00A4204A">
      <w:pPr>
        <w:pStyle w:val="CGC2025ParaNumbers"/>
      </w:pPr>
      <w:r>
        <w:t>The Commission notes the broad support for the</w:t>
      </w:r>
      <w:r w:rsidR="00A2513A">
        <w:t xml:space="preserve"> 2020 Review</w:t>
      </w:r>
      <w:r>
        <w:t xml:space="preserve"> model</w:t>
      </w:r>
      <w:r w:rsidR="0052190E">
        <w:t xml:space="preserve"> and considers the </w:t>
      </w:r>
      <w:r w:rsidR="00402849">
        <w:t>overall</w:t>
      </w:r>
      <w:r w:rsidR="0052190E">
        <w:t xml:space="preserve"> approach </w:t>
      </w:r>
      <w:r w:rsidR="00EB443C">
        <w:t xml:space="preserve">remains </w:t>
      </w:r>
      <w:r w:rsidR="00EB443C" w:rsidRPr="00BA3FAD">
        <w:t>appropriate</w:t>
      </w:r>
      <w:r w:rsidR="008C7446">
        <w:t xml:space="preserve">. </w:t>
      </w:r>
      <w:r w:rsidR="007F1D52" w:rsidRPr="001243EA">
        <w:t xml:space="preserve">Although there was broad support for the 2020 Review model, </w:t>
      </w:r>
      <w:r w:rsidR="00B744AA" w:rsidRPr="001243EA">
        <w:t>s</w:t>
      </w:r>
      <w:r w:rsidR="008C7446" w:rsidRPr="001243EA">
        <w:t>tate</w:t>
      </w:r>
      <w:r w:rsidR="00610B24" w:rsidRPr="001243EA">
        <w:t>s</w:t>
      </w:r>
      <w:r w:rsidR="008C7446" w:rsidRPr="001243EA">
        <w:t xml:space="preserve"> </w:t>
      </w:r>
      <w:r w:rsidR="00B744AA" w:rsidRPr="001243EA">
        <w:t xml:space="preserve">raised </w:t>
      </w:r>
      <w:r w:rsidR="0089491A" w:rsidRPr="001243EA">
        <w:t>several</w:t>
      </w:r>
      <w:r w:rsidR="00B744AA" w:rsidRPr="001243EA">
        <w:t xml:space="preserve"> </w:t>
      </w:r>
      <w:r w:rsidR="0095622B" w:rsidRPr="001243EA">
        <w:t xml:space="preserve">concerns and </w:t>
      </w:r>
      <w:r w:rsidR="0038114D" w:rsidRPr="001243EA">
        <w:t xml:space="preserve">made </w:t>
      </w:r>
      <w:r w:rsidR="0095622B" w:rsidRPr="001243EA">
        <w:t>suggestions for improving the model</w:t>
      </w:r>
      <w:r w:rsidR="0089491A" w:rsidRPr="001243EA">
        <w:t>.</w:t>
      </w:r>
    </w:p>
    <w:p w14:paraId="1540CD8C" w14:textId="2A7757ED" w:rsidR="00EB73D3" w:rsidRDefault="002E5301" w:rsidP="00EB73D3">
      <w:pPr>
        <w:pStyle w:val="Heading5"/>
      </w:pPr>
      <w:r>
        <w:t>Data qual</w:t>
      </w:r>
      <w:r w:rsidR="00C81178">
        <w:t>ity concerns</w:t>
      </w:r>
    </w:p>
    <w:p w14:paraId="0317BC8A" w14:textId="62FE36CD" w:rsidR="00C81178" w:rsidRDefault="002E3CC7" w:rsidP="00931C54">
      <w:pPr>
        <w:pStyle w:val="CGC2025ParaNumbers"/>
      </w:pPr>
      <w:r>
        <w:t>Where possible, t</w:t>
      </w:r>
      <w:r w:rsidR="008A556B">
        <w:t xml:space="preserve">he Commission </w:t>
      </w:r>
      <w:r w:rsidR="00AB28BA">
        <w:t>uses</w:t>
      </w:r>
      <w:r w:rsidR="008A556B">
        <w:t xml:space="preserve"> data from organisations </w:t>
      </w:r>
      <w:r w:rsidR="00CB27F0">
        <w:t xml:space="preserve">with nationally consistent frameworks </w:t>
      </w:r>
      <w:r w:rsidR="008D248F">
        <w:t xml:space="preserve">as this </w:t>
      </w:r>
      <w:r w:rsidR="008A556B">
        <w:t>increase</w:t>
      </w:r>
      <w:r w:rsidR="00931C54">
        <w:t>s</w:t>
      </w:r>
      <w:r w:rsidR="008A556B">
        <w:t xml:space="preserve"> </w:t>
      </w:r>
      <w:r w:rsidR="00A24994">
        <w:t>data</w:t>
      </w:r>
      <w:r w:rsidR="008A556B">
        <w:t xml:space="preserve"> comparability and consistency.</w:t>
      </w:r>
      <w:r w:rsidR="00931C54">
        <w:t xml:space="preserve"> In the assessment</w:t>
      </w:r>
      <w:r w:rsidR="00DE003D">
        <w:t>,</w:t>
      </w:r>
      <w:r w:rsidR="00931C54">
        <w:t xml:space="preserve"> </w:t>
      </w:r>
      <w:r w:rsidR="00DE003D">
        <w:t>s</w:t>
      </w:r>
      <w:r w:rsidR="00064D03">
        <w:t xml:space="preserve">ome data are </w:t>
      </w:r>
      <w:r w:rsidR="00064D03" w:rsidRPr="00920874">
        <w:t>sourced</w:t>
      </w:r>
      <w:r w:rsidR="00064D03">
        <w:t xml:space="preserve"> from the ABS, the Australian Institute of Health and Welfare and the Productivity Commission.</w:t>
      </w:r>
      <w:r w:rsidR="00AE1E1C">
        <w:rPr>
          <w:rStyle w:val="FootnoteReference"/>
        </w:rPr>
        <w:footnoteReference w:id="3"/>
      </w:r>
      <w:r w:rsidR="00AE1E1C">
        <w:t xml:space="preserve"> </w:t>
      </w:r>
      <w:r w:rsidR="00842304">
        <w:t>However, most data are sourced directly from states.</w:t>
      </w:r>
    </w:p>
    <w:p w14:paraId="37897997" w14:textId="562144DA" w:rsidR="00F908C3" w:rsidRDefault="008D248F" w:rsidP="00C81178">
      <w:pPr>
        <w:pStyle w:val="CGC2025ParaNumbers"/>
      </w:pPr>
      <w:r w:rsidRPr="00325FB1">
        <w:t>The Commission considers v</w:t>
      </w:r>
      <w:r w:rsidR="001B4D9E" w:rsidRPr="00325FB1">
        <w:t xml:space="preserve">ariability in costs across states does not necessarily </w:t>
      </w:r>
      <w:r w:rsidR="00B41C90">
        <w:t>mean</w:t>
      </w:r>
      <w:r w:rsidR="001B4D9E" w:rsidRPr="00325FB1">
        <w:t xml:space="preserve"> uncertainties in the data that would warrant discounting</w:t>
      </w:r>
      <w:r w:rsidR="001B4D9E" w:rsidRPr="005C1A5B">
        <w:t>. This variability is likely due partly to states’ different policy choices</w:t>
      </w:r>
      <w:r w:rsidR="00064D03">
        <w:t>.</w:t>
      </w:r>
      <w:r w:rsidR="00C81178">
        <w:t xml:space="preserve"> </w:t>
      </w:r>
      <w:r w:rsidR="001721E8">
        <w:t>Using national average data smooths policy differences</w:t>
      </w:r>
      <w:r w:rsidR="00F96E45">
        <w:t xml:space="preserve"> across states and provides a benchmark to assess needs in the context of diverse approaches to justice administration.</w:t>
      </w:r>
    </w:p>
    <w:p w14:paraId="1B70909B" w14:textId="352A936E" w:rsidR="002E5301" w:rsidRDefault="002E5301" w:rsidP="002E5301">
      <w:pPr>
        <w:pStyle w:val="CGC2025ParaNumbers"/>
      </w:pPr>
      <w:r>
        <w:t>The Commission consider</w:t>
      </w:r>
      <w:r w:rsidR="006353E1">
        <w:t>s</w:t>
      </w:r>
      <w:r>
        <w:t xml:space="preserve"> the data used in the justice assessment are the best currently available and fit for purpose. </w:t>
      </w:r>
      <w:r w:rsidRPr="00325FB1">
        <w:t xml:space="preserve">The Commission </w:t>
      </w:r>
      <w:r w:rsidR="003A337A" w:rsidRPr="00325FB1">
        <w:t>has</w:t>
      </w:r>
      <w:r w:rsidRPr="00325FB1">
        <w:t xml:space="preserve"> not identi</w:t>
      </w:r>
      <w:r w:rsidR="003A337A" w:rsidRPr="00325FB1">
        <w:t>fied</w:t>
      </w:r>
      <w:r w:rsidRPr="00325FB1">
        <w:t xml:space="preserve"> sufficient concerns with the data to support a discount or </w:t>
      </w:r>
      <w:r w:rsidR="002712C6">
        <w:t xml:space="preserve">to </w:t>
      </w:r>
      <w:r w:rsidRPr="00325FB1">
        <w:t>pursue an equal per capita assessment.</w:t>
      </w:r>
    </w:p>
    <w:p w14:paraId="41608A92" w14:textId="61B52F6C" w:rsidR="00D87252" w:rsidRDefault="00C75AB7" w:rsidP="00D87252">
      <w:pPr>
        <w:pStyle w:val="Heading5"/>
      </w:pPr>
      <w:bookmarkStart w:id="10" w:name="_Hlk211507437"/>
      <w:r>
        <w:t>Updating data used in the assessment</w:t>
      </w:r>
    </w:p>
    <w:bookmarkEnd w:id="10"/>
    <w:p w14:paraId="71B6784C" w14:textId="0E2AA412" w:rsidR="002E19F9" w:rsidRDefault="001B6D23" w:rsidP="005E7B4A">
      <w:pPr>
        <w:pStyle w:val="CGC2025ParaNumbers"/>
      </w:pPr>
      <w:r>
        <w:t>The Commission consider</w:t>
      </w:r>
      <w:r w:rsidR="00E91FF5">
        <w:t>s</w:t>
      </w:r>
      <w:r>
        <w:t xml:space="preserve"> </w:t>
      </w:r>
      <w:r w:rsidR="00DE6AE5">
        <w:t xml:space="preserve">that an annual request for state data would </w:t>
      </w:r>
      <w:r w:rsidR="00B9588F">
        <w:t>be a</w:t>
      </w:r>
      <w:r w:rsidR="005E7B4A">
        <w:t xml:space="preserve"> </w:t>
      </w:r>
      <w:r w:rsidR="00B9588F">
        <w:t>significant imposition on states</w:t>
      </w:r>
      <w:r w:rsidR="00B278C0">
        <w:t xml:space="preserve"> given the size and complexity of the request</w:t>
      </w:r>
      <w:r w:rsidR="00892899">
        <w:t>.</w:t>
      </w:r>
      <w:r w:rsidR="00A127AB">
        <w:t xml:space="preserve"> </w:t>
      </w:r>
      <w:r w:rsidR="009C33ED">
        <w:rPr>
          <w:rStyle w:val="CommentReference"/>
          <w:rFonts w:ascii="Open Sans Light" w:hAnsi="Open Sans Light"/>
        </w:rPr>
        <w:t xml:space="preserve"> </w:t>
      </w:r>
      <w:r w:rsidR="002E19F9">
        <w:t xml:space="preserve">Furthermore, the time between receiving the data from all states and processing them </w:t>
      </w:r>
      <w:r w:rsidR="00922FFA">
        <w:t xml:space="preserve">would </w:t>
      </w:r>
      <w:r w:rsidR="002E19F9">
        <w:t xml:space="preserve">be </w:t>
      </w:r>
      <w:r w:rsidR="00922FFA">
        <w:t>in</w:t>
      </w:r>
      <w:r w:rsidR="002E19F9">
        <w:t xml:space="preserve">sufficient to meet update </w:t>
      </w:r>
      <w:r w:rsidR="00360FBE">
        <w:t>requirements</w:t>
      </w:r>
      <w:r w:rsidR="002E19F9">
        <w:t xml:space="preserve">. </w:t>
      </w:r>
    </w:p>
    <w:p w14:paraId="52E0944D" w14:textId="48F6D3AF" w:rsidR="00C75AB7" w:rsidRDefault="00D51CF0" w:rsidP="005E7B4A">
      <w:pPr>
        <w:pStyle w:val="CGC2025ParaNumbers"/>
      </w:pPr>
      <w:r>
        <w:t>Commission analysis of national totals in ABS data on proceedings, defendants and prisoners show</w:t>
      </w:r>
      <w:r w:rsidR="00727F6D">
        <w:t>ed</w:t>
      </w:r>
      <w:r>
        <w:t xml:space="preserve"> that these measures are relatively stable over a 5</w:t>
      </w:r>
      <w:r>
        <w:noBreakHyphen/>
        <w:t>year period</w:t>
      </w:r>
      <w:r w:rsidR="009D2BD9">
        <w:t>.</w:t>
      </w:r>
      <w:r w:rsidR="009A0CB9" w:rsidRPr="009A0CB9">
        <w:t xml:space="preserve"> </w:t>
      </w:r>
      <w:r w:rsidR="009D2BD9">
        <w:t xml:space="preserve">The Commission </w:t>
      </w:r>
      <w:r w:rsidR="009D2BD9" w:rsidRPr="005A1528">
        <w:t>therefore considers updating data annually would increase the burden on states for little benefit.</w:t>
      </w:r>
    </w:p>
    <w:p w14:paraId="087E7682" w14:textId="545567C6" w:rsidR="00793CCF" w:rsidRPr="002F3DA5" w:rsidRDefault="00CD6A11" w:rsidP="00921F40">
      <w:pPr>
        <w:pStyle w:val="CGC2025ParaNumbers"/>
      </w:pPr>
      <w:r w:rsidRPr="002F3DA5">
        <w:t>The Commission’s analysis</w:t>
      </w:r>
      <w:r w:rsidRPr="002F3DA5" w:rsidDel="00AD5270">
        <w:t xml:space="preserve"> </w:t>
      </w:r>
      <w:r w:rsidRPr="002F3DA5">
        <w:t>indicate</w:t>
      </w:r>
      <w:r w:rsidR="00921F40" w:rsidRPr="002F3DA5">
        <w:t>d</w:t>
      </w:r>
      <w:r w:rsidRPr="002F3DA5">
        <w:t xml:space="preserve"> </w:t>
      </w:r>
      <w:r w:rsidR="00AD5270">
        <w:t xml:space="preserve">ABS </w:t>
      </w:r>
      <w:r w:rsidRPr="002F3DA5">
        <w:t>data for 2022–23</w:t>
      </w:r>
      <w:r w:rsidR="000361C6" w:rsidRPr="002F3DA5">
        <w:t xml:space="preserve"> and 2023–24</w:t>
      </w:r>
      <w:r w:rsidRPr="002F3DA5">
        <w:t xml:space="preserve"> are not unduly affected by COVID-19. </w:t>
      </w:r>
      <w:r w:rsidR="002F3DA5" w:rsidRPr="002F3DA5">
        <w:t>A</w:t>
      </w:r>
      <w:r w:rsidR="00730501" w:rsidRPr="002F3DA5">
        <w:t xml:space="preserve">nalysis of state data </w:t>
      </w:r>
      <w:r w:rsidR="00460CCA" w:rsidRPr="002F3DA5">
        <w:t xml:space="preserve">indicates that they are also </w:t>
      </w:r>
      <w:r w:rsidR="00AE2330" w:rsidRPr="002F3DA5">
        <w:t xml:space="preserve">largely </w:t>
      </w:r>
      <w:r w:rsidR="001468EB" w:rsidRPr="002F3DA5">
        <w:t>un</w:t>
      </w:r>
      <w:r w:rsidR="009119F2" w:rsidRPr="002F3DA5">
        <w:t>affected</w:t>
      </w:r>
      <w:r w:rsidR="004D5088" w:rsidRPr="002F3DA5">
        <w:t>.</w:t>
      </w:r>
      <w:r w:rsidR="00DF45E9">
        <w:t xml:space="preserve"> The similarities between the 2 years of data </w:t>
      </w:r>
      <w:r w:rsidR="00672140">
        <w:t xml:space="preserve">suggest that </w:t>
      </w:r>
      <w:r w:rsidR="009F74CC">
        <w:t xml:space="preserve">both represent </w:t>
      </w:r>
      <w:r w:rsidR="00F90B16">
        <w:t>the</w:t>
      </w:r>
      <w:r w:rsidR="009F74CC">
        <w:t xml:space="preserve"> ‘normalisation’ of justice services </w:t>
      </w:r>
      <w:r w:rsidR="00F90B16">
        <w:t>following the COVID-19 pandemic.</w:t>
      </w:r>
    </w:p>
    <w:p w14:paraId="4EF14D3D" w14:textId="07117B28" w:rsidR="00997BB2" w:rsidRDefault="00EC16BE" w:rsidP="0006093D">
      <w:pPr>
        <w:pStyle w:val="CGC2025ParaNumbers"/>
      </w:pPr>
      <w:r w:rsidRPr="00E35392">
        <w:lastRenderedPageBreak/>
        <w:t xml:space="preserve">The Commission </w:t>
      </w:r>
      <w:r w:rsidR="00154247" w:rsidRPr="00E35392">
        <w:t>considers</w:t>
      </w:r>
      <w:r w:rsidRPr="00E35392">
        <w:t xml:space="preserve"> incorporating a second year of data (2023–24) would better reflect current and future state justice needs.</w:t>
      </w:r>
      <w:r w:rsidR="004D211F" w:rsidRPr="00E35392">
        <w:t xml:space="preserve"> </w:t>
      </w:r>
      <w:r w:rsidR="0088502A" w:rsidRPr="001619B1">
        <w:t xml:space="preserve">The average of 2022–23 and </w:t>
      </w:r>
      <w:r w:rsidR="000C2154" w:rsidRPr="001619B1">
        <w:t>2023</w:t>
      </w:r>
      <w:r w:rsidR="005C06FC" w:rsidRPr="001619B1">
        <w:t>–</w:t>
      </w:r>
      <w:r w:rsidR="000C2154" w:rsidRPr="001619B1">
        <w:t>24</w:t>
      </w:r>
      <w:r w:rsidR="0070679B" w:rsidRPr="001619B1">
        <w:t xml:space="preserve"> data will be incorporated into the new assessment for the 2026 </w:t>
      </w:r>
      <w:r w:rsidR="00DD73A2" w:rsidRPr="001619B1">
        <w:t>Update</w:t>
      </w:r>
      <w:r w:rsidR="000C2154" w:rsidRPr="001619B1">
        <w:t>.</w:t>
      </w:r>
      <w:r w:rsidR="0088502A" w:rsidRPr="00E35392">
        <w:t xml:space="preserve"> </w:t>
      </w:r>
    </w:p>
    <w:p w14:paraId="37786D74" w14:textId="463A8AF2" w:rsidR="00D2011C" w:rsidRPr="004C3EFE" w:rsidRDefault="00D2011C" w:rsidP="0037768A">
      <w:pPr>
        <w:pStyle w:val="Heading4"/>
      </w:pPr>
      <w:r w:rsidRPr="004C3EFE">
        <w:t xml:space="preserve">Commission </w:t>
      </w:r>
      <w:r w:rsidR="00705AE3" w:rsidRPr="004C3EFE">
        <w:t>decision</w:t>
      </w:r>
      <w:r w:rsidR="007561BE" w:rsidRPr="004C3EFE">
        <w:t xml:space="preserve"> </w:t>
      </w:r>
    </w:p>
    <w:p w14:paraId="039B84EA" w14:textId="4DFED885" w:rsidR="005214F7" w:rsidRPr="005169E8" w:rsidRDefault="008F3CDD" w:rsidP="006E38A7">
      <w:pPr>
        <w:pStyle w:val="CGC2025ParaNumbers"/>
        <w:keepNext/>
      </w:pPr>
      <w:r w:rsidRPr="005169E8">
        <w:t xml:space="preserve">The Commission </w:t>
      </w:r>
      <w:r w:rsidR="00900827" w:rsidRPr="005169E8">
        <w:t>will</w:t>
      </w:r>
      <w:r w:rsidR="00AE0365" w:rsidRPr="005169E8">
        <w:t>:</w:t>
      </w:r>
    </w:p>
    <w:p w14:paraId="25BF76E1" w14:textId="340592CB" w:rsidR="00400936" w:rsidRDefault="003B5C63" w:rsidP="003B5C63">
      <w:pPr>
        <w:pStyle w:val="CGC2025Bullet1"/>
      </w:pPr>
      <w:r>
        <w:t>b</w:t>
      </w:r>
      <w:r w:rsidR="00400936">
        <w:t>roadly retain the 2020 Review model</w:t>
      </w:r>
    </w:p>
    <w:p w14:paraId="17A1BD73" w14:textId="329A70D2" w:rsidR="00BA640D" w:rsidRPr="001930E0" w:rsidRDefault="00BA640D" w:rsidP="00BA640D">
      <w:pPr>
        <w:pStyle w:val="CGC2025Bullet1"/>
      </w:pPr>
      <w:r w:rsidRPr="001930E0">
        <w:t>implement</w:t>
      </w:r>
      <w:r w:rsidRPr="001930E0" w:rsidDel="00BA640D">
        <w:t xml:space="preserve"> </w:t>
      </w:r>
      <w:r w:rsidRPr="001930E0">
        <w:t>2025 Review method changes in the 2026 Update with data from 2022–</w:t>
      </w:r>
      <w:r w:rsidRPr="001930E0">
        <w:rPr>
          <w:rFonts w:ascii="Times New Roman" w:hAnsi="Times New Roman" w:cs="Times New Roman" w:hint="eastAsia"/>
          <w:rtl/>
        </w:rPr>
        <w:t>‍</w:t>
      </w:r>
      <w:r w:rsidRPr="001930E0">
        <w:t>23 and 2023–24</w:t>
      </w:r>
    </w:p>
    <w:p w14:paraId="4C7E29C2" w14:textId="12117889" w:rsidR="00AE0365" w:rsidRPr="00325FB1" w:rsidRDefault="00AE0365" w:rsidP="00AE0365">
      <w:pPr>
        <w:pStyle w:val="CGC2025Bullet1"/>
      </w:pPr>
      <w:r w:rsidRPr="00325FB1">
        <w:t>not apply discounts</w:t>
      </w:r>
      <w:r w:rsidR="00F55A77" w:rsidRPr="00325FB1">
        <w:t xml:space="preserve"> or</w:t>
      </w:r>
      <w:r w:rsidR="009C10FA" w:rsidRPr="00325FB1">
        <w:t xml:space="preserve"> </w:t>
      </w:r>
      <w:r w:rsidR="00F55A77" w:rsidRPr="00325FB1">
        <w:t xml:space="preserve">equal per capita </w:t>
      </w:r>
      <w:r w:rsidR="009C10FA" w:rsidRPr="00325FB1">
        <w:t>assessment</w:t>
      </w:r>
      <w:r w:rsidR="00B512FB" w:rsidRPr="00325FB1">
        <w:t xml:space="preserve">s </w:t>
      </w:r>
      <w:r w:rsidR="002A5008" w:rsidRPr="00325FB1">
        <w:t>in response</w:t>
      </w:r>
      <w:r w:rsidRPr="00325FB1">
        <w:t xml:space="preserve"> to </w:t>
      </w:r>
      <w:r w:rsidR="002865C9" w:rsidRPr="00325FB1">
        <w:t>polic</w:t>
      </w:r>
      <w:r w:rsidR="00FD4FC1" w:rsidRPr="00325FB1">
        <w:t xml:space="preserve">y </w:t>
      </w:r>
      <w:r w:rsidR="00974513" w:rsidRPr="00325FB1">
        <w:t xml:space="preserve">neutrality </w:t>
      </w:r>
      <w:r w:rsidR="002865C9" w:rsidRPr="00325FB1">
        <w:t>concerns</w:t>
      </w:r>
      <w:r w:rsidR="002865C9" w:rsidRPr="00325FB1" w:rsidDel="00974513">
        <w:t xml:space="preserve"> </w:t>
      </w:r>
    </w:p>
    <w:p w14:paraId="4C571AB7" w14:textId="3A85F174" w:rsidR="00AE0365" w:rsidRDefault="00170F63" w:rsidP="00AE0365">
      <w:pPr>
        <w:pStyle w:val="CGC2025Bullet1"/>
      </w:pPr>
      <w:r w:rsidRPr="00170F63">
        <w:t>not request data from states on an annual basis</w:t>
      </w:r>
      <w:r w:rsidR="003423FA">
        <w:t>.</w:t>
      </w:r>
    </w:p>
    <w:p w14:paraId="5F12B992" w14:textId="5FE3A26A" w:rsidR="00D2011C" w:rsidRPr="00816008" w:rsidRDefault="00940991" w:rsidP="00436878">
      <w:pPr>
        <w:pStyle w:val="Heading3"/>
        <w:keepNext/>
      </w:pPr>
      <w:r w:rsidRPr="00EE40E3">
        <w:t>Police assessment</w:t>
      </w:r>
      <w:r w:rsidR="002C6D77">
        <w:t xml:space="preserve"> – policy neutrality </w:t>
      </w:r>
    </w:p>
    <w:p w14:paraId="2A7059B1" w14:textId="785640AC" w:rsidR="00CE2349" w:rsidRPr="00256AE4" w:rsidRDefault="00AD45A3" w:rsidP="002945A9">
      <w:pPr>
        <w:pStyle w:val="CGC2025ParaNumbers"/>
      </w:pPr>
      <w:r w:rsidRPr="00256AE4">
        <w:t xml:space="preserve">In response to state comments, the Commission considered </w:t>
      </w:r>
      <w:r w:rsidR="00EA4515" w:rsidRPr="00256AE4">
        <w:t>whether</w:t>
      </w:r>
      <w:r w:rsidR="00444B20" w:rsidRPr="00256AE4">
        <w:t xml:space="preserve"> its </w:t>
      </w:r>
      <w:r w:rsidR="00026658" w:rsidRPr="00256AE4">
        <w:t xml:space="preserve">police assessment </w:t>
      </w:r>
      <w:r w:rsidR="00EC35DE" w:rsidRPr="00256AE4">
        <w:t xml:space="preserve">could </w:t>
      </w:r>
      <w:r w:rsidR="00147F73" w:rsidRPr="00256AE4">
        <w:t xml:space="preserve">present barriers to </w:t>
      </w:r>
      <w:r w:rsidR="004B21A5" w:rsidRPr="00256AE4">
        <w:t>policy reform</w:t>
      </w:r>
      <w:r w:rsidR="001166BA" w:rsidRPr="00256AE4">
        <w:t>.</w:t>
      </w:r>
      <w:r w:rsidR="004B21A5" w:rsidRPr="00256AE4">
        <w:t xml:space="preserve"> It</w:t>
      </w:r>
      <w:r w:rsidR="00C05AD6" w:rsidRPr="00256AE4">
        <w:t xml:space="preserve"> also</w:t>
      </w:r>
      <w:r w:rsidR="004B21A5" w:rsidRPr="00256AE4">
        <w:t xml:space="preserve"> </w:t>
      </w:r>
      <w:r w:rsidR="009E42B7" w:rsidRPr="00256AE4">
        <w:t>explored</w:t>
      </w:r>
      <w:r w:rsidR="004B21A5" w:rsidRPr="00256AE4">
        <w:t xml:space="preserve"> the p</w:t>
      </w:r>
      <w:r w:rsidR="00E22C99" w:rsidRPr="00256AE4">
        <w:t>ossibility</w:t>
      </w:r>
      <w:r w:rsidR="004B21A5" w:rsidRPr="00256AE4">
        <w:t xml:space="preserve"> </w:t>
      </w:r>
      <w:r w:rsidR="00EE761E" w:rsidRPr="00256AE4">
        <w:t>of</w:t>
      </w:r>
      <w:r w:rsidR="004B21A5" w:rsidRPr="00256AE4">
        <w:t xml:space="preserve"> weight</w:t>
      </w:r>
      <w:r w:rsidR="00EE761E" w:rsidRPr="00256AE4">
        <w:t>ing</w:t>
      </w:r>
      <w:r w:rsidR="004B21A5" w:rsidRPr="00256AE4">
        <w:t xml:space="preserve"> </w:t>
      </w:r>
      <w:r w:rsidR="009E42B7" w:rsidRPr="00256AE4">
        <w:t>offen</w:t>
      </w:r>
      <w:r w:rsidR="00E22C99" w:rsidRPr="00256AE4">
        <w:t>ces by seriousness.</w:t>
      </w:r>
    </w:p>
    <w:p w14:paraId="4FD2DDB5" w14:textId="0D5FACAE" w:rsidR="00CE2349" w:rsidRPr="008675B1" w:rsidRDefault="00CE2349" w:rsidP="00CE2349">
      <w:pPr>
        <w:pStyle w:val="Heading4"/>
      </w:pPr>
      <w:r>
        <w:t>State views</w:t>
      </w:r>
    </w:p>
    <w:p w14:paraId="00B67BD6" w14:textId="3ECE210C" w:rsidR="005A532D" w:rsidRPr="00F120D9" w:rsidRDefault="00A84CC0" w:rsidP="00BE5133">
      <w:pPr>
        <w:pStyle w:val="CGC2025ParaNumbers"/>
      </w:pPr>
      <w:r>
        <w:t>Victoria</w:t>
      </w:r>
      <w:r w:rsidR="00DA6428">
        <w:t xml:space="preserve"> said</w:t>
      </w:r>
      <w:r w:rsidR="00A1716D">
        <w:t xml:space="preserve"> a state</w:t>
      </w:r>
      <w:r w:rsidR="00D418DA">
        <w:t xml:space="preserve"> that implemented policies </w:t>
      </w:r>
      <w:r w:rsidR="00B95CA0" w:rsidRPr="00BE5133">
        <w:t>that</w:t>
      </w:r>
      <w:r w:rsidR="00D418DA">
        <w:t xml:space="preserve"> reduce</w:t>
      </w:r>
      <w:r w:rsidR="00076E5D">
        <w:t xml:space="preserve"> </w:t>
      </w:r>
      <w:r w:rsidR="00CA53B4">
        <w:t>offender</w:t>
      </w:r>
      <w:r w:rsidR="00AB1B6E">
        <w:t xml:space="preserve"> </w:t>
      </w:r>
      <w:r w:rsidR="00547427">
        <w:t>rate</w:t>
      </w:r>
      <w:r w:rsidR="006F45D3">
        <w:t>s</w:t>
      </w:r>
      <w:r w:rsidR="00AB1B6E">
        <w:t>,</w:t>
      </w:r>
      <w:r w:rsidR="007344BD">
        <w:t xml:space="preserve"> court attendance and </w:t>
      </w:r>
      <w:r w:rsidR="0066391B">
        <w:t>incarceration</w:t>
      </w:r>
      <w:r w:rsidR="00E03585">
        <w:t xml:space="preserve"> </w:t>
      </w:r>
      <w:r w:rsidR="00D54582">
        <w:t xml:space="preserve">would </w:t>
      </w:r>
      <w:r w:rsidR="00CB6773">
        <w:t xml:space="preserve">have </w:t>
      </w:r>
      <w:r w:rsidR="00A30F5D">
        <w:t xml:space="preserve">its </w:t>
      </w:r>
      <w:r w:rsidR="001022B9">
        <w:t>GST needs</w:t>
      </w:r>
      <w:r w:rsidR="00D54582">
        <w:t xml:space="preserve"> </w:t>
      </w:r>
      <w:r w:rsidR="00B85FED">
        <w:t xml:space="preserve">negatively </w:t>
      </w:r>
      <w:r w:rsidR="00ED64D9">
        <w:t xml:space="preserve">impacted because these are the </w:t>
      </w:r>
      <w:r w:rsidR="00547427">
        <w:t xml:space="preserve">measures the Commission uses to determine </w:t>
      </w:r>
      <w:r w:rsidR="00E83035">
        <w:t>assessed expenses</w:t>
      </w:r>
      <w:r w:rsidR="005A532D">
        <w:t>.</w:t>
      </w:r>
      <w:r w:rsidR="005C11FB">
        <w:t xml:space="preserve"> </w:t>
      </w:r>
      <w:r w:rsidR="000D6CB2">
        <w:t xml:space="preserve">Victoria said it was important not </w:t>
      </w:r>
      <w:r w:rsidR="00AC577E">
        <w:t>to</w:t>
      </w:r>
      <w:r w:rsidR="000D6CB2">
        <w:t xml:space="preserve"> disincentivise investments in evidence-based measures that cut costs and crime.</w:t>
      </w:r>
      <w:r w:rsidR="00A233A8">
        <w:t xml:space="preserve"> </w:t>
      </w:r>
      <w:r w:rsidR="00F777AD">
        <w:t xml:space="preserve">It </w:t>
      </w:r>
      <w:r w:rsidR="004C51D1">
        <w:t>suggested th</w:t>
      </w:r>
      <w:r w:rsidR="003034CE">
        <w:t>at if offence numbers</w:t>
      </w:r>
      <w:r w:rsidR="004406F7">
        <w:t xml:space="preserve"> are incorporated into the</w:t>
      </w:r>
      <w:r w:rsidR="00CB6324">
        <w:t xml:space="preserve"> police</w:t>
      </w:r>
      <w:r w:rsidR="004406F7">
        <w:t xml:space="preserve"> assessment method, these should be </w:t>
      </w:r>
      <w:r w:rsidR="00E23B0E">
        <w:t xml:space="preserve">weighted by seriousness or </w:t>
      </w:r>
      <w:r w:rsidR="00BB5FE9">
        <w:t xml:space="preserve">discounted </w:t>
      </w:r>
      <w:r w:rsidR="00AC21EB">
        <w:t xml:space="preserve">to account for the impact of state policy </w:t>
      </w:r>
      <w:r w:rsidR="00B14BCC">
        <w:t>on offender numbers.</w:t>
      </w:r>
    </w:p>
    <w:p w14:paraId="48C2A57B" w14:textId="0B16BBA0" w:rsidR="00396ABC" w:rsidRPr="003E4F8C" w:rsidRDefault="00396ABC" w:rsidP="000D6CB2">
      <w:pPr>
        <w:pStyle w:val="CGC2025ParaNumbers"/>
      </w:pPr>
      <w:r w:rsidRPr="003E4F8C">
        <w:t xml:space="preserve">Queensland </w:t>
      </w:r>
      <w:r w:rsidR="00040445" w:rsidRPr="003E4F8C">
        <w:t>did not support</w:t>
      </w:r>
      <w:r w:rsidR="002518C4" w:rsidRPr="003E4F8C">
        <w:t xml:space="preserve"> changing the police assessment t</w:t>
      </w:r>
      <w:r w:rsidR="00D16D8D" w:rsidRPr="003E4F8C">
        <w:t xml:space="preserve">o account for potential </w:t>
      </w:r>
      <w:r w:rsidRPr="003E4F8C">
        <w:t xml:space="preserve">barriers </w:t>
      </w:r>
      <w:r w:rsidR="00F26361" w:rsidRPr="003E4F8C">
        <w:t>to</w:t>
      </w:r>
      <w:r w:rsidRPr="003E4F8C">
        <w:t xml:space="preserve"> policy reform.</w:t>
      </w:r>
    </w:p>
    <w:p w14:paraId="22F322EE" w14:textId="77777777" w:rsidR="00CE2349" w:rsidRPr="008675B1" w:rsidRDefault="00CE2349" w:rsidP="00CE2349">
      <w:pPr>
        <w:pStyle w:val="Heading4"/>
      </w:pPr>
      <w:r>
        <w:t>Commission response</w:t>
      </w:r>
    </w:p>
    <w:p w14:paraId="74880103" w14:textId="5FF5973E" w:rsidR="00F64CC6" w:rsidRDefault="005D1F7B" w:rsidP="00630566">
      <w:pPr>
        <w:pStyle w:val="CGC2025ParaNumbers"/>
      </w:pPr>
      <w:r w:rsidRPr="005D1F7B">
        <w:t xml:space="preserve">The Commission’s assessments are based on national average policies. </w:t>
      </w:r>
      <w:r w:rsidR="002E13A7">
        <w:t xml:space="preserve">If </w:t>
      </w:r>
      <w:r w:rsidR="00B22806">
        <w:t>one or more</w:t>
      </w:r>
      <w:r w:rsidR="00736394">
        <w:t xml:space="preserve"> state</w:t>
      </w:r>
      <w:r w:rsidR="003A5076">
        <w:t>s</w:t>
      </w:r>
      <w:r w:rsidR="00ED2244">
        <w:t xml:space="preserve"> experience</w:t>
      </w:r>
      <w:r w:rsidR="002E13A7">
        <w:t xml:space="preserve"> a reduction in </w:t>
      </w:r>
      <w:r w:rsidR="00726F98">
        <w:t xml:space="preserve">offenders from </w:t>
      </w:r>
      <w:r w:rsidR="00ED2244">
        <w:t>one of the</w:t>
      </w:r>
      <w:r w:rsidR="00726F98">
        <w:t xml:space="preserve"> </w:t>
      </w:r>
      <w:proofErr w:type="gramStart"/>
      <w:r w:rsidR="00726F98">
        <w:t>sub</w:t>
      </w:r>
      <w:proofErr w:type="gramEnd"/>
      <w:r w:rsidR="009A2521">
        <w:noBreakHyphen/>
      </w:r>
      <w:r w:rsidR="00726F98">
        <w:t>population gro</w:t>
      </w:r>
      <w:r w:rsidR="00352CFB">
        <w:t>up</w:t>
      </w:r>
      <w:r w:rsidR="00ED2244">
        <w:t>s</w:t>
      </w:r>
      <w:r w:rsidR="00352CFB">
        <w:t>, t</w:t>
      </w:r>
      <w:r w:rsidR="002E13A7">
        <w:t xml:space="preserve">he assessment will capture the </w:t>
      </w:r>
      <w:r w:rsidR="00352CFB">
        <w:t xml:space="preserve">change </w:t>
      </w:r>
      <w:r w:rsidR="00736394">
        <w:t>relative to the national average.</w:t>
      </w:r>
      <w:r w:rsidR="00583F9C">
        <w:t xml:space="preserve"> However,</w:t>
      </w:r>
      <w:r w:rsidR="00E455B6">
        <w:t xml:space="preserve"> a change in</w:t>
      </w:r>
      <w:r w:rsidR="00EA6AE2">
        <w:t xml:space="preserve"> </w:t>
      </w:r>
      <w:r w:rsidR="00583F9C">
        <w:t>o</w:t>
      </w:r>
      <w:r w:rsidR="00EE6A46">
        <w:t>ne state</w:t>
      </w:r>
      <w:r w:rsidR="00F223EA">
        <w:t xml:space="preserve"> is</w:t>
      </w:r>
      <w:r w:rsidR="00253322">
        <w:t xml:space="preserve"> unlikely to material</w:t>
      </w:r>
      <w:r w:rsidR="00860917">
        <w:t>ly</w:t>
      </w:r>
      <w:r w:rsidR="00253322">
        <w:t xml:space="preserve"> affect the national average rates.</w:t>
      </w:r>
    </w:p>
    <w:p w14:paraId="42455EAC" w14:textId="1B71EE88" w:rsidR="00422B56" w:rsidRDefault="00A466A1" w:rsidP="00A466A1">
      <w:pPr>
        <w:pStyle w:val="CGC2025ParaNumbers"/>
      </w:pPr>
      <w:r>
        <w:t xml:space="preserve">The Commission’s </w:t>
      </w:r>
      <w:r w:rsidR="00633D46">
        <w:t>202</w:t>
      </w:r>
      <w:r w:rsidR="00BB4F7A">
        <w:t xml:space="preserve">4 Update </w:t>
      </w:r>
      <w:r>
        <w:t>police assessment</w:t>
      </w:r>
      <w:r w:rsidR="00BB4F7A">
        <w:t xml:space="preserve"> method</w:t>
      </w:r>
      <w:r>
        <w:t xml:space="preserve"> considers all policing costs, not only costs related to offender rates</w:t>
      </w:r>
      <w:r w:rsidR="00DB4D30">
        <w:t>.</w:t>
      </w:r>
      <w:r w:rsidR="00DB4D30">
        <w:rPr>
          <w:rStyle w:val="FootnoteReference"/>
        </w:rPr>
        <w:footnoteReference w:id="4"/>
      </w:r>
      <w:r>
        <w:t xml:space="preserve"> If a state chooses to increase spending on diversionary programs to reduce offending, </w:t>
      </w:r>
      <w:proofErr w:type="gramStart"/>
      <w:r>
        <w:t>these costs will</w:t>
      </w:r>
      <w:proofErr w:type="gramEnd"/>
      <w:r>
        <w:t xml:space="preserve"> be captured </w:t>
      </w:r>
      <w:r>
        <w:lastRenderedPageBreak/>
        <w:t>as part of policing costs and inform the national average per capita costs for policing in each region.</w:t>
      </w:r>
    </w:p>
    <w:p w14:paraId="44321F4F" w14:textId="71D4B856" w:rsidR="00B07947" w:rsidRDefault="004F6364" w:rsidP="00B07947">
      <w:pPr>
        <w:pStyle w:val="CGC2025ParaNumbers"/>
      </w:pPr>
      <w:bookmarkStart w:id="11" w:name="_Hlk212470413"/>
      <w:r w:rsidRPr="004F6364">
        <w:t>In relation to weighting</w:t>
      </w:r>
      <w:r w:rsidRPr="004F6364" w:rsidDel="00F86AC9">
        <w:t xml:space="preserve"> </w:t>
      </w:r>
      <w:r w:rsidRPr="004F6364">
        <w:t>offences by seriousness, the Commission acknowledges there is a conceptual case that the cost of investigating some crimes is more expensive</w:t>
      </w:r>
      <w:r w:rsidR="00C047B0">
        <w:t xml:space="preserve"> than </w:t>
      </w:r>
      <w:r w:rsidR="00BA6C2D">
        <w:t>other crimes</w:t>
      </w:r>
      <w:r w:rsidRPr="004F6364">
        <w:t>. A state may face higher costs beyond its control if these offences are committed more often within its borders than in other states.</w:t>
      </w:r>
      <w:r w:rsidR="00B07947">
        <w:t xml:space="preserve"> </w:t>
      </w:r>
    </w:p>
    <w:p w14:paraId="19918FA9" w14:textId="026C3EE4" w:rsidR="00337C19" w:rsidRDefault="00B07947" w:rsidP="00B07947">
      <w:pPr>
        <w:pStyle w:val="CGC2025ParaNumbers"/>
      </w:pPr>
      <w:r w:rsidRPr="00B07947">
        <w:t xml:space="preserve">However, the Commission is not aware of any </w:t>
      </w:r>
      <w:r w:rsidR="00312A84">
        <w:t>national</w:t>
      </w:r>
      <w:r w:rsidRPr="00B07947">
        <w:t xml:space="preserve"> data that would allow it to determine whether</w:t>
      </w:r>
      <w:r w:rsidR="00BA6C2D">
        <w:t>, or by how much</w:t>
      </w:r>
      <w:r w:rsidR="002431CE">
        <w:t>,</w:t>
      </w:r>
      <w:r w:rsidRPr="00B07947">
        <w:t xml:space="preserve"> more serious crime</w:t>
      </w:r>
      <w:r w:rsidR="00256D89">
        <w:t>s</w:t>
      </w:r>
      <w:r w:rsidRPr="00B07947">
        <w:t xml:space="preserve"> cost</w:t>
      </w:r>
      <w:r w:rsidR="00250476">
        <w:t xml:space="preserve"> more</w:t>
      </w:r>
      <w:r w:rsidR="00456E81">
        <w:t xml:space="preserve"> </w:t>
      </w:r>
      <w:r w:rsidR="00313FC8">
        <w:t>than</w:t>
      </w:r>
      <w:r w:rsidR="002431CE">
        <w:t xml:space="preserve"> less serious crimes</w:t>
      </w:r>
      <w:r w:rsidRPr="00B07947">
        <w:t>.</w:t>
      </w:r>
      <w:r w:rsidR="008160F1">
        <w:t xml:space="preserve"> </w:t>
      </w:r>
      <w:r w:rsidR="00A27CF5">
        <w:t>It is also</w:t>
      </w:r>
      <w:r w:rsidR="00805EDF">
        <w:t xml:space="preserve"> </w:t>
      </w:r>
      <w:r w:rsidR="00413C37">
        <w:t>likely</w:t>
      </w:r>
      <w:r w:rsidR="00805EDF">
        <w:t xml:space="preserve"> that the costs associated with </w:t>
      </w:r>
      <w:r w:rsidR="0007624C">
        <w:t xml:space="preserve">2 crimes of the same seriousness may differ </w:t>
      </w:r>
      <w:r w:rsidR="00B16DD6">
        <w:t>significantly</w:t>
      </w:r>
      <w:r w:rsidR="0007624C">
        <w:t xml:space="preserve">. </w:t>
      </w:r>
      <w:r w:rsidR="008160F1" w:rsidRPr="008160F1">
        <w:t>The Commission therefore considers the weighting of offences by seriousness to be unfeasible given current data availability.</w:t>
      </w:r>
      <w:r w:rsidR="008160F1">
        <w:rPr>
          <w:rStyle w:val="FootnoteReference"/>
        </w:rPr>
        <w:footnoteReference w:id="5"/>
      </w:r>
    </w:p>
    <w:p w14:paraId="7B4D5A08" w14:textId="4446D29C" w:rsidR="00E47672" w:rsidRDefault="00E47672" w:rsidP="00B07947">
      <w:pPr>
        <w:pStyle w:val="CGC2025ParaNumbers"/>
      </w:pPr>
      <w:r w:rsidRPr="00E47672">
        <w:t>The Commission d</w:t>
      </w:r>
      <w:r w:rsidR="00D3718F">
        <w:t>oes</w:t>
      </w:r>
      <w:r w:rsidRPr="00E47672">
        <w:t xml:space="preserve"> not consider having an equal weight for offence</w:t>
      </w:r>
      <w:r w:rsidR="00860EAE">
        <w:t>s</w:t>
      </w:r>
      <w:r w:rsidRPr="00E47672">
        <w:t xml:space="preserve"> conflict</w:t>
      </w:r>
      <w:r w:rsidR="00860EAE">
        <w:t>s</w:t>
      </w:r>
      <w:r w:rsidRPr="00E47672">
        <w:t xml:space="preserve"> with the principle of policy neutrality. With an equal weighting of offences</w:t>
      </w:r>
      <w:r w:rsidR="00951195">
        <w:t>,</w:t>
      </w:r>
      <w:r w:rsidRPr="00E47672">
        <w:t xml:space="preserve"> states may </w:t>
      </w:r>
      <w:r w:rsidR="00906E19">
        <w:t xml:space="preserve">choose where they </w:t>
      </w:r>
      <w:r w:rsidRPr="00E47672">
        <w:t>focus police activities</w:t>
      </w:r>
      <w:r w:rsidR="00047F03">
        <w:t>.</w:t>
      </w:r>
      <w:r w:rsidR="00047F03">
        <w:rPr>
          <w:rStyle w:val="FootnoteReference"/>
        </w:rPr>
        <w:footnoteReference w:id="6"/>
      </w:r>
      <w:r w:rsidRPr="00E47672">
        <w:t xml:space="preserve"> These policy choices form part of the national average policy on what states spend per offender. This cost weight is then applied to each state’s assessed offenders rather than its</w:t>
      </w:r>
      <w:r w:rsidR="00047F03">
        <w:t xml:space="preserve"> </w:t>
      </w:r>
      <w:r w:rsidR="00047F03" w:rsidRPr="00047F03">
        <w:t>actual offenders. In this way, individual states are only able to influence their assessed GST needs in proportion to how much they affect national average policies</w:t>
      </w:r>
      <w:bookmarkEnd w:id="11"/>
      <w:r w:rsidR="00047F03" w:rsidRPr="00047F03">
        <w:t>.</w:t>
      </w:r>
    </w:p>
    <w:p w14:paraId="2B6F0A78" w14:textId="7360A880" w:rsidR="00E9263D" w:rsidRPr="00325FB1" w:rsidRDefault="002A104D" w:rsidP="00B07947">
      <w:pPr>
        <w:pStyle w:val="CGC2025ParaNumbers"/>
      </w:pPr>
      <w:r>
        <w:t>Given</w:t>
      </w:r>
      <w:r w:rsidR="00A941A1" w:rsidRPr="00325FB1">
        <w:t xml:space="preserve"> the impact of individual state policies is mitigated by using national averages</w:t>
      </w:r>
      <w:r w:rsidR="00A941A1">
        <w:t>, t</w:t>
      </w:r>
      <w:r w:rsidR="00EA3137" w:rsidRPr="00325FB1">
        <w:t>he Commission does not consider a discount to be warranted.</w:t>
      </w:r>
      <w:r w:rsidR="008936A8" w:rsidRPr="00325FB1">
        <w:t xml:space="preserve"> </w:t>
      </w:r>
    </w:p>
    <w:p w14:paraId="7A566F6C" w14:textId="717CBF1F" w:rsidR="00CE2349" w:rsidRPr="005250AF" w:rsidRDefault="00CE2349" w:rsidP="00CE2349">
      <w:pPr>
        <w:pStyle w:val="Heading4"/>
      </w:pPr>
      <w:r w:rsidRPr="005250AF">
        <w:t xml:space="preserve">Commission </w:t>
      </w:r>
      <w:r w:rsidR="00705AE3">
        <w:t>decision</w:t>
      </w:r>
      <w:r w:rsidR="00E961BD">
        <w:t xml:space="preserve"> </w:t>
      </w:r>
    </w:p>
    <w:p w14:paraId="1F1B533C" w14:textId="4349CF20" w:rsidR="007C42EC" w:rsidRPr="005250AF" w:rsidRDefault="00D61CA2" w:rsidP="0056209B">
      <w:pPr>
        <w:pStyle w:val="CGC2025ParaNumbers"/>
      </w:pPr>
      <w:r w:rsidRPr="00D61CA2">
        <w:t xml:space="preserve">The Commission </w:t>
      </w:r>
      <w:r w:rsidR="00761EB7">
        <w:t>will</w:t>
      </w:r>
      <w:r>
        <w:t xml:space="preserve"> not</w:t>
      </w:r>
      <w:r w:rsidRPr="00D61CA2">
        <w:t xml:space="preserve"> make changes to the police assessment </w:t>
      </w:r>
      <w:r w:rsidR="00E26C2C">
        <w:t>in response</w:t>
      </w:r>
      <w:r w:rsidRPr="00D61CA2">
        <w:t xml:space="preserve"> to </w:t>
      </w:r>
      <w:r w:rsidR="00E26C2C">
        <w:t xml:space="preserve">concerns regarding </w:t>
      </w:r>
      <w:r w:rsidRPr="00D61CA2">
        <w:t xml:space="preserve">potential barriers </w:t>
      </w:r>
      <w:r w:rsidR="008E1C90">
        <w:t>to</w:t>
      </w:r>
      <w:r w:rsidR="008E1C90" w:rsidRPr="00D61CA2">
        <w:t xml:space="preserve"> </w:t>
      </w:r>
      <w:r w:rsidRPr="00D61CA2">
        <w:t>policy reform.</w:t>
      </w:r>
    </w:p>
    <w:p w14:paraId="54FF82A2" w14:textId="31B8EC62" w:rsidR="007F03FE" w:rsidRPr="00ED102F" w:rsidRDefault="00353A17" w:rsidP="004148B5">
      <w:pPr>
        <w:pStyle w:val="Heading3"/>
        <w:keepNext/>
      </w:pPr>
      <w:r>
        <w:t xml:space="preserve">Police </w:t>
      </w:r>
      <w:r w:rsidR="002E19D7">
        <w:t xml:space="preserve">assessment </w:t>
      </w:r>
      <w:r w:rsidR="005C10C3">
        <w:t>–</w:t>
      </w:r>
      <w:r w:rsidR="002E19D7">
        <w:t xml:space="preserve"> </w:t>
      </w:r>
      <w:r w:rsidR="002B3275">
        <w:t>regression</w:t>
      </w:r>
      <w:r w:rsidR="008D366D">
        <w:t xml:space="preserve"> specification</w:t>
      </w:r>
    </w:p>
    <w:p w14:paraId="340D9309" w14:textId="4A5926DD" w:rsidR="007312E8" w:rsidRPr="00476832" w:rsidRDefault="0085470A" w:rsidP="00476832">
      <w:pPr>
        <w:pStyle w:val="CGC2025ParaNumbers"/>
      </w:pPr>
      <w:r w:rsidRPr="00FD2108">
        <w:rPr>
          <w:szCs w:val="20"/>
        </w:rPr>
        <w:t xml:space="preserve">In response to state comments, the Commission </w:t>
      </w:r>
      <w:r w:rsidR="000C6B57" w:rsidRPr="00FD2108">
        <w:rPr>
          <w:szCs w:val="20"/>
        </w:rPr>
        <w:t>consider</w:t>
      </w:r>
      <w:r w:rsidR="000F636E" w:rsidRPr="00FD2108">
        <w:rPr>
          <w:szCs w:val="20"/>
        </w:rPr>
        <w:t>ed</w:t>
      </w:r>
      <w:r w:rsidR="000C6B57" w:rsidRPr="00FD2108">
        <w:rPr>
          <w:szCs w:val="20"/>
        </w:rPr>
        <w:t xml:space="preserve"> i</w:t>
      </w:r>
      <w:r w:rsidR="00465DC5" w:rsidRPr="00FD2108">
        <w:rPr>
          <w:szCs w:val="20"/>
        </w:rPr>
        <w:t>f</w:t>
      </w:r>
      <w:r w:rsidR="00322B91" w:rsidRPr="00FD2108">
        <w:t xml:space="preserve"> the </w:t>
      </w:r>
      <w:r w:rsidR="00387D6E" w:rsidRPr="00FD2108">
        <w:t>regression used in the police assessment reflect</w:t>
      </w:r>
      <w:r w:rsidR="00465DC5" w:rsidRPr="00FD2108">
        <w:t>s</w:t>
      </w:r>
      <w:r w:rsidR="00387D6E" w:rsidRPr="00FD2108">
        <w:t xml:space="preserve"> what states do.</w:t>
      </w:r>
    </w:p>
    <w:p w14:paraId="0EFDBBDA" w14:textId="5C7FA367" w:rsidR="008B418C" w:rsidRDefault="00B1384C" w:rsidP="00E45D50">
      <w:pPr>
        <w:pStyle w:val="CGC2025ParaNumbers"/>
        <w:tabs>
          <w:tab w:val="clear" w:pos="567"/>
        </w:tabs>
        <w:rPr>
          <w:szCs w:val="20"/>
        </w:rPr>
      </w:pPr>
      <w:r>
        <w:rPr>
          <w:szCs w:val="20"/>
        </w:rPr>
        <w:t>Following analysis of 2022–23 and 2023–24 data,</w:t>
      </w:r>
      <w:r w:rsidR="008B418C">
        <w:rPr>
          <w:szCs w:val="20"/>
        </w:rPr>
        <w:t xml:space="preserve"> the Commission proposed</w:t>
      </w:r>
      <w:r>
        <w:rPr>
          <w:szCs w:val="20"/>
        </w:rPr>
        <w:t xml:space="preserve"> </w:t>
      </w:r>
      <w:r w:rsidR="00C4416C">
        <w:rPr>
          <w:szCs w:val="20"/>
        </w:rPr>
        <w:t>combining the remote and very remote</w:t>
      </w:r>
      <w:r w:rsidR="004878EC">
        <w:rPr>
          <w:szCs w:val="20"/>
        </w:rPr>
        <w:t xml:space="preserve"> </w:t>
      </w:r>
      <w:r w:rsidR="00FA4F4C">
        <w:rPr>
          <w:szCs w:val="20"/>
        </w:rPr>
        <w:t>variables.</w:t>
      </w:r>
      <w:r w:rsidR="00C631C1">
        <w:rPr>
          <w:szCs w:val="20"/>
        </w:rPr>
        <w:t xml:space="preserve"> It noted that changes </w:t>
      </w:r>
      <w:r w:rsidR="00731342">
        <w:rPr>
          <w:szCs w:val="20"/>
        </w:rPr>
        <w:t>to expense</w:t>
      </w:r>
      <w:r w:rsidR="00117F31">
        <w:rPr>
          <w:szCs w:val="20"/>
        </w:rPr>
        <w:t xml:space="preserve"> patterns </w:t>
      </w:r>
      <w:r w:rsidR="00731342">
        <w:rPr>
          <w:szCs w:val="20"/>
        </w:rPr>
        <w:t xml:space="preserve">in the Northern Territory </w:t>
      </w:r>
      <w:r w:rsidR="00731342" w:rsidRPr="00364EB4">
        <w:rPr>
          <w:szCs w:val="20"/>
        </w:rPr>
        <w:t xml:space="preserve">were </w:t>
      </w:r>
      <w:r w:rsidR="00930BCE" w:rsidRPr="00364EB4">
        <w:rPr>
          <w:szCs w:val="20"/>
        </w:rPr>
        <w:t>influence</w:t>
      </w:r>
      <w:r w:rsidR="00571DA8">
        <w:rPr>
          <w:szCs w:val="20"/>
        </w:rPr>
        <w:t>d by</w:t>
      </w:r>
      <w:r w:rsidR="00930BCE">
        <w:rPr>
          <w:szCs w:val="20"/>
        </w:rPr>
        <w:t xml:space="preserve"> the greater costs in remote areas </w:t>
      </w:r>
      <w:r w:rsidR="000D2C1A">
        <w:rPr>
          <w:szCs w:val="20"/>
        </w:rPr>
        <w:t>compared with very remote areas.</w:t>
      </w:r>
      <w:r w:rsidR="00523B18" w:rsidRPr="00523B18">
        <w:rPr>
          <w:szCs w:val="20"/>
        </w:rPr>
        <w:t xml:space="preserve"> </w:t>
      </w:r>
    </w:p>
    <w:p w14:paraId="625AB379" w14:textId="62E992BE" w:rsidR="00B1384C" w:rsidRPr="003E4F8C" w:rsidRDefault="00523B18" w:rsidP="00E45D50">
      <w:pPr>
        <w:pStyle w:val="CGC2025ParaNumbers"/>
        <w:tabs>
          <w:tab w:val="clear" w:pos="567"/>
        </w:tabs>
        <w:rPr>
          <w:szCs w:val="20"/>
        </w:rPr>
      </w:pPr>
      <w:r>
        <w:rPr>
          <w:szCs w:val="20"/>
        </w:rPr>
        <w:t xml:space="preserve">The </w:t>
      </w:r>
      <w:r w:rsidRPr="00476832">
        <w:rPr>
          <w:szCs w:val="20"/>
        </w:rPr>
        <w:t>Commission</w:t>
      </w:r>
      <w:r w:rsidR="008B418C">
        <w:rPr>
          <w:szCs w:val="20"/>
        </w:rPr>
        <w:t xml:space="preserve"> also</w:t>
      </w:r>
      <w:r w:rsidRPr="00476832">
        <w:rPr>
          <w:szCs w:val="20"/>
        </w:rPr>
        <w:t xml:space="preserve"> </w:t>
      </w:r>
      <w:r>
        <w:rPr>
          <w:szCs w:val="20"/>
        </w:rPr>
        <w:t>proposed to not include</w:t>
      </w:r>
      <w:r w:rsidRPr="00476832">
        <w:rPr>
          <w:szCs w:val="20"/>
        </w:rPr>
        <w:t xml:space="preserve"> a remote offender variable </w:t>
      </w:r>
      <w:r>
        <w:rPr>
          <w:szCs w:val="20"/>
        </w:rPr>
        <w:t>in</w:t>
      </w:r>
      <w:r w:rsidRPr="00476832">
        <w:rPr>
          <w:szCs w:val="20"/>
        </w:rPr>
        <w:t xml:space="preserve"> the regression</w:t>
      </w:r>
      <w:r w:rsidR="008B418C">
        <w:rPr>
          <w:szCs w:val="20"/>
        </w:rPr>
        <w:t>.</w:t>
      </w:r>
    </w:p>
    <w:p w14:paraId="33B5D125" w14:textId="69162B65" w:rsidR="00DF6B7E" w:rsidRPr="008675B1" w:rsidRDefault="00DF6B7E" w:rsidP="00DF6B7E">
      <w:pPr>
        <w:pStyle w:val="Heading4"/>
      </w:pPr>
      <w:r>
        <w:lastRenderedPageBreak/>
        <w:t>State views</w:t>
      </w:r>
    </w:p>
    <w:p w14:paraId="1C35ACF6" w14:textId="5F4F6795" w:rsidR="0096202B" w:rsidRPr="0096202B" w:rsidRDefault="0096202B" w:rsidP="0096202B">
      <w:pPr>
        <w:pStyle w:val="Heading5"/>
      </w:pPr>
      <w:r>
        <w:t>Reactive and preventative policing</w:t>
      </w:r>
    </w:p>
    <w:p w14:paraId="0AF72EEB" w14:textId="21823B9D" w:rsidR="00C45FA6" w:rsidRPr="009252C7" w:rsidRDefault="00C45FA6" w:rsidP="00233A90">
      <w:pPr>
        <w:pStyle w:val="CGC2025ParaNumbers"/>
      </w:pPr>
      <w:r w:rsidRPr="009252C7">
        <w:t xml:space="preserve">Victoria said the 2020 Review police assessment was based on reactive police measures, such as offender numbers, which were a poor indicator of need. It recommended that, in the absence of robust preventative policing measures, the Commission should adopt a conservative approach and assess police </w:t>
      </w:r>
      <w:r w:rsidR="005E2F21">
        <w:t>expen</w:t>
      </w:r>
      <w:r w:rsidR="0069244D">
        <w:t>ses</w:t>
      </w:r>
      <w:r w:rsidR="005E2F21">
        <w:t xml:space="preserve"> </w:t>
      </w:r>
      <w:r w:rsidRPr="009252C7">
        <w:t>equal per capita or discount the assessment.</w:t>
      </w:r>
    </w:p>
    <w:p w14:paraId="18610807" w14:textId="19226CFB" w:rsidR="00C45FA6" w:rsidRDefault="00FB059E" w:rsidP="00C45FA6">
      <w:pPr>
        <w:pStyle w:val="CGC2025ParaNumbers"/>
        <w:tabs>
          <w:tab w:val="clear" w:pos="567"/>
        </w:tabs>
      </w:pPr>
      <w:r>
        <w:t>Victoria</w:t>
      </w:r>
      <w:r w:rsidR="00C45FA6">
        <w:t xml:space="preserve"> also</w:t>
      </w:r>
      <w:r w:rsidR="00C45FA6" w:rsidRPr="00F13E45">
        <w:t xml:space="preserve"> recommended using a simplified model based only on police district population and </w:t>
      </w:r>
      <w:r w:rsidR="00C45FA6" w:rsidRPr="00DC0EF4">
        <w:t>remoteness</w:t>
      </w:r>
      <w:r w:rsidR="00C45FA6" w:rsidRPr="00F13E45">
        <w:t xml:space="preserve"> since it found the offen</w:t>
      </w:r>
      <w:r w:rsidR="00C45FA6">
        <w:t>der</w:t>
      </w:r>
      <w:r w:rsidR="00C45FA6" w:rsidRPr="00F13E45">
        <w:t xml:space="preserve"> variable to be ineffective at capturing cost drivers.</w:t>
      </w:r>
    </w:p>
    <w:p w14:paraId="37720C27" w14:textId="32F3F069" w:rsidR="00796776" w:rsidRPr="00A30F5D" w:rsidRDefault="00F30579" w:rsidP="00F30579">
      <w:pPr>
        <w:pStyle w:val="CGC2025ParaNumbers"/>
      </w:pPr>
      <w:r w:rsidRPr="00A30F5D">
        <w:t>Victoria requested that the Commission further investigate the feasibility of an alternative regression specification that excludes offender-related variables and instead estimates police district costs using the socio-demographic characteristics of each area. Victoria also recommended that variables found to be statistically insignificant be omitted from the model</w:t>
      </w:r>
      <w:r w:rsidR="00F92A21" w:rsidRPr="00A30F5D">
        <w:t>.</w:t>
      </w:r>
    </w:p>
    <w:p w14:paraId="19088CD5" w14:textId="7F19F77A" w:rsidR="005D6759" w:rsidRDefault="00D0601C" w:rsidP="005D6759">
      <w:pPr>
        <w:pStyle w:val="CGC2025ParaNumbers"/>
        <w:tabs>
          <w:tab w:val="clear" w:pos="567"/>
        </w:tabs>
      </w:pPr>
      <w:r w:rsidRPr="00D0601C">
        <w:t>Queensland said that the cost and time attributed to criminal activity within Queensland police</w:t>
      </w:r>
      <w:r w:rsidR="00CF1F60">
        <w:t xml:space="preserve"> services</w:t>
      </w:r>
      <w:r w:rsidRPr="00D0601C">
        <w:t xml:space="preserve"> is significantly higher than the approximately 31% of policing costs attributed to criminal policing</w:t>
      </w:r>
      <w:r w:rsidR="00BA564C">
        <w:t xml:space="preserve"> in the police regression</w:t>
      </w:r>
      <w:r w:rsidRPr="00D0601C">
        <w:t>.</w:t>
      </w:r>
    </w:p>
    <w:p w14:paraId="016CF465" w14:textId="2CB7081B" w:rsidR="00737742" w:rsidRDefault="00BA27AC" w:rsidP="005D6759">
      <w:pPr>
        <w:pStyle w:val="CGC2025ParaNumbers"/>
        <w:tabs>
          <w:tab w:val="clear" w:pos="567"/>
        </w:tabs>
      </w:pPr>
      <w:r w:rsidRPr="00BA27AC">
        <w:t>Queensland proposed altering the police assessment to recognise expense needs through a socio-demographic composition assessment of assessed offenders that is weighted by regional costs (instead of applying the cost weights to regional populations).</w:t>
      </w:r>
      <w:r>
        <w:rPr>
          <w:rStyle w:val="FootnoteReference"/>
        </w:rPr>
        <w:footnoteReference w:id="7"/>
      </w:r>
      <w:r w:rsidRPr="00BA27AC">
        <w:t xml:space="preserve"> </w:t>
      </w:r>
      <w:r w:rsidR="00523C5E">
        <w:t xml:space="preserve">It </w:t>
      </w:r>
      <w:r w:rsidRPr="00BA27AC">
        <w:t xml:space="preserve">said that spending on </w:t>
      </w:r>
      <w:r w:rsidR="00B97572">
        <w:t>preventative</w:t>
      </w:r>
      <w:r w:rsidRPr="00BA27AC">
        <w:t xml:space="preserve"> policing is driven by crime propensity rather than population.</w:t>
      </w:r>
    </w:p>
    <w:p w14:paraId="07DDFDD9" w14:textId="578AB51E" w:rsidR="00647279" w:rsidRDefault="00647279" w:rsidP="00647279">
      <w:pPr>
        <w:pStyle w:val="Heading5"/>
      </w:pPr>
      <w:r>
        <w:t xml:space="preserve">District </w:t>
      </w:r>
      <w:r w:rsidRPr="009755A3">
        <w:t>size</w:t>
      </w:r>
      <w:r>
        <w:t xml:space="preserve"> and population</w:t>
      </w:r>
    </w:p>
    <w:p w14:paraId="1808C7C1" w14:textId="3510F9A3" w:rsidR="00647279" w:rsidRDefault="00647279" w:rsidP="00647279">
      <w:pPr>
        <w:pStyle w:val="CGC2025ParaNumbers"/>
      </w:pPr>
      <w:r w:rsidRPr="00A97B08">
        <w:t>Victoria said</w:t>
      </w:r>
      <w:r>
        <w:t xml:space="preserve"> that, unless the police regression could be adjusted to account for state policy influences on the size, population and composition of police districts, the regression should not be used, or a discount applied. </w:t>
      </w:r>
    </w:p>
    <w:p w14:paraId="23E3E8DE" w14:textId="0ECACE61" w:rsidR="00647279" w:rsidRDefault="00F025C1" w:rsidP="00647279">
      <w:pPr>
        <w:pStyle w:val="CGC2025ParaNumbers"/>
      </w:pPr>
      <w:r>
        <w:t xml:space="preserve">Victoria also </w:t>
      </w:r>
      <w:r w:rsidR="00647279">
        <w:t>recommended that a population variable be added to the regression model to fully account for differences in police district size. It found that adding a population variable to the model produced different cost weights, meaning that weighting by population was not fully mitigating potential biases.</w:t>
      </w:r>
    </w:p>
    <w:p w14:paraId="295206DF" w14:textId="6E746660" w:rsidR="00B717B2" w:rsidRDefault="00B717B2" w:rsidP="00B717B2">
      <w:pPr>
        <w:pStyle w:val="Heading5"/>
      </w:pPr>
      <w:r>
        <w:t xml:space="preserve">Combining </w:t>
      </w:r>
      <w:r w:rsidR="008F22F1">
        <w:t>remoteness areas</w:t>
      </w:r>
    </w:p>
    <w:p w14:paraId="281E1B95" w14:textId="138AD7A5" w:rsidR="00B06BB2" w:rsidRDefault="00B06BB2" w:rsidP="00B06BB2">
      <w:pPr>
        <w:pStyle w:val="CGC2025ParaNumbers"/>
      </w:pPr>
      <w:r>
        <w:t xml:space="preserve">Queensland, Tasmania and the ACT supported combining the remote and very remote variables in the police regression. </w:t>
      </w:r>
      <w:r w:rsidR="00AD7B31">
        <w:t xml:space="preserve">Tasmania noted </w:t>
      </w:r>
      <w:r w:rsidR="008449D4">
        <w:t>its experience was that demand for police services and their related costs is greater in remote areas than in very remote areas.</w:t>
      </w:r>
      <w:r>
        <w:t xml:space="preserve"> </w:t>
      </w:r>
    </w:p>
    <w:p w14:paraId="0F1A6B5B" w14:textId="218CF459" w:rsidR="00B06BB2" w:rsidRDefault="00B06BB2" w:rsidP="00B06BB2">
      <w:pPr>
        <w:pStyle w:val="CGC2025ParaNumbers"/>
      </w:pPr>
      <w:r>
        <w:lastRenderedPageBreak/>
        <w:t xml:space="preserve">While Queensland supported combining the variables, it </w:t>
      </w:r>
      <w:r w:rsidR="00635DC9">
        <w:t>said</w:t>
      </w:r>
      <w:r>
        <w:t xml:space="preserve"> that very remote regions incur significantly higher costs than remote regions.  </w:t>
      </w:r>
    </w:p>
    <w:p w14:paraId="1AFBAA9B" w14:textId="60B56978" w:rsidR="00B717B2" w:rsidRDefault="00B06BB2" w:rsidP="00B06BB2">
      <w:pPr>
        <w:pStyle w:val="CGC2025ParaNumbers"/>
      </w:pPr>
      <w:r>
        <w:t>Western Australia was not opposed to combining</w:t>
      </w:r>
      <w:r w:rsidDel="00EB650F">
        <w:t xml:space="preserve"> </w:t>
      </w:r>
      <w:r>
        <w:t>the remote and very remote variables.</w:t>
      </w:r>
    </w:p>
    <w:p w14:paraId="48AEAB93" w14:textId="77777777" w:rsidR="008062A4" w:rsidRDefault="008062A4" w:rsidP="008062A4">
      <w:pPr>
        <w:pStyle w:val="Heading5"/>
      </w:pPr>
      <w:r>
        <w:t>Additional remote offender variable</w:t>
      </w:r>
    </w:p>
    <w:p w14:paraId="731A9879" w14:textId="651FB326" w:rsidR="0018319B" w:rsidRDefault="00B339E5" w:rsidP="0018319B">
      <w:pPr>
        <w:pStyle w:val="CGC2025ParaNumbers"/>
      </w:pPr>
      <w:r>
        <w:t>Most states</w:t>
      </w:r>
      <w:r w:rsidR="0018319B">
        <w:t xml:space="preserve"> supported not including a remote offender variable. </w:t>
      </w:r>
    </w:p>
    <w:p w14:paraId="0795493B" w14:textId="7C068C41" w:rsidR="0018319B" w:rsidRDefault="0018319B" w:rsidP="0018319B">
      <w:pPr>
        <w:pStyle w:val="CGC2025ParaNumbers"/>
      </w:pPr>
      <w:r>
        <w:t xml:space="preserve">New South Wales said that the assessment already accounts for remoteness costs in the police regression and the inclusion of the variable has little explanatory value. It considered that incorporating a measure for the severity of crime would be useful but acknowledged that this is not possible due to data limitations.  </w:t>
      </w:r>
    </w:p>
    <w:p w14:paraId="47B6C283" w14:textId="10FC7339" w:rsidR="0018319B" w:rsidRDefault="0018319B" w:rsidP="0018319B">
      <w:pPr>
        <w:pStyle w:val="CGC2025ParaNumbers"/>
      </w:pPr>
      <w:r>
        <w:t xml:space="preserve">The ACT supported not including the remote offender variable because it was </w:t>
      </w:r>
      <w:r w:rsidRPr="00F03414">
        <w:t>statistically insignificant</w:t>
      </w:r>
      <w:r>
        <w:t xml:space="preserve"> when incorporated into the regression model.  </w:t>
      </w:r>
    </w:p>
    <w:p w14:paraId="66725473" w14:textId="1CB240DA" w:rsidR="0018319B" w:rsidRDefault="0018319B" w:rsidP="0018319B">
      <w:pPr>
        <w:pStyle w:val="CGC2025ParaNumbers"/>
      </w:pPr>
      <w:r>
        <w:t xml:space="preserve">Western Australia was not opposed to the exclusion of the remote offender variable. Western Australia said that while the conceptual case for remote offenders was strong, the relationship </w:t>
      </w:r>
      <w:r w:rsidR="003E08FB">
        <w:t xml:space="preserve">was </w:t>
      </w:r>
      <w:r>
        <w:t xml:space="preserve">not supported by data.  </w:t>
      </w:r>
    </w:p>
    <w:p w14:paraId="174124AA" w14:textId="13386491" w:rsidR="00C06C85" w:rsidRPr="00A30F5D" w:rsidRDefault="00F80898" w:rsidP="006868F3">
      <w:pPr>
        <w:pStyle w:val="CGC2025ParaNumbers"/>
      </w:pPr>
      <w:r w:rsidRPr="00A30F5D">
        <w:t>Queensland</w:t>
      </w:r>
      <w:r w:rsidR="009B7D3F">
        <w:t xml:space="preserve"> initially</w:t>
      </w:r>
      <w:r w:rsidRPr="00A30F5D">
        <w:t xml:space="preserve"> </w:t>
      </w:r>
      <w:r w:rsidRPr="00A30F5D" w:rsidDel="00FA2472">
        <w:t xml:space="preserve">suggested </w:t>
      </w:r>
      <w:r w:rsidR="003B64CE" w:rsidRPr="00A30F5D">
        <w:t xml:space="preserve">including a remote offender variable in the regression </w:t>
      </w:r>
      <w:r w:rsidR="007A78B8" w:rsidRPr="00A30F5D">
        <w:t xml:space="preserve">and </w:t>
      </w:r>
      <w:r w:rsidR="006E7AC5" w:rsidRPr="00A30F5D">
        <w:t>test</w:t>
      </w:r>
      <w:r w:rsidR="007A78B8" w:rsidRPr="00A30F5D">
        <w:t>ing</w:t>
      </w:r>
      <w:r w:rsidR="007D5311" w:rsidRPr="00A30F5D">
        <w:t xml:space="preserve"> </w:t>
      </w:r>
      <w:r w:rsidR="006126E2" w:rsidRPr="00A30F5D">
        <w:t xml:space="preserve">for any interactive effects on cost not already captured by the remote population or the offender variable. </w:t>
      </w:r>
      <w:r w:rsidR="00B12FF6">
        <w:t>However, it</w:t>
      </w:r>
      <w:r w:rsidR="006126E2" w:rsidRPr="00A30F5D">
        <w:t xml:space="preserve"> supported not includ</w:t>
      </w:r>
      <w:r w:rsidR="00DE2FFA" w:rsidRPr="00A30F5D">
        <w:t>ing</w:t>
      </w:r>
      <w:r w:rsidR="006126E2" w:rsidRPr="00A30F5D">
        <w:t xml:space="preserve"> an additional cost weight for remote offenders after Commission analysis found </w:t>
      </w:r>
      <w:r w:rsidR="00FF7071" w:rsidRPr="00A30F5D">
        <w:t xml:space="preserve">that expenses were </w:t>
      </w:r>
      <w:r w:rsidR="008036BB" w:rsidRPr="00A30F5D">
        <w:t>largely already captured by</w:t>
      </w:r>
      <w:r w:rsidR="006126E2" w:rsidRPr="00A30F5D">
        <w:t xml:space="preserve"> the remote populations variable. </w:t>
      </w:r>
      <w:r w:rsidR="00B12FF6">
        <w:t>Queensland</w:t>
      </w:r>
      <w:r w:rsidR="006126E2" w:rsidRPr="00A30F5D">
        <w:t xml:space="preserve"> maintained that costs incurred in policing the most remote regions are not adequately captured by the assessment</w:t>
      </w:r>
      <w:r w:rsidR="00B12FF6">
        <w:t xml:space="preserve"> and</w:t>
      </w:r>
      <w:r w:rsidR="006126E2" w:rsidRPr="00A30F5D">
        <w:t xml:space="preserve"> suggested that the issue be further explored by the Data Working Group. </w:t>
      </w:r>
    </w:p>
    <w:p w14:paraId="6E541707" w14:textId="77777777" w:rsidR="00DF6B7E" w:rsidRPr="008675B1" w:rsidRDefault="00DF6B7E" w:rsidP="00DF6B7E">
      <w:pPr>
        <w:pStyle w:val="Heading4"/>
      </w:pPr>
      <w:r>
        <w:t>Commission response</w:t>
      </w:r>
    </w:p>
    <w:p w14:paraId="2CFBC25B" w14:textId="1F19B966" w:rsidR="00B505BD" w:rsidRDefault="00B505BD" w:rsidP="00B505BD">
      <w:pPr>
        <w:pStyle w:val="Heading5"/>
      </w:pPr>
      <w:bookmarkStart w:id="12" w:name="_Hlk211587799"/>
      <w:r>
        <w:t>Reactive and preventative policing</w:t>
      </w:r>
    </w:p>
    <w:bookmarkEnd w:id="12"/>
    <w:p w14:paraId="1D176A68" w14:textId="602C2B82" w:rsidR="00424B16" w:rsidRDefault="005D4997" w:rsidP="00C5639E">
      <w:pPr>
        <w:pStyle w:val="CGC2025ParaNumbers"/>
      </w:pPr>
      <w:r w:rsidRPr="005D4997">
        <w:t xml:space="preserve">The police regression captures all recurrent expenses in the policing task and estimates a national average policing cost per offender and a policing cost for each regional area. </w:t>
      </w:r>
      <w:r w:rsidR="00892705" w:rsidRPr="005D4997">
        <w:t>It does not assign costs to a specific policing task</w:t>
      </w:r>
      <w:r w:rsidR="00892705">
        <w:t>.</w:t>
      </w:r>
      <w:r w:rsidR="00892705">
        <w:rPr>
          <w:rStyle w:val="FootnoteReference"/>
        </w:rPr>
        <w:footnoteReference w:id="8"/>
      </w:r>
      <w:r w:rsidR="00BB69D3">
        <w:t xml:space="preserve"> </w:t>
      </w:r>
      <w:r>
        <w:t>T</w:t>
      </w:r>
      <w:r w:rsidRPr="005D4997">
        <w:t xml:space="preserve">his should not be interpreted as a split between the costs associated with </w:t>
      </w:r>
      <w:r w:rsidR="0015455F">
        <w:t>policing</w:t>
      </w:r>
      <w:r w:rsidR="0015455F" w:rsidRPr="005D4997">
        <w:t xml:space="preserve"> </w:t>
      </w:r>
      <w:r w:rsidRPr="005D4997">
        <w:t>offenders and the cost of general community policing</w:t>
      </w:r>
      <w:r>
        <w:t>.</w:t>
      </w:r>
      <w:r w:rsidRPr="005D4997">
        <w:t xml:space="preserve"> </w:t>
      </w:r>
    </w:p>
    <w:p w14:paraId="45A0EF00" w14:textId="53A2B054" w:rsidR="005A42B5" w:rsidRDefault="0018064C" w:rsidP="00BC3281">
      <w:pPr>
        <w:pStyle w:val="CGC2025ParaNumbers"/>
      </w:pPr>
      <w:r w:rsidRPr="0018064C">
        <w:t xml:space="preserve">Assessing all police </w:t>
      </w:r>
      <w:r w:rsidR="00D30515">
        <w:t>expenses</w:t>
      </w:r>
      <w:r w:rsidR="002263E1">
        <w:t xml:space="preserve"> </w:t>
      </w:r>
      <w:r w:rsidRPr="0018064C">
        <w:t>by only using national average offender numbers or only using</w:t>
      </w:r>
      <w:r w:rsidR="009D046F">
        <w:t xml:space="preserve"> police </w:t>
      </w:r>
      <w:r w:rsidR="002B0120">
        <w:t>district</w:t>
      </w:r>
      <w:r w:rsidRPr="0018064C">
        <w:t xml:space="preserve"> population </w:t>
      </w:r>
      <w:r w:rsidR="009D046F">
        <w:t xml:space="preserve">characteristics </w:t>
      </w:r>
      <w:r w:rsidRPr="0018064C">
        <w:t xml:space="preserve">would not adequately recognise </w:t>
      </w:r>
      <w:r w:rsidR="00DF6A73">
        <w:t xml:space="preserve">all </w:t>
      </w:r>
      <w:r w:rsidRPr="0018064C">
        <w:t>the drivers of police costs</w:t>
      </w:r>
      <w:r>
        <w:t>.</w:t>
      </w:r>
      <w:r w:rsidR="00971A6E">
        <w:t xml:space="preserve"> The Commission </w:t>
      </w:r>
      <w:r w:rsidR="00B87C92">
        <w:t xml:space="preserve">tested alternative regression models, including </w:t>
      </w:r>
      <w:r w:rsidR="008056CB">
        <w:t>one that replaced offenders per capita with</w:t>
      </w:r>
      <w:r w:rsidR="00131BE4">
        <w:t xml:space="preserve"> variables for</w:t>
      </w:r>
      <w:r w:rsidR="00355338">
        <w:t xml:space="preserve"> the underlying </w:t>
      </w:r>
      <w:r w:rsidR="00857F01">
        <w:t>socio-demographic drivers of crime</w:t>
      </w:r>
      <w:r w:rsidR="00EC3566">
        <w:t>.</w:t>
      </w:r>
      <w:r w:rsidR="003E3647">
        <w:t xml:space="preserve"> </w:t>
      </w:r>
      <w:r w:rsidR="004B5483">
        <w:t>However, it</w:t>
      </w:r>
      <w:r w:rsidR="003E3647">
        <w:t xml:space="preserve"> found these were less accurate at predicting </w:t>
      </w:r>
      <w:r w:rsidR="00592895">
        <w:t>police district costs</w:t>
      </w:r>
      <w:r w:rsidR="00E016C2" w:rsidRPr="00A30F5D">
        <w:t xml:space="preserve"> and would fail to address the costs faced by areas </w:t>
      </w:r>
      <w:r w:rsidR="00E016C2" w:rsidRPr="00A30F5D">
        <w:lastRenderedPageBreak/>
        <w:t xml:space="preserve">with higher crime propensity. </w:t>
      </w:r>
      <w:r w:rsidR="00257FE0" w:rsidRPr="00A30F5D">
        <w:t>Thi</w:t>
      </w:r>
      <w:r w:rsidR="00B13B6E" w:rsidRPr="00A30F5D">
        <w:t xml:space="preserve">s continued to be the case </w:t>
      </w:r>
      <w:r w:rsidR="007A313E" w:rsidRPr="00A30F5D">
        <w:t xml:space="preserve">after insignificant variables were excluded (see </w:t>
      </w:r>
      <w:r w:rsidR="00062041" w:rsidRPr="00A30F5D">
        <w:t>A</w:t>
      </w:r>
      <w:r w:rsidR="007A313E" w:rsidRPr="00A30F5D">
        <w:t>ttachment A).</w:t>
      </w:r>
    </w:p>
    <w:p w14:paraId="67072BAB" w14:textId="4CB56479" w:rsidR="00B01F88" w:rsidRPr="00A94194" w:rsidRDefault="00064D3E" w:rsidP="00B01F88">
      <w:pPr>
        <w:pStyle w:val="CGC2025ParaNumbers"/>
      </w:pPr>
      <w:r w:rsidRPr="00A94194">
        <w:t>The Commission acknowledge</w:t>
      </w:r>
      <w:r w:rsidR="006158A4" w:rsidRPr="00A94194">
        <w:t>s</w:t>
      </w:r>
      <w:r w:rsidRPr="00A94194">
        <w:t xml:space="preserve"> that </w:t>
      </w:r>
      <w:r w:rsidR="00846739" w:rsidRPr="00A94194">
        <w:t>states have</w:t>
      </w:r>
      <w:r w:rsidR="005C4689" w:rsidRPr="00A94194">
        <w:t xml:space="preserve"> different </w:t>
      </w:r>
      <w:r w:rsidR="001622F3" w:rsidRPr="00A94194">
        <w:t xml:space="preserve">policies for funding police </w:t>
      </w:r>
      <w:r w:rsidR="00222792" w:rsidRPr="00A94194">
        <w:t>activities</w:t>
      </w:r>
      <w:r w:rsidR="009D686D" w:rsidRPr="00A94194">
        <w:t xml:space="preserve"> and </w:t>
      </w:r>
      <w:r w:rsidR="008450D0">
        <w:t xml:space="preserve">that </w:t>
      </w:r>
      <w:r w:rsidR="009D686D" w:rsidRPr="00A94194">
        <w:t xml:space="preserve">the </w:t>
      </w:r>
      <w:r w:rsidR="002051B6" w:rsidRPr="00A94194">
        <w:t>difference</w:t>
      </w:r>
      <w:r w:rsidR="009D686D" w:rsidRPr="00A94194">
        <w:t xml:space="preserve"> between</w:t>
      </w:r>
      <w:r w:rsidRPr="00A94194">
        <w:t xml:space="preserve"> offender driven costs and </w:t>
      </w:r>
      <w:r w:rsidR="002D54FE">
        <w:t xml:space="preserve">other policing </w:t>
      </w:r>
      <w:r w:rsidRPr="00A94194">
        <w:t xml:space="preserve">costs </w:t>
      </w:r>
      <w:r w:rsidR="000A4D81" w:rsidRPr="00A94194">
        <w:t>will vary</w:t>
      </w:r>
      <w:r w:rsidR="009D686D" w:rsidRPr="00A94194">
        <w:t>. The Commission consider</w:t>
      </w:r>
      <w:r w:rsidR="00905E55">
        <w:t>s</w:t>
      </w:r>
      <w:r w:rsidR="009D686D" w:rsidRPr="00A94194">
        <w:t xml:space="preserve"> </w:t>
      </w:r>
      <w:r w:rsidR="00BF1111" w:rsidRPr="00A94194">
        <w:t xml:space="preserve">the </w:t>
      </w:r>
      <w:r w:rsidR="00EC00C1" w:rsidRPr="00A42177">
        <w:t>2025 Review</w:t>
      </w:r>
      <w:r w:rsidR="007E1BA9">
        <w:t xml:space="preserve"> </w:t>
      </w:r>
      <w:r w:rsidR="00DF1545" w:rsidRPr="00A94194">
        <w:t xml:space="preserve">regression </w:t>
      </w:r>
      <w:r w:rsidR="00563EF0">
        <w:t>model</w:t>
      </w:r>
      <w:r w:rsidR="00BF1111" w:rsidRPr="00A94194">
        <w:t xml:space="preserve"> </w:t>
      </w:r>
      <w:r w:rsidR="00440679">
        <w:t>to be</w:t>
      </w:r>
      <w:r w:rsidR="00BF1111" w:rsidRPr="00A94194">
        <w:t xml:space="preserve"> suitable for accounting for</w:t>
      </w:r>
      <w:r w:rsidR="00804300" w:rsidRPr="00A94194">
        <w:t xml:space="preserve"> such</w:t>
      </w:r>
      <w:r w:rsidR="00BF1111" w:rsidRPr="00A94194">
        <w:t xml:space="preserve"> policy differences</w:t>
      </w:r>
      <w:r w:rsidR="009511FF" w:rsidRPr="00A94194">
        <w:t>.</w:t>
      </w:r>
      <w:r w:rsidR="00B01F88" w:rsidRPr="00A94194">
        <w:t xml:space="preserve"> </w:t>
      </w:r>
    </w:p>
    <w:p w14:paraId="09FD0F14" w14:textId="2F62B520" w:rsidR="00C4643D" w:rsidRDefault="00B505BD" w:rsidP="00C4643D">
      <w:pPr>
        <w:pStyle w:val="Heading5"/>
      </w:pPr>
      <w:r>
        <w:t>District size and population</w:t>
      </w:r>
    </w:p>
    <w:p w14:paraId="76D8E8F7" w14:textId="185FFFF2" w:rsidR="008B3337" w:rsidRDefault="001022A9" w:rsidP="008B3337">
      <w:pPr>
        <w:pStyle w:val="CGC2025ParaNumbers"/>
      </w:pPr>
      <w:r>
        <w:t xml:space="preserve">In the police </w:t>
      </w:r>
      <w:r w:rsidR="00986B68">
        <w:t>regression</w:t>
      </w:r>
      <w:r w:rsidR="003156F5">
        <w:t>,</w:t>
      </w:r>
      <w:r w:rsidR="00986B68">
        <w:t xml:space="preserve"> </w:t>
      </w:r>
      <w:r w:rsidR="00986B68" w:rsidRPr="00986B68">
        <w:t>each of the police district</w:t>
      </w:r>
      <w:r w:rsidR="0044019E">
        <w:t>’s</w:t>
      </w:r>
      <w:r w:rsidR="00986B68" w:rsidRPr="00986B68">
        <w:t xml:space="preserve"> costs </w:t>
      </w:r>
      <w:r w:rsidR="00AB546F">
        <w:t>are</w:t>
      </w:r>
      <w:r w:rsidR="00AB546F" w:rsidRPr="00986B68">
        <w:t xml:space="preserve"> </w:t>
      </w:r>
      <w:r w:rsidR="00986B68" w:rsidRPr="00986B68">
        <w:t xml:space="preserve">weighted by the population in the police district. </w:t>
      </w:r>
      <w:r w:rsidR="00A6711F">
        <w:t xml:space="preserve">The regression uses </w:t>
      </w:r>
      <w:r w:rsidR="005B655D">
        <w:t xml:space="preserve">the cost per capita to estimate the national average policing cost in each region and national average cost per offender. </w:t>
      </w:r>
      <w:r w:rsidR="008B3337">
        <w:t>U</w:t>
      </w:r>
      <w:r w:rsidR="005F5356">
        <w:t xml:space="preserve">sing this type of population weighting negates the bias </w:t>
      </w:r>
      <w:r w:rsidR="00A737FF">
        <w:t>resulting from</w:t>
      </w:r>
      <w:r w:rsidR="005F5356">
        <w:t xml:space="preserve"> states having different numbers and population sizes of police districts. </w:t>
      </w:r>
    </w:p>
    <w:p w14:paraId="4C3982E2" w14:textId="16D234B2" w:rsidR="00815925" w:rsidRDefault="008B3337" w:rsidP="008B3337">
      <w:pPr>
        <w:pStyle w:val="CGC2025ParaNumbers"/>
      </w:pPr>
      <w:bookmarkStart w:id="13" w:name="_Hlk211588525"/>
      <w:r>
        <w:t>The Commission</w:t>
      </w:r>
      <w:r w:rsidR="007051F3">
        <w:t xml:space="preserve"> </w:t>
      </w:r>
      <w:bookmarkEnd w:id="13"/>
      <w:r w:rsidR="00F165C5">
        <w:t>consider</w:t>
      </w:r>
      <w:r w:rsidR="006158A4">
        <w:t>s</w:t>
      </w:r>
      <w:r w:rsidR="00127BDA">
        <w:t xml:space="preserve"> the differen</w:t>
      </w:r>
      <w:r w:rsidR="00BB53A8">
        <w:t>ce in</w:t>
      </w:r>
      <w:r w:rsidR="00127BDA">
        <w:t xml:space="preserve"> cost weights produced </w:t>
      </w:r>
      <w:r w:rsidR="00083BE8">
        <w:t>by adding</w:t>
      </w:r>
      <w:r w:rsidR="006C131B">
        <w:t xml:space="preserve"> a</w:t>
      </w:r>
      <w:r w:rsidR="00083BE8">
        <w:t xml:space="preserve"> population</w:t>
      </w:r>
      <w:r w:rsidR="006C131B">
        <w:t xml:space="preserve"> variable</w:t>
      </w:r>
      <w:r w:rsidR="00083BE8">
        <w:t xml:space="preserve"> to the model is </w:t>
      </w:r>
      <w:r w:rsidR="000B5B43">
        <w:t xml:space="preserve">caused by </w:t>
      </w:r>
      <w:r w:rsidR="001141B7">
        <w:t xml:space="preserve">the </w:t>
      </w:r>
      <w:r w:rsidR="001141B7" w:rsidRPr="001141B7">
        <w:t>strong correlation between population and population-weighted police districts</w:t>
      </w:r>
      <w:r w:rsidR="001141B7">
        <w:t>.</w:t>
      </w:r>
    </w:p>
    <w:p w14:paraId="4B2A1969" w14:textId="77777777" w:rsidR="00EA4922" w:rsidRDefault="00EA4922" w:rsidP="00EA4922">
      <w:pPr>
        <w:pStyle w:val="Heading5"/>
      </w:pPr>
      <w:r>
        <w:t>Combining remoteness areas</w:t>
      </w:r>
    </w:p>
    <w:p w14:paraId="291DB5C6" w14:textId="77777777" w:rsidR="00EA4922" w:rsidRDefault="00EA4922" w:rsidP="000872EA">
      <w:pPr>
        <w:pStyle w:val="CGC2025ParaNumbers"/>
      </w:pPr>
      <w:r>
        <w:t>The very remote coefficient was lower than the remote coefficient when 2022–23 and 2023–24 data were incorporated into the regression model. The Commission considers the conceptual case for higher costs in very remote areas is strong and that it is too early to determine whether this relationship reflects a permanent change in what states do. Until a long-term trend can be established, the Commission considers it appropriate to combine remote and very remote cost weights. It will revisit this issue with updated data in the next review.</w:t>
      </w:r>
    </w:p>
    <w:p w14:paraId="31EE2E0D" w14:textId="77777777" w:rsidR="00AB1D28" w:rsidRDefault="00AB1D28" w:rsidP="00AB1D28">
      <w:pPr>
        <w:pStyle w:val="Heading5"/>
      </w:pPr>
      <w:r>
        <w:t>Additional remote offender variable</w:t>
      </w:r>
    </w:p>
    <w:p w14:paraId="593F529A" w14:textId="26D55F20" w:rsidR="00AB1D28" w:rsidRDefault="00856DDE" w:rsidP="00856DDE">
      <w:pPr>
        <w:pStyle w:val="CGC2025ParaNumbers"/>
      </w:pPr>
      <w:r>
        <w:t>Regression analysis using 2022–23 and 2023–24 data suggested that the costs of running police districts would be estimated more accurately overall through the inclusion of a remote offender variable. The Commission notes that the remote offender variable produced a positive and significant coefficient</w:t>
      </w:r>
      <w:r w:rsidR="00F41541">
        <w:t>,</w:t>
      </w:r>
      <w:r>
        <w:t xml:space="preserve"> but its inclusion resulted in the coefficient for remote areas decreasing substantially and losing significance.</w:t>
      </w:r>
    </w:p>
    <w:p w14:paraId="734185B3" w14:textId="62580D71" w:rsidR="00043F25" w:rsidRDefault="00043F25" w:rsidP="00043F25">
      <w:pPr>
        <w:pStyle w:val="CGC2025ParaNumbers"/>
      </w:pPr>
      <w:r>
        <w:t xml:space="preserve">Instead of assessed spending being attributed to remote populations, </w:t>
      </w:r>
      <w:r w:rsidR="00DD69BD">
        <w:t xml:space="preserve">a regression with the </w:t>
      </w:r>
      <w:r w:rsidR="008B0C8A">
        <w:t>additional</w:t>
      </w:r>
      <w:r w:rsidR="00280D7D">
        <w:t xml:space="preserve"> variable </w:t>
      </w:r>
      <w:r>
        <w:t xml:space="preserve">would attribute the additional spending to remote offenders. This means that some aspects of regional costs would be applied to offenders and some to population. There would be very low confidence in whether this reallocation of costs was appropriate. The Commission notes that within the total sample of 152 police districts, only a small number serviced remote areas. Such a small sample size makes it difficult to reliably quantify the cost of remote offenders separately from the cost of remote populations. The collinearity between these 2 variables would significantly compromise the precision of the derived cost </w:t>
      </w:r>
      <w:r>
        <w:lastRenderedPageBreak/>
        <w:t>weights. The Commission considers the added complexity of including remote offenders is not warranted.</w:t>
      </w:r>
    </w:p>
    <w:p w14:paraId="2F578F67" w14:textId="59BD0338" w:rsidR="00DF6B7E" w:rsidRDefault="00DF6B7E" w:rsidP="0056209B">
      <w:pPr>
        <w:pStyle w:val="Heading4"/>
      </w:pPr>
      <w:r w:rsidRPr="005250AF">
        <w:t xml:space="preserve">Commission </w:t>
      </w:r>
      <w:r w:rsidR="00705AE3">
        <w:t>decision</w:t>
      </w:r>
    </w:p>
    <w:p w14:paraId="781B9919" w14:textId="17EAE97B" w:rsidR="00FF451E" w:rsidRDefault="00C8643F" w:rsidP="00FC692C">
      <w:pPr>
        <w:pStyle w:val="CGC2025ParaNumbers"/>
      </w:pPr>
      <w:r>
        <w:t xml:space="preserve">The </w:t>
      </w:r>
      <w:r w:rsidR="008E2935">
        <w:t xml:space="preserve">Commission </w:t>
      </w:r>
      <w:r w:rsidR="0016006A">
        <w:t>will</w:t>
      </w:r>
      <w:r w:rsidR="008E2935">
        <w:t xml:space="preserve"> </w:t>
      </w:r>
      <w:r w:rsidR="008E2935" w:rsidRPr="00E67232">
        <w:t xml:space="preserve">retain the </w:t>
      </w:r>
      <w:r w:rsidR="00DD0912" w:rsidRPr="00E67232">
        <w:t xml:space="preserve">regression </w:t>
      </w:r>
      <w:r w:rsidR="00DC35FA" w:rsidRPr="00E67232">
        <w:t>model</w:t>
      </w:r>
      <w:r w:rsidR="005634D5">
        <w:t xml:space="preserve"> with a combined remote and very remote variable</w:t>
      </w:r>
      <w:r w:rsidR="005A107B">
        <w:t>.</w:t>
      </w:r>
    </w:p>
    <w:p w14:paraId="44E6660A" w14:textId="0D3DCAEF" w:rsidR="003233CC" w:rsidRPr="003E4F8C" w:rsidRDefault="00AF6D74" w:rsidP="009E30A9">
      <w:pPr>
        <w:pStyle w:val="CGC2025ParaNumbers"/>
      </w:pPr>
      <w:r>
        <w:t>The C</w:t>
      </w:r>
      <w:r w:rsidR="00921EE9">
        <w:t xml:space="preserve">ommission will </w:t>
      </w:r>
      <w:r w:rsidR="005B6B8C">
        <w:t xml:space="preserve">not </w:t>
      </w:r>
      <w:r w:rsidR="00921EE9">
        <w:t xml:space="preserve">include </w:t>
      </w:r>
      <w:r w:rsidR="005B6B8C">
        <w:t>a remote offender variable in the regression</w:t>
      </w:r>
      <w:r w:rsidR="008116FB" w:rsidRPr="003E4F8C">
        <w:rPr>
          <w:rStyle w:val="ui-provider"/>
        </w:rPr>
        <w:t>.</w:t>
      </w:r>
    </w:p>
    <w:p w14:paraId="69766FCB" w14:textId="44F7E09F" w:rsidR="009F03C4" w:rsidRPr="00ED102F" w:rsidRDefault="00247154" w:rsidP="009F03C4">
      <w:pPr>
        <w:pStyle w:val="Heading3"/>
        <w:keepNext/>
      </w:pPr>
      <w:bookmarkStart w:id="14" w:name="_Hlk211595695"/>
      <w:r>
        <w:t>P</w:t>
      </w:r>
      <w:r w:rsidR="002C6D77">
        <w:t xml:space="preserve">olice assessment </w:t>
      </w:r>
      <w:r w:rsidR="005C10C3">
        <w:t>–</w:t>
      </w:r>
      <w:r w:rsidR="002C6D77">
        <w:t xml:space="preserve"> c</w:t>
      </w:r>
      <w:r w:rsidR="009F03C4">
        <w:t>entral costs</w:t>
      </w:r>
    </w:p>
    <w:p w14:paraId="5FB907C1" w14:textId="4C6A87BB" w:rsidR="00263AD6" w:rsidRPr="00256AE4" w:rsidRDefault="001576D8" w:rsidP="009C6C73">
      <w:pPr>
        <w:pStyle w:val="CGC2025ParaNumbers"/>
      </w:pPr>
      <w:r>
        <w:t>Following analysis of 2022–23 and 2023–24 data, the Commission proposed allocating police central co</w:t>
      </w:r>
      <w:r w:rsidR="00442E47">
        <w:t>st</w:t>
      </w:r>
      <w:r w:rsidR="00D31467">
        <w:t>s</w:t>
      </w:r>
      <w:r w:rsidR="00442E47">
        <w:t xml:space="preserve"> </w:t>
      </w:r>
      <w:r w:rsidR="00A42838">
        <w:t>using a 50:50 blend of proportion of police district full</w:t>
      </w:r>
      <w:r w:rsidR="009C6C73">
        <w:noBreakHyphen/>
      </w:r>
      <w:r w:rsidR="00A42838">
        <w:t>time equivalent staff and police district expenses</w:t>
      </w:r>
      <w:r w:rsidR="009C6C73">
        <w:t xml:space="preserve"> </w:t>
      </w:r>
      <w:r w:rsidR="009C6C73" w:rsidRPr="009C6C73">
        <w:t>prior to running the police regression</w:t>
      </w:r>
      <w:r w:rsidR="008F03D5" w:rsidRPr="00256AE4">
        <w:t>.</w:t>
      </w:r>
      <w:r w:rsidR="00442E47">
        <w:t xml:space="preserve"> It note</w:t>
      </w:r>
      <w:r w:rsidR="00A42838">
        <w:t>d</w:t>
      </w:r>
      <w:r w:rsidR="00442E47">
        <w:t xml:space="preserve"> </w:t>
      </w:r>
      <w:r w:rsidR="00A53FE1">
        <w:t xml:space="preserve">that determining a precise split of central costs </w:t>
      </w:r>
      <w:r w:rsidR="00D817DB">
        <w:t>was not possible due to the nature of the central costs data</w:t>
      </w:r>
      <w:r w:rsidR="006A2B1D">
        <w:t>.</w:t>
      </w:r>
    </w:p>
    <w:p w14:paraId="7AE600A7" w14:textId="77777777" w:rsidR="009F03C4" w:rsidRPr="008675B1" w:rsidRDefault="009F03C4" w:rsidP="009F03C4">
      <w:pPr>
        <w:pStyle w:val="Heading4"/>
      </w:pPr>
      <w:r>
        <w:t>State views</w:t>
      </w:r>
    </w:p>
    <w:p w14:paraId="6A5E81E5" w14:textId="0CD19873" w:rsidR="00AD0354" w:rsidRDefault="00AD0354" w:rsidP="005C10C3">
      <w:pPr>
        <w:pStyle w:val="CGC2025ParaNumbers"/>
      </w:pPr>
      <w:r>
        <w:t xml:space="preserve">States had differing views, with some advocating for retaining the </w:t>
      </w:r>
      <w:r w:rsidR="00243154">
        <w:t xml:space="preserve">2020 Review </w:t>
      </w:r>
      <w:r>
        <w:t xml:space="preserve">method (costs attributed on the basis of district expenses) and others supporting a move to recognise and allocate more to full-time equivalent staff. </w:t>
      </w:r>
    </w:p>
    <w:p w14:paraId="06152134" w14:textId="01014BC9" w:rsidR="00AD0354" w:rsidRDefault="00AD0354" w:rsidP="005C10C3">
      <w:pPr>
        <w:pStyle w:val="CGC2025ParaNumbers"/>
      </w:pPr>
      <w:r>
        <w:t xml:space="preserve">Queensland, Western Australia, Tasmania and the Northern Territory supported retaining the 2020 Review assessment, which </w:t>
      </w:r>
      <w:r w:rsidR="00E46A87">
        <w:t>allocate</w:t>
      </w:r>
      <w:r w:rsidR="004B00B9">
        <w:t>d</w:t>
      </w:r>
      <w:r>
        <w:t xml:space="preserve"> central costs entirely on the proportion of expenses in police districts. These states suggested that allocating central costs on a 50:50 basis between district costs and full-time equivalent staff would understate regional costs.</w:t>
      </w:r>
    </w:p>
    <w:p w14:paraId="2D7BEE35" w14:textId="36C2F63C" w:rsidR="00AD0354" w:rsidRDefault="00AD0354" w:rsidP="005C10C3">
      <w:pPr>
        <w:pStyle w:val="CGC2025ParaNumbers"/>
      </w:pPr>
      <w:r>
        <w:t>Queensland said that better data on central costs, especially data from states with large remote areas, were required to make an informed decision on the distribution of central costs.</w:t>
      </w:r>
    </w:p>
    <w:p w14:paraId="3C3EE463" w14:textId="7221A50F" w:rsidR="00AD0354" w:rsidRDefault="00AD0354" w:rsidP="005C10C3">
      <w:pPr>
        <w:pStyle w:val="CGC2025ParaNumbers"/>
      </w:pPr>
      <w:r>
        <w:t xml:space="preserve">Given the number and variety of cost centres, the Northern Territory considered it not feasible to investigate all the possible drivers of central costs and considered a broad apportionment approach to be appropriate. Further to this, it noted that there is no clear definition of central costs and that central cost centre structures differ between states. For this reason, the Northern Territory suggested reframing the discussion from apportionment of ‘central costs’ to either ‘statewide services’ or ‘dispersed services’.  </w:t>
      </w:r>
    </w:p>
    <w:p w14:paraId="03F7914B" w14:textId="0D04C9AC" w:rsidR="00DE5BC7" w:rsidRPr="000B00A3" w:rsidRDefault="000B00A3" w:rsidP="00DE5BC7">
      <w:pPr>
        <w:pStyle w:val="CGC2025ParaNumbers"/>
      </w:pPr>
      <w:r>
        <w:t>Western Australia conducted analysis on state centrally controlled services data provided by its police force for 2023–24. Western Australia said that th</w:t>
      </w:r>
      <w:r w:rsidR="00F7322F">
        <w:t>e</w:t>
      </w:r>
      <w:r>
        <w:t>s</w:t>
      </w:r>
      <w:r w:rsidR="00F7322F">
        <w:t>e</w:t>
      </w:r>
      <w:r>
        <w:t xml:space="preserve"> data showed that the majority of its expenses are from specialist policing services with 19% of expenses being attributable to corporate overheads.</w:t>
      </w:r>
    </w:p>
    <w:p w14:paraId="1D44C711" w14:textId="7CB3A4DA" w:rsidR="00CC24D7" w:rsidRDefault="00AD0354" w:rsidP="005C10C3">
      <w:pPr>
        <w:pStyle w:val="CGC2025ParaNumbers"/>
      </w:pPr>
      <w:r>
        <w:t xml:space="preserve">While supporting a retention of the current method, Western Australia and the Northern Territory noted that a 25:75 distribution, with </w:t>
      </w:r>
      <w:r w:rsidR="00D9570E">
        <w:t xml:space="preserve">25% based on </w:t>
      </w:r>
      <w:r w:rsidR="00933D45">
        <w:t xml:space="preserve">full-time </w:t>
      </w:r>
      <w:r w:rsidR="00933D45">
        <w:lastRenderedPageBreak/>
        <w:t xml:space="preserve">equivalent staff and </w:t>
      </w:r>
      <w:r>
        <w:t xml:space="preserve">75% based on district expenses, could be used as an alternative to retaining the 2020 Review assessment. </w:t>
      </w:r>
    </w:p>
    <w:p w14:paraId="199B57A2" w14:textId="51CF0AFF" w:rsidR="00AD0354" w:rsidRDefault="00AD0354" w:rsidP="005C10C3">
      <w:pPr>
        <w:pStyle w:val="CGC2025ParaNumbers"/>
      </w:pPr>
      <w:r>
        <w:t xml:space="preserve">Tasmania said that the 2020 Review method should be retained until more nationally comparable data on central costs became available. Tasmania acknowledged the Commission’s need to exercise judgement on this issue.  </w:t>
      </w:r>
    </w:p>
    <w:p w14:paraId="73B725DE" w14:textId="307EF485" w:rsidR="00AD0354" w:rsidRDefault="00AD0354" w:rsidP="005C10C3">
      <w:pPr>
        <w:pStyle w:val="CGC2025ParaNumbers"/>
      </w:pPr>
      <w:r>
        <w:t>New Sout</w:t>
      </w:r>
      <w:r w:rsidR="0003216E">
        <w:t xml:space="preserve">h Wales, Victoria and the ACT supported </w:t>
      </w:r>
      <w:r>
        <w:t xml:space="preserve">the Commission allocating central costs on the basis of 75:25, with 75% </w:t>
      </w:r>
      <w:r w:rsidR="006D55A2">
        <w:t>based on</w:t>
      </w:r>
      <w:r>
        <w:t xml:space="preserve"> full-time equivalent staff and 25% </w:t>
      </w:r>
      <w:r w:rsidR="006D55A2">
        <w:t xml:space="preserve">based </w:t>
      </w:r>
      <w:r>
        <w:t xml:space="preserve">on district expenses.  </w:t>
      </w:r>
    </w:p>
    <w:p w14:paraId="2648565A" w14:textId="6985BC28" w:rsidR="00AD0354" w:rsidRDefault="00AD0354" w:rsidP="00AD0354">
      <w:pPr>
        <w:pStyle w:val="CGC2025ParaNumbers"/>
      </w:pPr>
      <w:r>
        <w:t xml:space="preserve">New South Wales said that specialist or central service costs are driven mostly by service use in metropolitan areas and that regional costs would be overstated in a 50:50 allocation of central costs. It considered that central costs should be apportioned to regions according to service use and that this apportionment should be based, wherever possible, on individual states’ data. </w:t>
      </w:r>
    </w:p>
    <w:p w14:paraId="2559E78F" w14:textId="4A8F69AB" w:rsidR="00A3737D" w:rsidRPr="00A30F5D" w:rsidRDefault="00A3737D" w:rsidP="00AD0354">
      <w:pPr>
        <w:pStyle w:val="CGC2025ParaNumbers"/>
      </w:pPr>
      <w:r w:rsidRPr="00A30F5D">
        <w:t>New South Wales</w:t>
      </w:r>
      <w:r w:rsidR="00596941" w:rsidRPr="00A30F5D">
        <w:t xml:space="preserve"> </w:t>
      </w:r>
      <w:r w:rsidRPr="00A30F5D">
        <w:t xml:space="preserve">disagreed with </w:t>
      </w:r>
      <w:r w:rsidR="006D5074" w:rsidRPr="00A30F5D">
        <w:t xml:space="preserve">taking an unweighted average of </w:t>
      </w:r>
      <w:r w:rsidR="009A464D" w:rsidRPr="00A30F5D">
        <w:t>state</w:t>
      </w:r>
      <w:r w:rsidR="00FA4A48" w:rsidRPr="00A30F5D">
        <w:t>s’</w:t>
      </w:r>
      <w:r w:rsidR="009A464D" w:rsidRPr="00A30F5D">
        <w:t xml:space="preserve"> central </w:t>
      </w:r>
      <w:r w:rsidR="009E074F" w:rsidRPr="00A30F5D">
        <w:t xml:space="preserve">cost </w:t>
      </w:r>
      <w:r w:rsidR="00874AD0" w:rsidRPr="00A30F5D">
        <w:t>allocation method</w:t>
      </w:r>
      <w:r w:rsidR="00FA4A48" w:rsidRPr="00A30F5D">
        <w:t>s</w:t>
      </w:r>
      <w:r w:rsidR="00A7661A" w:rsidRPr="00A30F5D">
        <w:t>. It said</w:t>
      </w:r>
      <w:r w:rsidR="00A939EB" w:rsidRPr="00A30F5D">
        <w:t xml:space="preserve"> </w:t>
      </w:r>
      <w:r w:rsidR="008B51AD" w:rsidRPr="00A30F5D">
        <w:t xml:space="preserve">that doing so would overstate the </w:t>
      </w:r>
      <w:r w:rsidR="00FA4A48" w:rsidRPr="00A30F5D">
        <w:t xml:space="preserve">allocation methods </w:t>
      </w:r>
      <w:r w:rsidR="008B51AD" w:rsidRPr="00A30F5D">
        <w:t>of less-populous states and</w:t>
      </w:r>
      <w:r w:rsidR="00A939EB" w:rsidRPr="00A30F5D">
        <w:t xml:space="preserve"> a population</w:t>
      </w:r>
      <w:r w:rsidR="009D6195" w:rsidRPr="00A30F5D">
        <w:t>-</w:t>
      </w:r>
      <w:r w:rsidR="00A939EB" w:rsidRPr="00A30F5D">
        <w:t xml:space="preserve">weighted </w:t>
      </w:r>
      <w:r w:rsidR="000C6FB4" w:rsidRPr="00A30F5D">
        <w:t>approach</w:t>
      </w:r>
      <w:r w:rsidR="00596941" w:rsidRPr="00A30F5D">
        <w:t xml:space="preserve"> would be more appropriate a</w:t>
      </w:r>
      <w:r w:rsidR="00FD73D9" w:rsidRPr="00A30F5D">
        <w:t>s the resulting coefficients would be applied to</w:t>
      </w:r>
      <w:r w:rsidR="001506A5" w:rsidRPr="00A30F5D">
        <w:t xml:space="preserve"> </w:t>
      </w:r>
      <w:r w:rsidR="00B03712" w:rsidRPr="00A30F5D">
        <w:t xml:space="preserve">state </w:t>
      </w:r>
      <w:r w:rsidR="001506A5" w:rsidRPr="00A30F5D">
        <w:t>population</w:t>
      </w:r>
      <w:r w:rsidR="00192A6C" w:rsidRPr="00A30F5D">
        <w:t>s</w:t>
      </w:r>
      <w:r w:rsidR="008B51AD" w:rsidRPr="00A30F5D">
        <w:t>.</w:t>
      </w:r>
    </w:p>
    <w:p w14:paraId="511CD94B" w14:textId="46D6E98D" w:rsidR="00AD0354" w:rsidRPr="00A30F5D" w:rsidRDefault="00AD0354" w:rsidP="00AD0354">
      <w:pPr>
        <w:pStyle w:val="CGC2025ParaNumbers"/>
      </w:pPr>
      <w:r>
        <w:t>Victoria said that population size alone is the most appropriate driver of policing costs and full-time equivalent staff is a better representation of population than district expenses. Given the size of central costs expenses and the large impact this adjustment has on distribution, Victoria did not consider the use of judgement to be justified.</w:t>
      </w:r>
      <w:r w:rsidR="00B45500">
        <w:t xml:space="preserve"> </w:t>
      </w:r>
      <w:r w:rsidR="00571B95" w:rsidRPr="00A30F5D">
        <w:t xml:space="preserve">It recommended that </w:t>
      </w:r>
      <w:r w:rsidR="00A82326" w:rsidRPr="00A30F5D">
        <w:t>if</w:t>
      </w:r>
      <w:r w:rsidR="0021280D" w:rsidRPr="00A30F5D">
        <w:t xml:space="preserve"> a 75:25</w:t>
      </w:r>
      <w:r w:rsidR="00E6462C" w:rsidRPr="00A30F5D">
        <w:t xml:space="preserve"> split</w:t>
      </w:r>
      <w:r w:rsidR="00A82326" w:rsidRPr="00A30F5D">
        <w:t xml:space="preserve"> w</w:t>
      </w:r>
      <w:r w:rsidR="00FB706B" w:rsidRPr="00A30F5D">
        <w:t>as not adopted</w:t>
      </w:r>
      <w:r w:rsidR="0021280D" w:rsidRPr="00A30F5D">
        <w:t>, that central costs should be excluded from the regression and allocated on an equal per capita basis.</w:t>
      </w:r>
    </w:p>
    <w:p w14:paraId="516CC057" w14:textId="1D7DA1A1" w:rsidR="00326BF9" w:rsidRPr="00A30F5D" w:rsidRDefault="00AD0354" w:rsidP="00AD0354">
      <w:pPr>
        <w:pStyle w:val="CGC2025ParaNumbers"/>
      </w:pPr>
      <w:r w:rsidRPr="00A30F5D">
        <w:t>The ACT said that</w:t>
      </w:r>
      <w:r w:rsidR="006C5843" w:rsidRPr="00A30F5D">
        <w:t xml:space="preserve"> its</w:t>
      </w:r>
      <w:r w:rsidRPr="00A30F5D">
        <w:t xml:space="preserve"> central costs </w:t>
      </w:r>
      <w:r w:rsidR="001D7DD8" w:rsidRPr="00A30F5D">
        <w:t xml:space="preserve">split was closer to </w:t>
      </w:r>
      <w:r w:rsidR="00D96096" w:rsidRPr="00A30F5D">
        <w:t>the</w:t>
      </w:r>
      <w:r w:rsidR="001D7DD8" w:rsidRPr="00A30F5D">
        <w:t xml:space="preserve"> 75:25</w:t>
      </w:r>
      <w:r w:rsidR="004A59C4" w:rsidRPr="00A30F5D">
        <w:t xml:space="preserve"> split suggested by the </w:t>
      </w:r>
      <w:r w:rsidR="00E92BDA" w:rsidRPr="00A30F5D">
        <w:t>available data</w:t>
      </w:r>
      <w:r w:rsidRPr="00A30F5D">
        <w:t>.</w:t>
      </w:r>
      <w:r w:rsidR="002A5B3A" w:rsidRPr="00A30F5D">
        <w:t xml:space="preserve"> </w:t>
      </w:r>
      <w:r w:rsidR="00E92BDA" w:rsidRPr="00A30F5D">
        <w:t>It recommended that if the Commission chose</w:t>
      </w:r>
      <w:r w:rsidR="006B0130" w:rsidRPr="00A30F5D">
        <w:t>s</w:t>
      </w:r>
      <w:r w:rsidR="00274977" w:rsidRPr="00A30F5D">
        <w:t xml:space="preserve"> to use a 50:50 split, </w:t>
      </w:r>
      <w:r w:rsidR="00E92BDA" w:rsidRPr="00A30F5D">
        <w:t>it should</w:t>
      </w:r>
      <w:r w:rsidR="00274977" w:rsidRPr="00A30F5D">
        <w:t xml:space="preserve"> address relevant data issues, retest the split, and update the assessment as part of the 2027 Update.</w:t>
      </w:r>
    </w:p>
    <w:p w14:paraId="1C5BCD5A" w14:textId="781F09D4" w:rsidR="0023065E" w:rsidRPr="00A30F5D" w:rsidRDefault="0023065E" w:rsidP="00AD0354">
      <w:pPr>
        <w:pStyle w:val="CGC2025ParaNumbers"/>
      </w:pPr>
      <w:r w:rsidRPr="00A30F5D">
        <w:t xml:space="preserve">New South Wales, Queensland and the ACT </w:t>
      </w:r>
      <w:r w:rsidR="00E3252C" w:rsidRPr="00A30F5D">
        <w:t xml:space="preserve">also </w:t>
      </w:r>
      <w:r w:rsidR="002F2BA6">
        <w:t>suggested</w:t>
      </w:r>
      <w:r w:rsidRPr="00A30F5D">
        <w:t xml:space="preserve"> </w:t>
      </w:r>
      <w:r w:rsidR="003148B7" w:rsidRPr="00A30F5D">
        <w:t xml:space="preserve">that this issue should be referred to </w:t>
      </w:r>
      <w:r w:rsidR="00CD7E1D" w:rsidRPr="00A30F5D">
        <w:t xml:space="preserve">the Data Working Group. </w:t>
      </w:r>
    </w:p>
    <w:p w14:paraId="3EC26AA4" w14:textId="7376AE47" w:rsidR="00913DB7" w:rsidRDefault="009F03C4" w:rsidP="00032AD2">
      <w:pPr>
        <w:pStyle w:val="Heading4"/>
      </w:pPr>
      <w:r>
        <w:t>Commission response</w:t>
      </w:r>
    </w:p>
    <w:p w14:paraId="3AF60130" w14:textId="1C2C666B" w:rsidR="009856C3" w:rsidRDefault="009856C3" w:rsidP="00A725EE">
      <w:pPr>
        <w:pStyle w:val="CGC2025ParaNumbers"/>
      </w:pPr>
      <w:r>
        <w:t xml:space="preserve">The Commission considers that allocating central costs entirely on the basis of police district expenses </w:t>
      </w:r>
      <w:r w:rsidR="007F3B0A">
        <w:t>is</w:t>
      </w:r>
      <w:r w:rsidR="00AC08B2">
        <w:t xml:space="preserve"> no longer </w:t>
      </w:r>
      <w:r>
        <w:t xml:space="preserve">appropriate as all states have police support services where expenses are driven by </w:t>
      </w:r>
      <w:r w:rsidR="003137BF">
        <w:t>the</w:t>
      </w:r>
      <w:r>
        <w:t xml:space="preserve"> </w:t>
      </w:r>
      <w:r w:rsidR="00736EF7">
        <w:t xml:space="preserve">number of </w:t>
      </w:r>
      <w:r>
        <w:t xml:space="preserve">staff. Therefore, allocating some central cost expenses by full-time equivalent staff is supported by a strong conceptual case. </w:t>
      </w:r>
    </w:p>
    <w:p w14:paraId="007700AE" w14:textId="7EAF500B" w:rsidR="009856C3" w:rsidRDefault="009856C3" w:rsidP="00A725EE">
      <w:pPr>
        <w:pStyle w:val="CGC2025ParaNumbers"/>
      </w:pPr>
      <w:r>
        <w:t xml:space="preserve">The Commission </w:t>
      </w:r>
      <w:r w:rsidR="002D28A5">
        <w:t>considers it appropriate</w:t>
      </w:r>
      <w:r>
        <w:t xml:space="preserve"> to use an allocation method that includes both district expenses and full-time equivalent staff to recognise that staff use of support services and remoteness drives expenses. It does not consider retaining the 2020</w:t>
      </w:r>
      <w:r w:rsidR="00C375E9">
        <w:t> </w:t>
      </w:r>
      <w:r>
        <w:t xml:space="preserve">Review model until better data are available to be appropriate because staff </w:t>
      </w:r>
      <w:r>
        <w:lastRenderedPageBreak/>
        <w:t xml:space="preserve">use of support services drives a significant proportion of central costs. </w:t>
      </w:r>
      <w:r w:rsidR="009C04A0" w:rsidRPr="00A30F5D">
        <w:t>The</w:t>
      </w:r>
      <w:r w:rsidR="00E01A0D" w:rsidRPr="00A30F5D">
        <w:t xml:space="preserve"> </w:t>
      </w:r>
      <w:r w:rsidR="009460A4" w:rsidRPr="00A30F5D">
        <w:t>Commission</w:t>
      </w:r>
      <w:r w:rsidR="00F616F5" w:rsidRPr="00A30F5D">
        <w:t xml:space="preserve"> does not</w:t>
      </w:r>
      <w:r w:rsidR="009460A4" w:rsidRPr="00A30F5D">
        <w:t xml:space="preserve"> consider allocating </w:t>
      </w:r>
      <w:r w:rsidR="0006475C" w:rsidRPr="00A30F5D">
        <w:t xml:space="preserve">central </w:t>
      </w:r>
      <w:r w:rsidR="0012346A" w:rsidRPr="00A30F5D">
        <w:t xml:space="preserve">costs </w:t>
      </w:r>
      <w:r w:rsidR="005544B3" w:rsidRPr="00A30F5D">
        <w:t xml:space="preserve">on an equal per capita basis outside </w:t>
      </w:r>
      <w:r w:rsidR="003841FC" w:rsidRPr="00A30F5D">
        <w:t>of the regression</w:t>
      </w:r>
      <w:r w:rsidR="002D3E02" w:rsidRPr="00A30F5D">
        <w:t xml:space="preserve"> </w:t>
      </w:r>
      <w:r w:rsidR="00A764E2" w:rsidRPr="00A30F5D">
        <w:t xml:space="preserve">appropriate. </w:t>
      </w:r>
      <w:r w:rsidR="00345EB8" w:rsidRPr="00A30F5D">
        <w:t>Th</w:t>
      </w:r>
      <w:r w:rsidR="00EF2910" w:rsidRPr="00A30F5D">
        <w:t>is</w:t>
      </w:r>
      <w:r w:rsidR="00345EB8" w:rsidRPr="00A30F5D">
        <w:t xml:space="preserve"> approa</w:t>
      </w:r>
      <w:r w:rsidR="004F7D77" w:rsidRPr="00A30F5D">
        <w:t xml:space="preserve">ch </w:t>
      </w:r>
      <w:r w:rsidR="00B32DA4" w:rsidRPr="00A30F5D">
        <w:t xml:space="preserve">would overlook </w:t>
      </w:r>
      <w:r w:rsidR="00EF2910" w:rsidRPr="00A30F5D">
        <w:t xml:space="preserve">the </w:t>
      </w:r>
      <w:r w:rsidR="00B32DA4" w:rsidRPr="00A30F5D">
        <w:t xml:space="preserve">drivers of these </w:t>
      </w:r>
      <w:r w:rsidR="00953D7B" w:rsidRPr="00A30F5D">
        <w:t>expenses</w:t>
      </w:r>
      <w:r w:rsidR="00B32DA4" w:rsidRPr="00A30F5D">
        <w:t xml:space="preserve"> and undermin</w:t>
      </w:r>
      <w:r w:rsidR="003D3902" w:rsidRPr="00A30F5D">
        <w:t xml:space="preserve">e the </w:t>
      </w:r>
      <w:r w:rsidR="0022104E" w:rsidRPr="00A30F5D">
        <w:t>regression</w:t>
      </w:r>
      <w:r w:rsidR="00DF2C99" w:rsidRPr="00A30F5D">
        <w:t>’</w:t>
      </w:r>
      <w:r w:rsidR="0022104E" w:rsidRPr="00A30F5D">
        <w:t>s specification</w:t>
      </w:r>
      <w:r w:rsidR="00F616F5" w:rsidRPr="00A30F5D">
        <w:t xml:space="preserve">, </w:t>
      </w:r>
      <w:r w:rsidR="0022104E" w:rsidRPr="00A30F5D">
        <w:t>which</w:t>
      </w:r>
      <w:r w:rsidR="00047871" w:rsidRPr="00A30F5D">
        <w:t xml:space="preserve"> is designed to capture all costs associated with policing.</w:t>
      </w:r>
      <w:r w:rsidR="00953D7B">
        <w:t xml:space="preserve"> </w:t>
      </w:r>
      <w:r w:rsidR="0022104E">
        <w:t xml:space="preserve"> </w:t>
      </w:r>
    </w:p>
    <w:p w14:paraId="082FBCC1" w14:textId="7F700583" w:rsidR="009856C3" w:rsidRDefault="009856C3" w:rsidP="009856C3">
      <w:pPr>
        <w:pStyle w:val="CGC2025ParaNumbers"/>
      </w:pPr>
      <w:r>
        <w:t xml:space="preserve">The Commission retains concerns with using an exact split of central cost allocation based on available data. The concerns stem from several issues identified within the state data, including: </w:t>
      </w:r>
    </w:p>
    <w:p w14:paraId="3069EF44" w14:textId="30C2B712" w:rsidR="009856C3" w:rsidRDefault="009856C3" w:rsidP="00593AB0">
      <w:pPr>
        <w:pStyle w:val="CGC2025Bullet1"/>
      </w:pPr>
      <w:r>
        <w:t xml:space="preserve">differing levels of central cost function aggregation  </w:t>
      </w:r>
    </w:p>
    <w:p w14:paraId="6B0CCFD4" w14:textId="4CEB666F" w:rsidR="009856C3" w:rsidRDefault="009856C3" w:rsidP="00593AB0">
      <w:pPr>
        <w:pStyle w:val="CGC2025Bullet1"/>
      </w:pPr>
      <w:r>
        <w:t xml:space="preserve">some central cost functions being plausibly influenced by multiple drivers  </w:t>
      </w:r>
    </w:p>
    <w:p w14:paraId="658DE6D5" w14:textId="648B39FF" w:rsidR="009856C3" w:rsidRDefault="009856C3" w:rsidP="00593AB0">
      <w:pPr>
        <w:pStyle w:val="CGC2025Bullet1"/>
      </w:pPr>
      <w:r>
        <w:t xml:space="preserve">not all states being able to provide disaggregated central cost data </w:t>
      </w:r>
    </w:p>
    <w:p w14:paraId="3C88B214" w14:textId="7FD15334" w:rsidR="009856C3" w:rsidRDefault="009856C3" w:rsidP="00593AB0">
      <w:pPr>
        <w:pStyle w:val="CGC2025Bullet1"/>
      </w:pPr>
      <w:r>
        <w:t xml:space="preserve">ambiguity on the tasks or functions completed by some state-identified central costs. </w:t>
      </w:r>
    </w:p>
    <w:p w14:paraId="3223EDC6" w14:textId="4BFCE24A" w:rsidR="008D3DA4" w:rsidRPr="00C5481D" w:rsidRDefault="00E625DE" w:rsidP="00CA1777">
      <w:pPr>
        <w:pStyle w:val="CGC2025ParaNumbers"/>
      </w:pPr>
      <w:r w:rsidRPr="00C5481D">
        <w:t xml:space="preserve">For </w:t>
      </w:r>
      <w:r w:rsidR="003E5473" w:rsidRPr="00C5481D">
        <w:t xml:space="preserve">example, </w:t>
      </w:r>
      <w:r w:rsidR="00BB4028" w:rsidRPr="00C5481D">
        <w:t>some</w:t>
      </w:r>
      <w:r w:rsidR="009A4E00" w:rsidRPr="00C5481D">
        <w:t xml:space="preserve"> states have a </w:t>
      </w:r>
      <w:r w:rsidR="0013298F" w:rsidRPr="00C5481D">
        <w:t>police</w:t>
      </w:r>
      <w:r w:rsidR="00016EF5" w:rsidRPr="00C5481D">
        <w:t xml:space="preserve"> </w:t>
      </w:r>
      <w:r w:rsidR="00416AD8" w:rsidRPr="00C5481D">
        <w:t xml:space="preserve">command </w:t>
      </w:r>
      <w:r w:rsidR="00C94D96" w:rsidRPr="00C5481D">
        <w:t xml:space="preserve">that is responsible for </w:t>
      </w:r>
      <w:r w:rsidR="00F63DC9" w:rsidRPr="00C5481D">
        <w:t xml:space="preserve">ICT </w:t>
      </w:r>
      <w:r w:rsidR="002C0E50" w:rsidRPr="00C5481D">
        <w:t>and</w:t>
      </w:r>
      <w:r w:rsidR="005064DD" w:rsidRPr="00C5481D">
        <w:t>/or</w:t>
      </w:r>
      <w:r w:rsidR="002C0E50" w:rsidRPr="00C5481D">
        <w:t xml:space="preserve"> </w:t>
      </w:r>
      <w:proofErr w:type="gramStart"/>
      <w:r w:rsidR="002C0E50" w:rsidRPr="00C5481D">
        <w:t>technology</w:t>
      </w:r>
      <w:proofErr w:type="gramEnd"/>
      <w:r w:rsidR="008E1A52" w:rsidRPr="00C5481D">
        <w:t xml:space="preserve"> </w:t>
      </w:r>
      <w:r w:rsidR="00F80E74" w:rsidRPr="00C5481D">
        <w:t>and their</w:t>
      </w:r>
      <w:r w:rsidR="008E1A52" w:rsidRPr="00C5481D" w:rsidDel="00F80E74">
        <w:t xml:space="preserve"> </w:t>
      </w:r>
      <w:r w:rsidR="00BB33C0" w:rsidRPr="00C5481D">
        <w:t>expenses</w:t>
      </w:r>
      <w:r w:rsidR="00D81CD1" w:rsidRPr="00C5481D">
        <w:t xml:space="preserve"> are recorded </w:t>
      </w:r>
      <w:r w:rsidR="00A92736" w:rsidRPr="00C5481D">
        <w:t xml:space="preserve">as a single </w:t>
      </w:r>
      <w:r w:rsidR="005801AF" w:rsidRPr="00C5481D">
        <w:t>central cost</w:t>
      </w:r>
      <w:r w:rsidR="002C0E50" w:rsidRPr="00C5481D">
        <w:t>.</w:t>
      </w:r>
      <w:r w:rsidR="005801AF" w:rsidRPr="00C5481D">
        <w:t xml:space="preserve"> </w:t>
      </w:r>
      <w:r w:rsidR="00373CF8" w:rsidRPr="00C5481D">
        <w:t xml:space="preserve">While the </w:t>
      </w:r>
      <w:r w:rsidR="00E71371" w:rsidRPr="00C5481D">
        <w:t xml:space="preserve">management of </w:t>
      </w:r>
      <w:r w:rsidR="000968C7" w:rsidRPr="00C5481D">
        <w:t>technology</w:t>
      </w:r>
      <w:r w:rsidR="00E71371" w:rsidRPr="00C5481D">
        <w:t xml:space="preserve"> </w:t>
      </w:r>
      <w:r w:rsidR="0068573F" w:rsidRPr="00C5481D">
        <w:t xml:space="preserve">support staff </w:t>
      </w:r>
      <w:r w:rsidR="00D5084D" w:rsidRPr="00C5481D">
        <w:t xml:space="preserve">may be driven by </w:t>
      </w:r>
      <w:r w:rsidR="00B71DD0" w:rsidRPr="00C5481D">
        <w:t xml:space="preserve">full-time equivalent staff, </w:t>
      </w:r>
      <w:r w:rsidR="001F5284" w:rsidRPr="00C5481D">
        <w:t xml:space="preserve">an unknown proportion of </w:t>
      </w:r>
      <w:r w:rsidR="002214DF" w:rsidRPr="00C5481D">
        <w:t xml:space="preserve">the </w:t>
      </w:r>
      <w:r w:rsidR="00C64270" w:rsidRPr="00C5481D">
        <w:t>command’s</w:t>
      </w:r>
      <w:r w:rsidR="001F5284" w:rsidRPr="00C5481D">
        <w:t xml:space="preserve"> costs </w:t>
      </w:r>
      <w:r w:rsidR="00A603FC" w:rsidRPr="00C5481D">
        <w:t>may</w:t>
      </w:r>
      <w:r w:rsidR="00724DF6" w:rsidRPr="00C5481D">
        <w:t xml:space="preserve"> </w:t>
      </w:r>
      <w:r w:rsidR="00B962FB" w:rsidRPr="00C5481D">
        <w:t>be</w:t>
      </w:r>
      <w:r w:rsidR="00724DF6" w:rsidRPr="00C5481D">
        <w:t xml:space="preserve"> </w:t>
      </w:r>
      <w:r w:rsidR="00153379" w:rsidRPr="00C5481D">
        <w:t>expenses associated with</w:t>
      </w:r>
      <w:r w:rsidR="00182E69" w:rsidRPr="00C5481D">
        <w:t xml:space="preserve"> </w:t>
      </w:r>
      <w:r w:rsidR="005D6EF8" w:rsidRPr="00C5481D">
        <w:t xml:space="preserve">maintaining </w:t>
      </w:r>
      <w:r w:rsidR="00100693" w:rsidRPr="00C5481D">
        <w:t>equipment</w:t>
      </w:r>
      <w:r w:rsidR="00153379" w:rsidRPr="00C5481D">
        <w:t>. These expenses</w:t>
      </w:r>
      <w:r w:rsidR="009D4558" w:rsidRPr="00C5481D">
        <w:t xml:space="preserve"> </w:t>
      </w:r>
      <w:r w:rsidR="007B3CD9" w:rsidRPr="00C5481D">
        <w:t>are</w:t>
      </w:r>
      <w:r w:rsidR="009D4558" w:rsidRPr="00C5481D">
        <w:t xml:space="preserve"> likely</w:t>
      </w:r>
      <w:r w:rsidR="00100693" w:rsidRPr="00C5481D">
        <w:t xml:space="preserve"> </w:t>
      </w:r>
      <w:r w:rsidR="00314AAE" w:rsidRPr="00C5481D">
        <w:t xml:space="preserve">to be higher </w:t>
      </w:r>
      <w:r w:rsidR="007E440A" w:rsidRPr="00C5481D">
        <w:t xml:space="preserve">per capita </w:t>
      </w:r>
      <w:r w:rsidR="00314AAE" w:rsidRPr="00C5481D">
        <w:t xml:space="preserve">in remote </w:t>
      </w:r>
      <w:r w:rsidR="00153379" w:rsidRPr="00C5481D">
        <w:t>areas</w:t>
      </w:r>
      <w:r w:rsidR="005801AF" w:rsidRPr="00C5481D">
        <w:t xml:space="preserve"> </w:t>
      </w:r>
      <w:r w:rsidR="00FB7CBB" w:rsidRPr="00C5481D">
        <w:t xml:space="preserve">as different forms of </w:t>
      </w:r>
      <w:r w:rsidR="00A53C9B" w:rsidRPr="00C5481D">
        <w:t xml:space="preserve">equipment are </w:t>
      </w:r>
      <w:r w:rsidR="002B682E" w:rsidRPr="00C5481D">
        <w:t xml:space="preserve">required to conduct </w:t>
      </w:r>
      <w:r w:rsidR="00697C8A" w:rsidRPr="00C5481D">
        <w:t xml:space="preserve">police </w:t>
      </w:r>
      <w:r w:rsidR="00C26A65" w:rsidRPr="00C5481D">
        <w:t>activities</w:t>
      </w:r>
      <w:r w:rsidR="00DA44B3" w:rsidRPr="00C5481D">
        <w:t xml:space="preserve">, </w:t>
      </w:r>
      <w:r w:rsidR="00D7764C" w:rsidRPr="00C5481D">
        <w:t>such as satel</w:t>
      </w:r>
      <w:r w:rsidR="00D91DF7" w:rsidRPr="00C5481D">
        <w:t>lite</w:t>
      </w:r>
      <w:r w:rsidR="005A5A62" w:rsidRPr="00C5481D">
        <w:t>-based</w:t>
      </w:r>
      <w:r w:rsidR="00D91DF7" w:rsidRPr="00C5481D">
        <w:t xml:space="preserve"> tec</w:t>
      </w:r>
      <w:r w:rsidR="00D778A9" w:rsidRPr="00C5481D">
        <w:t>hnology</w:t>
      </w:r>
      <w:r w:rsidR="005A5A62" w:rsidRPr="00C5481D">
        <w:t xml:space="preserve"> systems</w:t>
      </w:r>
      <w:r w:rsidR="00C26A65" w:rsidRPr="00C5481D">
        <w:t>.</w:t>
      </w:r>
      <w:r w:rsidR="00EC5B4E" w:rsidRPr="00C5481D">
        <w:t xml:space="preserve"> </w:t>
      </w:r>
      <w:r w:rsidR="00955B82" w:rsidRPr="00C5481D">
        <w:t>If th</w:t>
      </w:r>
      <w:r w:rsidR="007942AC" w:rsidRPr="00C5481D">
        <w:t>e</w:t>
      </w:r>
      <w:r w:rsidR="001548F9" w:rsidRPr="00C5481D">
        <w:t>s</w:t>
      </w:r>
      <w:r w:rsidR="007942AC" w:rsidRPr="00C5481D">
        <w:t>e</w:t>
      </w:r>
      <w:r w:rsidR="001548F9" w:rsidRPr="00C5481D">
        <w:t xml:space="preserve"> police command</w:t>
      </w:r>
      <w:r w:rsidR="007942AC" w:rsidRPr="00C5481D">
        <w:t>s</w:t>
      </w:r>
      <w:r w:rsidR="001548F9" w:rsidRPr="00C5481D">
        <w:t xml:space="preserve"> </w:t>
      </w:r>
      <w:r w:rsidR="00A2491F" w:rsidRPr="00C5481D">
        <w:t>include</w:t>
      </w:r>
      <w:r w:rsidR="001548F9" w:rsidRPr="00C5481D">
        <w:t xml:space="preserve"> the cost of </w:t>
      </w:r>
      <w:r w:rsidR="00002F31" w:rsidRPr="00C5481D">
        <w:t>providing</w:t>
      </w:r>
      <w:r w:rsidR="00955B82" w:rsidRPr="00C5481D">
        <w:t xml:space="preserve"> </w:t>
      </w:r>
      <w:r w:rsidR="005D44E7" w:rsidRPr="00C5481D">
        <w:t xml:space="preserve">ICT and </w:t>
      </w:r>
      <w:r w:rsidR="006E64EA" w:rsidRPr="00C5481D">
        <w:t>technolog</w:t>
      </w:r>
      <w:r w:rsidR="007942AC" w:rsidRPr="00C5481D">
        <w:t>y equipment,</w:t>
      </w:r>
      <w:r w:rsidR="00EC5B4E" w:rsidRPr="00C5481D">
        <w:t xml:space="preserve"> </w:t>
      </w:r>
      <w:r w:rsidR="007942AC" w:rsidRPr="00C5481D">
        <w:t>a</w:t>
      </w:r>
      <w:r w:rsidR="00EC5B4E" w:rsidRPr="00C5481D">
        <w:t xml:space="preserve">llocating </w:t>
      </w:r>
      <w:r w:rsidR="005D1A50" w:rsidRPr="00C5481D">
        <w:t xml:space="preserve">all costs </w:t>
      </w:r>
      <w:r w:rsidR="004E7773" w:rsidRPr="00C5481D">
        <w:t xml:space="preserve">using </w:t>
      </w:r>
      <w:r w:rsidR="00C21630" w:rsidRPr="00C5481D">
        <w:t xml:space="preserve">a single method </w:t>
      </w:r>
      <w:r w:rsidR="00037371" w:rsidRPr="00C5481D">
        <w:t xml:space="preserve">would </w:t>
      </w:r>
      <w:r w:rsidR="00766C93" w:rsidRPr="00C5481D">
        <w:t xml:space="preserve">likely misallocate </w:t>
      </w:r>
      <w:r w:rsidR="007315B5" w:rsidRPr="00C5481D">
        <w:t>expenses</w:t>
      </w:r>
      <w:r w:rsidR="00037371" w:rsidRPr="00C5481D">
        <w:t xml:space="preserve"> to a single driver.</w:t>
      </w:r>
      <w:r w:rsidR="00A67550" w:rsidRPr="00C5481D">
        <w:t xml:space="preserve"> </w:t>
      </w:r>
      <w:r w:rsidR="00443D4D" w:rsidRPr="00C5481D">
        <w:t xml:space="preserve">However, the </w:t>
      </w:r>
      <w:r w:rsidR="00C2102A" w:rsidRPr="00C5481D">
        <w:t xml:space="preserve">Commission </w:t>
      </w:r>
      <w:r w:rsidR="006D7C23" w:rsidRPr="00C5481D">
        <w:t xml:space="preserve">is unable to identify </w:t>
      </w:r>
      <w:r w:rsidR="00410C3D" w:rsidRPr="00C5481D">
        <w:t>how much</w:t>
      </w:r>
      <w:r w:rsidR="00D61921" w:rsidRPr="00C5481D">
        <w:t xml:space="preserve"> of</w:t>
      </w:r>
      <w:r w:rsidR="00B665D2" w:rsidRPr="00C5481D">
        <w:t xml:space="preserve"> these expense</w:t>
      </w:r>
      <w:r w:rsidR="008D3DA4" w:rsidRPr="00C5481D">
        <w:t>s</w:t>
      </w:r>
      <w:r w:rsidR="00B665D2" w:rsidRPr="00C5481D">
        <w:t xml:space="preserve"> are included under these commands</w:t>
      </w:r>
      <w:r w:rsidR="00D61921" w:rsidRPr="00C5481D">
        <w:t>, if any,</w:t>
      </w:r>
      <w:r w:rsidR="00B665D2" w:rsidRPr="00C5481D">
        <w:t xml:space="preserve"> and to what degree they </w:t>
      </w:r>
      <w:r w:rsidR="00C25080" w:rsidRPr="00C5481D">
        <w:t>differ</w:t>
      </w:r>
      <w:r w:rsidR="008D3DA4" w:rsidRPr="00C5481D">
        <w:t xml:space="preserve"> between states.</w:t>
      </w:r>
    </w:p>
    <w:p w14:paraId="625486DD" w14:textId="5A409894" w:rsidR="00423E02" w:rsidRPr="00C5481D" w:rsidRDefault="008D3DA4" w:rsidP="00CA1777">
      <w:pPr>
        <w:pStyle w:val="CGC2025ParaNumbers"/>
      </w:pPr>
      <w:r w:rsidRPr="00C5481D">
        <w:t xml:space="preserve">Similarly, some states have </w:t>
      </w:r>
      <w:r w:rsidR="00A16E9F" w:rsidRPr="00C5481D">
        <w:t xml:space="preserve">a significant proportion of their costs </w:t>
      </w:r>
      <w:r w:rsidR="00B928D1" w:rsidRPr="00C5481D">
        <w:t xml:space="preserve">recorded under a </w:t>
      </w:r>
      <w:r w:rsidR="00A6156D" w:rsidRPr="00C5481D">
        <w:t xml:space="preserve">miscellaneous </w:t>
      </w:r>
      <w:r w:rsidR="00147B93" w:rsidRPr="00C5481D">
        <w:t>budget line item</w:t>
      </w:r>
      <w:r w:rsidR="00205FB6" w:rsidRPr="00C5481D">
        <w:t xml:space="preserve">. </w:t>
      </w:r>
      <w:r w:rsidR="008940BD" w:rsidRPr="00C5481D">
        <w:t xml:space="preserve">In </w:t>
      </w:r>
      <w:r w:rsidR="002A0C68" w:rsidRPr="00C5481D">
        <w:t>some</w:t>
      </w:r>
      <w:r w:rsidR="008940BD" w:rsidRPr="00C5481D">
        <w:t xml:space="preserve"> case</w:t>
      </w:r>
      <w:r w:rsidR="002A0C68" w:rsidRPr="00C5481D">
        <w:t>s</w:t>
      </w:r>
      <w:r w:rsidR="00930378" w:rsidRPr="00C5481D">
        <w:t>,</w:t>
      </w:r>
      <w:r w:rsidR="008940BD" w:rsidRPr="00C5481D">
        <w:t xml:space="preserve"> this makes up over </w:t>
      </w:r>
      <w:r w:rsidR="002A0C68" w:rsidRPr="00C5481D">
        <w:t>2</w:t>
      </w:r>
      <w:r w:rsidR="00AD13B5" w:rsidRPr="00C5481D">
        <w:t>0</w:t>
      </w:r>
      <w:r w:rsidR="006316F1" w:rsidRPr="00C5481D">
        <w:t xml:space="preserve">% of </w:t>
      </w:r>
      <w:r w:rsidR="00A07F38" w:rsidRPr="00C5481D">
        <w:t>a state’s central costs</w:t>
      </w:r>
      <w:r w:rsidR="00523594" w:rsidRPr="00C5481D">
        <w:t>.</w:t>
      </w:r>
      <w:r w:rsidR="00360CBD" w:rsidRPr="00C5481D">
        <w:t xml:space="preserve"> </w:t>
      </w:r>
      <w:r w:rsidR="00371362" w:rsidRPr="00C5481D">
        <w:t>A</w:t>
      </w:r>
      <w:r w:rsidR="007D49BD" w:rsidRPr="00C5481D">
        <w:t>llocating</w:t>
      </w:r>
      <w:r w:rsidR="00371362" w:rsidRPr="00C5481D">
        <w:t xml:space="preserve"> these </w:t>
      </w:r>
      <w:r w:rsidR="00EB4F58" w:rsidRPr="00C5481D">
        <w:t xml:space="preserve">and other </w:t>
      </w:r>
      <w:r w:rsidR="00D31761" w:rsidRPr="00C5481D">
        <w:t xml:space="preserve">large </w:t>
      </w:r>
      <w:r w:rsidR="007D49BD" w:rsidRPr="00C5481D">
        <w:t xml:space="preserve">central costs budget items </w:t>
      </w:r>
      <w:r w:rsidR="007276E2" w:rsidRPr="00C5481D">
        <w:t xml:space="preserve">has a significant impact on </w:t>
      </w:r>
      <w:r w:rsidR="000A6546" w:rsidRPr="00C5481D">
        <w:t>a</w:t>
      </w:r>
      <w:r w:rsidR="0065326D" w:rsidRPr="00C5481D">
        <w:t>ny</w:t>
      </w:r>
      <w:r w:rsidR="000A6546" w:rsidRPr="00C5481D">
        <w:t xml:space="preserve"> split </w:t>
      </w:r>
      <w:r w:rsidR="0065326D" w:rsidRPr="00C5481D">
        <w:t xml:space="preserve">using the </w:t>
      </w:r>
      <w:r w:rsidR="00B11725" w:rsidRPr="00C5481D">
        <w:t>available data</w:t>
      </w:r>
      <w:r w:rsidR="001C1300" w:rsidRPr="00C5481D">
        <w:t xml:space="preserve">. </w:t>
      </w:r>
      <w:r w:rsidR="00B43793" w:rsidRPr="00C5481D">
        <w:t xml:space="preserve">Most states were able to </w:t>
      </w:r>
      <w:r w:rsidR="00764B34" w:rsidRPr="00C5481D">
        <w:t>provide</w:t>
      </w:r>
      <w:r w:rsidR="00A01FE8" w:rsidRPr="00C5481D">
        <w:t xml:space="preserve"> central costs data by </w:t>
      </w:r>
      <w:r w:rsidR="00FB4085" w:rsidRPr="00C5481D">
        <w:t xml:space="preserve">police </w:t>
      </w:r>
      <w:proofErr w:type="gramStart"/>
      <w:r w:rsidR="00FB4085" w:rsidRPr="00C5481D">
        <w:t>commands</w:t>
      </w:r>
      <w:r w:rsidR="00B518AC" w:rsidRPr="00C5481D">
        <w:t>,</w:t>
      </w:r>
      <w:proofErr w:type="gramEnd"/>
      <w:r w:rsidR="00B518AC" w:rsidRPr="00C5481D">
        <w:t xml:space="preserve"> however </w:t>
      </w:r>
      <w:r w:rsidR="003B36A6" w:rsidRPr="00C5481D">
        <w:t xml:space="preserve">the Commission considers </w:t>
      </w:r>
      <w:r w:rsidR="00597283" w:rsidRPr="00C5481D">
        <w:t xml:space="preserve">more disaggregated </w:t>
      </w:r>
      <w:r w:rsidR="00417B13" w:rsidRPr="00C5481D">
        <w:t>data</w:t>
      </w:r>
      <w:r w:rsidR="00597283" w:rsidRPr="00C5481D">
        <w:t xml:space="preserve"> would be required to inform a</w:t>
      </w:r>
      <w:r w:rsidR="00764B34" w:rsidRPr="00C5481D">
        <w:t>n</w:t>
      </w:r>
      <w:r w:rsidR="00597283" w:rsidRPr="00C5481D">
        <w:t xml:space="preserve"> </w:t>
      </w:r>
      <w:r w:rsidR="00777087" w:rsidRPr="00C5481D">
        <w:t>appropriate treatment of central costs</w:t>
      </w:r>
      <w:r w:rsidR="00764B34" w:rsidRPr="00C5481D">
        <w:t>.</w:t>
      </w:r>
    </w:p>
    <w:p w14:paraId="38D339E9" w14:textId="48F04EE2" w:rsidR="00F54776" w:rsidRDefault="009F41E8" w:rsidP="00E20D96">
      <w:pPr>
        <w:pStyle w:val="CGC2025ParaNumbers"/>
      </w:pPr>
      <w:r>
        <w:t>T</w:t>
      </w:r>
      <w:r w:rsidR="00453863">
        <w:t>he Commission considers there</w:t>
      </w:r>
      <w:r>
        <w:t xml:space="preserve"> is</w:t>
      </w:r>
      <w:r w:rsidR="009856C3">
        <w:t xml:space="preserve"> strong conceptual case to a</w:t>
      </w:r>
      <w:r w:rsidR="00375CE9">
        <w:t>llocate</w:t>
      </w:r>
      <w:r w:rsidR="009856C3">
        <w:t xml:space="preserve"> </w:t>
      </w:r>
      <w:r w:rsidR="0017032D">
        <w:t xml:space="preserve">central costs data </w:t>
      </w:r>
      <w:r w:rsidR="009856C3">
        <w:t>on the basis of both full-time equivalent staff and district expenses</w:t>
      </w:r>
      <w:r>
        <w:t>. However</w:t>
      </w:r>
      <w:r w:rsidR="009856C3">
        <w:t xml:space="preserve">, </w:t>
      </w:r>
      <w:r>
        <w:t xml:space="preserve">given the issues with </w:t>
      </w:r>
      <w:r w:rsidR="00582C87">
        <w:t>the</w:t>
      </w:r>
      <w:r>
        <w:t xml:space="preserve"> data, </w:t>
      </w:r>
      <w:r w:rsidR="00836F8C">
        <w:t>it</w:t>
      </w:r>
      <w:r>
        <w:t xml:space="preserve"> acknowledges that judgement is required </w:t>
      </w:r>
      <w:r w:rsidR="00C01B97">
        <w:t xml:space="preserve">to </w:t>
      </w:r>
      <w:r>
        <w:t xml:space="preserve">determine </w:t>
      </w:r>
      <w:r w:rsidR="003C1A52">
        <w:t>the</w:t>
      </w:r>
      <w:r>
        <w:t xml:space="preserve"> split</w:t>
      </w:r>
      <w:r w:rsidR="00A70F41">
        <w:t>.</w:t>
      </w:r>
      <w:r w:rsidR="009856C3">
        <w:t xml:space="preserve"> </w:t>
      </w:r>
      <w:r w:rsidR="00A70F41">
        <w:t>I</w:t>
      </w:r>
      <w:r w:rsidR="009856C3">
        <w:t xml:space="preserve">n the absence of better data to calculate a more precise split, the Commission considers </w:t>
      </w:r>
      <w:r w:rsidR="002939B1">
        <w:t>a</w:t>
      </w:r>
      <w:r w:rsidR="009856C3">
        <w:t xml:space="preserve"> 50:50 split between full-time equivalent staff and police district expenses appropriate. The Commission notes that this is a broad estimate of the national average split, which may not reflect states’ individual circumstances. The Commission considers that the same split should be applied across states to ensure consisten</w:t>
      </w:r>
      <w:r w:rsidR="00E97F69">
        <w:t>t</w:t>
      </w:r>
      <w:r w:rsidR="009856C3">
        <w:t xml:space="preserve"> treatment. </w:t>
      </w:r>
    </w:p>
    <w:p w14:paraId="7B95B034" w14:textId="3F1AD761" w:rsidR="002652C4" w:rsidRPr="009856C3" w:rsidRDefault="009856C3" w:rsidP="00E20D96">
      <w:pPr>
        <w:pStyle w:val="CGC2025ParaNumbers"/>
      </w:pPr>
      <w:r>
        <w:lastRenderedPageBreak/>
        <w:t>The Commission considers that concerns with the clarity and consistency of state data could be addressed as part of future data request processes in consultation with states</w:t>
      </w:r>
      <w:r w:rsidR="00421FEF">
        <w:t xml:space="preserve"> </w:t>
      </w:r>
      <w:r w:rsidR="00E75E82" w:rsidRPr="00736083">
        <w:t>in preparation</w:t>
      </w:r>
      <w:r w:rsidR="00421FEF" w:rsidRPr="00736083">
        <w:t xml:space="preserve"> </w:t>
      </w:r>
      <w:r w:rsidR="003E50C5" w:rsidRPr="00736083">
        <w:t>for</w:t>
      </w:r>
      <w:r w:rsidR="00421FEF" w:rsidRPr="00736083">
        <w:t xml:space="preserve"> the next review</w:t>
      </w:r>
      <w:r w:rsidRPr="00736083">
        <w:t>.</w:t>
      </w:r>
    </w:p>
    <w:p w14:paraId="177C2CDC" w14:textId="03171F1C" w:rsidR="007B3911" w:rsidRPr="00736083" w:rsidRDefault="007B3911" w:rsidP="007B3911">
      <w:pPr>
        <w:pStyle w:val="CGC2025ParaNumbers"/>
      </w:pPr>
      <w:r w:rsidRPr="00736083">
        <w:t xml:space="preserve">Regarding the use of an unweighted average in its analysis of a potential spilt, the Commission sought to estimate the average experience of all states. Using a population-weighted approach would have weighted the average towards the more populated-states and their geographical and policy settings. This approach would understate the experience of states with larger remote </w:t>
      </w:r>
      <w:r w:rsidR="00CF5E20" w:rsidRPr="00736083">
        <w:t>areas</w:t>
      </w:r>
      <w:r w:rsidRPr="00736083">
        <w:t xml:space="preserve"> and dispersed populations. Given that the regression produces coefficients to estimate the state average costs associated with offenders and policing different remoteness areas, this approach would be inappropriate.</w:t>
      </w:r>
    </w:p>
    <w:p w14:paraId="06AEEC78" w14:textId="37D80071" w:rsidR="009F03C4" w:rsidRDefault="009F03C4" w:rsidP="009F03C4">
      <w:pPr>
        <w:pStyle w:val="Heading4"/>
      </w:pPr>
      <w:r w:rsidRPr="005250AF">
        <w:t xml:space="preserve">Commission </w:t>
      </w:r>
      <w:r>
        <w:t>decision</w:t>
      </w:r>
    </w:p>
    <w:p w14:paraId="79D23CBF" w14:textId="76DD25E6" w:rsidR="009F03C4" w:rsidRPr="00911C3A" w:rsidRDefault="006F2F96" w:rsidP="009F03C4">
      <w:pPr>
        <w:pStyle w:val="CGC2025ParaNumbers"/>
      </w:pPr>
      <w:r w:rsidRPr="00911C3A">
        <w:t xml:space="preserve">The Commission </w:t>
      </w:r>
      <w:r w:rsidR="00103577" w:rsidRPr="00911C3A">
        <w:t>will</w:t>
      </w:r>
      <w:r w:rsidRPr="00911C3A">
        <w:t xml:space="preserve"> </w:t>
      </w:r>
      <w:r w:rsidR="00556F48" w:rsidRPr="00911C3A">
        <w:t xml:space="preserve">allocate </w:t>
      </w:r>
      <w:r w:rsidR="002E47C4" w:rsidRPr="00911C3A">
        <w:t xml:space="preserve">central costs </w:t>
      </w:r>
      <w:r w:rsidR="00ED10A5" w:rsidRPr="00911C3A">
        <w:t>based on</w:t>
      </w:r>
      <w:r w:rsidR="002E47C4" w:rsidRPr="00911C3A">
        <w:t xml:space="preserve"> </w:t>
      </w:r>
      <w:r w:rsidR="00115274">
        <w:t xml:space="preserve">a split of </w:t>
      </w:r>
      <w:r w:rsidR="002E47C4" w:rsidRPr="00911C3A">
        <w:t>50% full-</w:t>
      </w:r>
      <w:r w:rsidR="00307B2A" w:rsidRPr="00911C3A">
        <w:t>time</w:t>
      </w:r>
      <w:r w:rsidR="002E47C4" w:rsidRPr="00911C3A">
        <w:t xml:space="preserve"> equivalent staff and 50% </w:t>
      </w:r>
      <w:r w:rsidR="00307B2A" w:rsidRPr="00911C3A">
        <w:t xml:space="preserve">police district </w:t>
      </w:r>
      <w:r w:rsidR="00911C3A" w:rsidRPr="00911C3A">
        <w:t>expenses.</w:t>
      </w:r>
    </w:p>
    <w:bookmarkEnd w:id="14"/>
    <w:p w14:paraId="51557851" w14:textId="553BFF47" w:rsidR="00211324" w:rsidRPr="00256AE4" w:rsidRDefault="00211324" w:rsidP="00032AD2">
      <w:pPr>
        <w:pStyle w:val="Heading3"/>
        <w:keepNext/>
      </w:pPr>
      <w:r>
        <w:t xml:space="preserve">Police assessment </w:t>
      </w:r>
      <w:r w:rsidR="005C10C3">
        <w:t>–</w:t>
      </w:r>
      <w:r>
        <w:t xml:space="preserve"> global cities </w:t>
      </w:r>
    </w:p>
    <w:p w14:paraId="1F686EFB" w14:textId="77777777" w:rsidR="00BB0E99" w:rsidRDefault="00F06E23" w:rsidP="00393645">
      <w:pPr>
        <w:pStyle w:val="CGC2025ParaNumbers"/>
      </w:pPr>
      <w:r>
        <w:t>In response to state comments, t</w:t>
      </w:r>
      <w:r w:rsidR="00211324" w:rsidRPr="00256AE4">
        <w:t>he Commission explored the possibility of a global city assessment.</w:t>
      </w:r>
      <w:r w:rsidR="00393645">
        <w:t xml:space="preserve"> It proposed not to include a global cities driver in the assessment of police expenses.</w:t>
      </w:r>
      <w:r w:rsidR="008D5FB4">
        <w:t xml:space="preserve"> </w:t>
      </w:r>
    </w:p>
    <w:p w14:paraId="29772054" w14:textId="0B4F31AD" w:rsidR="00211324" w:rsidRPr="008675B1" w:rsidRDefault="00211324" w:rsidP="00211324">
      <w:pPr>
        <w:pStyle w:val="Heading4"/>
      </w:pPr>
      <w:r>
        <w:t>State views</w:t>
      </w:r>
    </w:p>
    <w:p w14:paraId="587D8F37" w14:textId="4BE03253" w:rsidR="005337E4" w:rsidRDefault="005337E4" w:rsidP="005337E4">
      <w:pPr>
        <w:pStyle w:val="CGC2025ParaNumbers"/>
      </w:pPr>
      <w:r>
        <w:t xml:space="preserve">Queensland, Western Australia, Tasmania, the ACT and the Northern Territory </w:t>
      </w:r>
      <w:r w:rsidR="00793AC0">
        <w:t xml:space="preserve">supported not </w:t>
      </w:r>
      <w:r w:rsidR="00BF6877">
        <w:t>including</w:t>
      </w:r>
      <w:r>
        <w:t xml:space="preserve"> a global cities driver in the police assessment. </w:t>
      </w:r>
    </w:p>
    <w:p w14:paraId="57D7E724" w14:textId="0C1B558E" w:rsidR="005337E4" w:rsidRDefault="005337E4" w:rsidP="005337E4">
      <w:pPr>
        <w:pStyle w:val="CGC2025ParaNumbers"/>
      </w:pPr>
      <w:r>
        <w:t xml:space="preserve">Queensland and Western Australia said that the influence of Commonwealth spending on complex crimes, such as terrorism, financial crimes and cybercrimes, makes the relationship between global cities and policing costs unclear.  </w:t>
      </w:r>
    </w:p>
    <w:p w14:paraId="4FC33234" w14:textId="207674F1" w:rsidR="005337E4" w:rsidRDefault="005337E4" w:rsidP="005337E4">
      <w:pPr>
        <w:pStyle w:val="CGC2025ParaNumbers"/>
      </w:pPr>
      <w:r>
        <w:t xml:space="preserve">Tasmania said that there was no conceptual case for a global cities driver and that costs for providing police services for counterterrorism and complex crime were not unique to major cities.  </w:t>
      </w:r>
    </w:p>
    <w:p w14:paraId="5B13140B" w14:textId="5D00BD8F" w:rsidR="005337E4" w:rsidRDefault="005337E4" w:rsidP="005337E4">
      <w:pPr>
        <w:pStyle w:val="CGC2025ParaNumbers"/>
      </w:pPr>
      <w:r>
        <w:t xml:space="preserve">The ACT said that exploring data options for assessing counterterrorism and complex crime could be undertaken in the Data Working Group or by adding it to the forward work program. The ACT said that counterterrorism activities occur across all regions and cannot be linked with geographic factors such as globalised or major cities.  </w:t>
      </w:r>
    </w:p>
    <w:p w14:paraId="4A72F8DD" w14:textId="09DE9751" w:rsidR="005337E4" w:rsidRDefault="005337E4" w:rsidP="005337E4">
      <w:pPr>
        <w:pStyle w:val="CGC2025ParaNumbers"/>
      </w:pPr>
      <w:r>
        <w:t>The Northern Territory did not believe that there was sufficient evidence or a conceptual case to support a global cities driver.</w:t>
      </w:r>
    </w:p>
    <w:p w14:paraId="5D1F29E3" w14:textId="6C478954" w:rsidR="005337E4" w:rsidRDefault="005337E4" w:rsidP="008D6C0A">
      <w:pPr>
        <w:pStyle w:val="CGC2025ParaNumbers"/>
      </w:pPr>
      <w:r>
        <w:t xml:space="preserve">New South Wales said that a global cities driver was required to account for the extra costs associated with providing police services in densely populated areas and central business districts. It considered that while terrorism, organised and drug </w:t>
      </w:r>
      <w:r>
        <w:lastRenderedPageBreak/>
        <w:t>related crimes are not unique to major cities, they are more likely to occur in major cities than in regional areas.</w:t>
      </w:r>
    </w:p>
    <w:p w14:paraId="40BD7625" w14:textId="73AB6C0D" w:rsidR="00211324" w:rsidRPr="00F120D9" w:rsidRDefault="005337E4" w:rsidP="007F0B02">
      <w:pPr>
        <w:pStyle w:val="CGC2025ParaNumbers"/>
      </w:pPr>
      <w:r>
        <w:t>Victoria</w:t>
      </w:r>
      <w:r w:rsidDel="00945DCE">
        <w:t xml:space="preserve"> </w:t>
      </w:r>
      <w:r>
        <w:t>supported further investigation into whether certain police costs are unique to major cities and</w:t>
      </w:r>
      <w:r w:rsidR="0072482C">
        <w:t xml:space="preserve"> the Data Working Group looking at</w:t>
      </w:r>
      <w:r w:rsidDel="0072482C">
        <w:t xml:space="preserve"> </w:t>
      </w:r>
      <w:r>
        <w:t>data on complex crimes and Australian Federal Police assistance.</w:t>
      </w:r>
    </w:p>
    <w:p w14:paraId="3F6A4767" w14:textId="77777777" w:rsidR="00211324" w:rsidRPr="008675B1" w:rsidRDefault="00211324" w:rsidP="00211324">
      <w:pPr>
        <w:pStyle w:val="Heading4"/>
      </w:pPr>
      <w:r>
        <w:t>Commission response</w:t>
      </w:r>
    </w:p>
    <w:p w14:paraId="0B33D40A" w14:textId="3E7CF2B6" w:rsidR="00213A03" w:rsidRDefault="00213A03" w:rsidP="00213A03">
      <w:pPr>
        <w:pStyle w:val="CGC2025ParaNumbers"/>
      </w:pPr>
      <w:r>
        <w:t xml:space="preserve">The Commission notes that data on global cities expenses are limited. This is partly due to the absence of a clear definition of what constitutes a global city expense or crime. While certain crimes like terrorism and complex crimes may occur more often in major global-type cities, the Commission does not have data to determine the offence rates of these crimes in different regions even if it had a global city definition. The Commission does not have offender data for all states disaggregated by offence-type and location, nor data on the costs associated with policing these specific types of crime. </w:t>
      </w:r>
    </w:p>
    <w:p w14:paraId="40918118" w14:textId="05B5BFF5" w:rsidR="00213A03" w:rsidRDefault="00213A03" w:rsidP="00213A03">
      <w:pPr>
        <w:pStyle w:val="CGC2025ParaNumbers"/>
      </w:pPr>
      <w:r>
        <w:t xml:space="preserve">As some states raised in their submissions, Commonwealth assistance in matters relating to more serious crimes that might come under the definition of a global city crime complicates the issue. The Commission would need to determine the impact of this assistance on the offence rates for these crimes and their associated expenses. </w:t>
      </w:r>
    </w:p>
    <w:p w14:paraId="2D0D7E84" w14:textId="20F69BE8" w:rsidR="00211324" w:rsidRDefault="00213A03" w:rsidP="00213A03">
      <w:pPr>
        <w:pStyle w:val="CGC2025ParaNumbers"/>
      </w:pPr>
      <w:r>
        <w:t xml:space="preserve">Given the difficulty in defining the scope of a global cities driver and estimating offence-specific costs due to data limitations, the Commission is </w:t>
      </w:r>
      <w:r w:rsidR="00D565BB">
        <w:t xml:space="preserve">currently </w:t>
      </w:r>
      <w:r>
        <w:t xml:space="preserve">unable to introduce a global cities driver into the police assessment. </w:t>
      </w:r>
    </w:p>
    <w:p w14:paraId="24C91116" w14:textId="77777777" w:rsidR="00211324" w:rsidRDefault="00211324" w:rsidP="00211324">
      <w:pPr>
        <w:pStyle w:val="Heading4"/>
      </w:pPr>
      <w:r w:rsidRPr="005250AF">
        <w:t xml:space="preserve">Commission </w:t>
      </w:r>
      <w:r>
        <w:t>decision</w:t>
      </w:r>
    </w:p>
    <w:p w14:paraId="50A133A9" w14:textId="3425A793" w:rsidR="00211324" w:rsidRPr="008767E4" w:rsidRDefault="008767E4" w:rsidP="008767E4">
      <w:pPr>
        <w:pStyle w:val="CGC2025ParaNumbers"/>
      </w:pPr>
      <w:r>
        <w:t xml:space="preserve">The Commission </w:t>
      </w:r>
      <w:r w:rsidR="00BA7C5A">
        <w:t>will not</w:t>
      </w:r>
      <w:r>
        <w:t xml:space="preserve"> introduce a global cities driver in the police assessment.</w:t>
      </w:r>
      <w:r w:rsidRPr="00150A17">
        <w:t xml:space="preserve"> </w:t>
      </w:r>
    </w:p>
    <w:p w14:paraId="52E9C5CD" w14:textId="6E9C8BDF" w:rsidR="00BC38E4" w:rsidRPr="00ED102F" w:rsidRDefault="002B3275" w:rsidP="00BE1A8F">
      <w:pPr>
        <w:pStyle w:val="Heading3"/>
        <w:keepNext/>
      </w:pPr>
      <w:r>
        <w:t>Police data</w:t>
      </w:r>
    </w:p>
    <w:p w14:paraId="6D56245C" w14:textId="517CA8E0" w:rsidR="00BC38E4" w:rsidRPr="00F03E18" w:rsidRDefault="000074E1" w:rsidP="000074E1">
      <w:pPr>
        <w:pStyle w:val="CGC2025ParaNumbers"/>
      </w:pPr>
      <w:bookmarkStart w:id="15" w:name="_Hlk180758385"/>
      <w:r w:rsidRPr="00F03E18">
        <w:rPr>
          <w:szCs w:val="20"/>
        </w:rPr>
        <w:t>In response to state comments, the Commission consider</w:t>
      </w:r>
      <w:r w:rsidR="009F54D7" w:rsidRPr="00F03E18">
        <w:rPr>
          <w:szCs w:val="20"/>
        </w:rPr>
        <w:t>ed</w:t>
      </w:r>
      <w:r w:rsidR="00485C57" w:rsidRPr="00F03E18">
        <w:t xml:space="preserve"> </w:t>
      </w:r>
      <w:bookmarkEnd w:id="15"/>
      <w:r w:rsidR="007E32DF" w:rsidRPr="00F03E18">
        <w:t>the following issues</w:t>
      </w:r>
      <w:r w:rsidR="00862BA3" w:rsidRPr="00F03E18">
        <w:t xml:space="preserve"> with</w:t>
      </w:r>
      <w:r w:rsidR="00B8303C" w:rsidRPr="00F03E18">
        <w:t xml:space="preserve"> </w:t>
      </w:r>
      <w:r w:rsidR="0039074F" w:rsidRPr="00F03E18">
        <w:t>data,</w:t>
      </w:r>
      <w:r w:rsidR="00B8303C" w:rsidRPr="00F03E18">
        <w:t xml:space="preserve"> or</w:t>
      </w:r>
      <w:r w:rsidR="001145A6" w:rsidRPr="00F03E18">
        <w:t xml:space="preserve"> </w:t>
      </w:r>
      <w:r w:rsidR="00767869" w:rsidRPr="00F03E18">
        <w:t xml:space="preserve">the </w:t>
      </w:r>
      <w:r w:rsidR="001145A6" w:rsidRPr="00F03E18">
        <w:t>treatment of</w:t>
      </w:r>
      <w:r w:rsidR="00862BA3" w:rsidRPr="00F03E18">
        <w:t xml:space="preserve"> data</w:t>
      </w:r>
      <w:r w:rsidR="0039074F" w:rsidRPr="00F03E18">
        <w:t>,</w:t>
      </w:r>
      <w:r w:rsidR="00862BA3" w:rsidRPr="00F03E18">
        <w:t xml:space="preserve"> used to info</w:t>
      </w:r>
      <w:r w:rsidR="00BC0E41" w:rsidRPr="00F03E18">
        <w:t>rm the police assessment</w:t>
      </w:r>
      <w:r w:rsidR="00336661">
        <w:t>:</w:t>
      </w:r>
    </w:p>
    <w:p w14:paraId="292A0B29" w14:textId="0E95B6AF" w:rsidR="00C9234F" w:rsidRDefault="00C9234F" w:rsidP="00C9234F">
      <w:pPr>
        <w:pStyle w:val="CGC2025Bullet1"/>
      </w:pPr>
      <w:r>
        <w:t>the socio-economic status classifications applied to First Nations people</w:t>
      </w:r>
      <w:r w:rsidRPr="00C9234F">
        <w:t xml:space="preserve"> </w:t>
      </w:r>
    </w:p>
    <w:p w14:paraId="33E17842" w14:textId="283E18E8" w:rsidR="00A85498" w:rsidRDefault="00A85498" w:rsidP="0058086E">
      <w:pPr>
        <w:pStyle w:val="CGC2025Bullet1"/>
      </w:pPr>
      <w:r>
        <w:t>the exclusion of</w:t>
      </w:r>
      <w:r w:rsidR="004B71A8">
        <w:t xml:space="preserve"> traffic and breach of bail</w:t>
      </w:r>
      <w:r w:rsidR="0015787F">
        <w:t xml:space="preserve"> offences</w:t>
      </w:r>
    </w:p>
    <w:p w14:paraId="7E691C57" w14:textId="55DEA6D4" w:rsidR="0017306F" w:rsidRDefault="00625A35" w:rsidP="00B8453C">
      <w:pPr>
        <w:pStyle w:val="CGC2025Bullet1"/>
      </w:pPr>
      <w:r>
        <w:t xml:space="preserve">the use of proceedings data for </w:t>
      </w:r>
      <w:r w:rsidR="0017306F">
        <w:t>assessed offenders</w:t>
      </w:r>
      <w:r w:rsidR="00166E14">
        <w:t>.</w:t>
      </w:r>
    </w:p>
    <w:p w14:paraId="1B622F31" w14:textId="79299CC3" w:rsidR="00793434" w:rsidRDefault="00793434" w:rsidP="00793434">
      <w:pPr>
        <w:pStyle w:val="CGC2025ParaNumbers"/>
      </w:pPr>
      <w:r>
        <w:t xml:space="preserve">Following </w:t>
      </w:r>
      <w:r w:rsidR="002D0CEB">
        <w:t xml:space="preserve">analysis of 2022–23 and 2023–24 data, the Commission proposed using a </w:t>
      </w:r>
      <w:r w:rsidR="00705E9D">
        <w:t>5-t</w:t>
      </w:r>
      <w:r w:rsidR="00EE34FD">
        <w:t>ier</w:t>
      </w:r>
      <w:r w:rsidR="00705E9D">
        <w:t xml:space="preserve"> socio-economic </w:t>
      </w:r>
      <w:r w:rsidR="006E6985">
        <w:t>status structure for First Nations people.</w:t>
      </w:r>
    </w:p>
    <w:p w14:paraId="41A97C4A" w14:textId="77777777" w:rsidR="00BE1A8F" w:rsidRPr="008675B1" w:rsidRDefault="00BE1A8F" w:rsidP="00BE1A8F">
      <w:pPr>
        <w:pStyle w:val="Heading4"/>
      </w:pPr>
      <w:r>
        <w:t>State views</w:t>
      </w:r>
    </w:p>
    <w:p w14:paraId="0796F6AA" w14:textId="5E4F426F" w:rsidR="00942179" w:rsidRDefault="00942179" w:rsidP="00942179">
      <w:pPr>
        <w:pStyle w:val="Heading5"/>
      </w:pPr>
      <w:bookmarkStart w:id="16" w:name="_Hlk174975020"/>
      <w:r w:rsidRPr="00730BB2">
        <w:t>Socio-economic status classifications applied to First Nations people</w:t>
      </w:r>
    </w:p>
    <w:p w14:paraId="3197C6ED" w14:textId="2BAB4469" w:rsidR="00F51965" w:rsidRDefault="00BB2C23" w:rsidP="00F51965">
      <w:pPr>
        <w:pStyle w:val="CGC2025ParaNumbers"/>
      </w:pPr>
      <w:r>
        <w:t>Most states</w:t>
      </w:r>
      <w:r w:rsidR="00F51965">
        <w:t xml:space="preserve"> supported moving to a 5-tier structure to measure the socio</w:t>
      </w:r>
      <w:r w:rsidR="00F51965">
        <w:noBreakHyphen/>
        <w:t xml:space="preserve">economic status of First Nations offenders. </w:t>
      </w:r>
      <w:r w:rsidR="0023402F">
        <w:t xml:space="preserve">Queensland supported </w:t>
      </w:r>
      <w:r w:rsidR="0023402F" w:rsidRPr="003E4F8C">
        <w:rPr>
          <w:rFonts w:cstheme="minorHAnsi"/>
        </w:rPr>
        <w:t xml:space="preserve">continuing to apply the </w:t>
      </w:r>
      <w:r w:rsidR="0023402F" w:rsidRPr="003E4F8C">
        <w:rPr>
          <w:rFonts w:cstheme="minorHAnsi"/>
        </w:rPr>
        <w:lastRenderedPageBreak/>
        <w:t>socio-economic status approach for First Nations people that best reflects a linear relationship with offence rates</w:t>
      </w:r>
      <w:r w:rsidR="006E7BA5">
        <w:rPr>
          <w:rFonts w:cstheme="minorHAnsi"/>
        </w:rPr>
        <w:t>.</w:t>
      </w:r>
    </w:p>
    <w:p w14:paraId="26B73CF4" w14:textId="56AE0738" w:rsidR="00F51965" w:rsidRDefault="00F51965" w:rsidP="00F51965">
      <w:pPr>
        <w:pStyle w:val="CGC2025ParaNumbers"/>
      </w:pPr>
      <w:r>
        <w:t>Victoria said that the Commission should adopt a 5-tier relationship regardless of the relationship. This would account for the evolving relationship between First Nations interactions with the justice system and socio-economic status.</w:t>
      </w:r>
      <w:r w:rsidR="004F0284" w:rsidRPr="004F0284">
        <w:t xml:space="preserve"> </w:t>
      </w:r>
      <w:r w:rsidR="00223657">
        <w:t>It</w:t>
      </w:r>
      <w:r w:rsidR="004F0284">
        <w:t xml:space="preserve"> said the non-linear relationship between socio</w:t>
      </w:r>
      <w:r w:rsidR="004F0284">
        <w:noBreakHyphen/>
        <w:t>economic status and offences did not warrant merging the standard 5-tier socio-economic groups into 3 in the 2020 Review</w:t>
      </w:r>
      <w:r w:rsidR="00534953">
        <w:t>.</w:t>
      </w:r>
    </w:p>
    <w:p w14:paraId="2715109C" w14:textId="70C7AB9A" w:rsidR="00F5254F" w:rsidRDefault="00F5254F" w:rsidP="00F5254F">
      <w:pPr>
        <w:pStyle w:val="Heading5"/>
      </w:pPr>
      <w:r>
        <w:t>E</w:t>
      </w:r>
      <w:r w:rsidRPr="00EF6963">
        <w:t>xclusion of traffic and breach of bail offences</w:t>
      </w:r>
    </w:p>
    <w:p w14:paraId="2BC8CB9B" w14:textId="36677444" w:rsidR="00781260" w:rsidRDefault="00326B2D" w:rsidP="00243A09">
      <w:pPr>
        <w:pStyle w:val="CGC2025ParaNumbers"/>
      </w:pPr>
      <w:r>
        <w:t xml:space="preserve">Western Australia </w:t>
      </w:r>
      <w:r w:rsidR="00E5454C">
        <w:t>said the Commission s</w:t>
      </w:r>
      <w:r w:rsidR="007A53CE">
        <w:t>h</w:t>
      </w:r>
      <w:r w:rsidR="00E5454C">
        <w:t>o</w:t>
      </w:r>
      <w:r w:rsidR="007A53CE">
        <w:t>uld</w:t>
      </w:r>
      <w:r w:rsidR="00E5454C">
        <w:t xml:space="preserve"> determine whether</w:t>
      </w:r>
      <w:r w:rsidR="00E531A8">
        <w:t xml:space="preserve"> traffic and breach of bail offence data </w:t>
      </w:r>
      <w:r w:rsidR="00DD216C">
        <w:t>are robust enough to include in the police assessment.</w:t>
      </w:r>
      <w:r w:rsidR="0090430D">
        <w:t xml:space="preserve"> </w:t>
      </w:r>
      <w:r w:rsidR="0075191F">
        <w:t>I</w:t>
      </w:r>
      <w:r w:rsidR="00324D85" w:rsidRPr="00324D85">
        <w:t xml:space="preserve">t </w:t>
      </w:r>
      <w:r w:rsidR="00BF5A6F">
        <w:t>said</w:t>
      </w:r>
      <w:r w:rsidR="00324D85" w:rsidRPr="00324D85">
        <w:t xml:space="preserve"> their inclusion would provide a more accurate representation of police expenses.</w:t>
      </w:r>
    </w:p>
    <w:bookmarkEnd w:id="16"/>
    <w:p w14:paraId="6AE870A0" w14:textId="1A29A008" w:rsidR="009768BB" w:rsidRPr="009768BB" w:rsidRDefault="0059177B" w:rsidP="00646DD0">
      <w:pPr>
        <w:pStyle w:val="CGC2025ParaNumbers"/>
      </w:pPr>
      <w:r w:rsidRPr="003E4F8C">
        <w:t>Queensland supported excluding</w:t>
      </w:r>
      <w:r w:rsidR="00B10B70" w:rsidRPr="003E4F8C">
        <w:t xml:space="preserve"> traffic and breach of bail offence data from the police assessment</w:t>
      </w:r>
      <w:r w:rsidR="00FB6989" w:rsidRPr="003E4F8C">
        <w:rPr>
          <w:rFonts w:cstheme="minorHAnsi"/>
        </w:rPr>
        <w:t>.</w:t>
      </w:r>
    </w:p>
    <w:p w14:paraId="10F9C977" w14:textId="77777777" w:rsidR="00C46AD9" w:rsidRDefault="00C46AD9" w:rsidP="00C46AD9">
      <w:pPr>
        <w:pStyle w:val="Heading5"/>
      </w:pPr>
      <w:r w:rsidRPr="00730BB2">
        <w:t>Use of proceedings data for assessed offenders</w:t>
      </w:r>
    </w:p>
    <w:p w14:paraId="59B288E9" w14:textId="123DCB53" w:rsidR="00C46AD9" w:rsidRDefault="00CC4CB7" w:rsidP="00567F35">
      <w:pPr>
        <w:pStyle w:val="CGC2025ParaNumbers"/>
      </w:pPr>
      <w:r>
        <w:t xml:space="preserve">Victoria </w:t>
      </w:r>
      <w:r w:rsidR="00C46AD9" w:rsidRPr="00C629BC">
        <w:t>recommended the Commission use the ABS’ offender counts rather than its proceedings count to calculate assessed offenders.</w:t>
      </w:r>
      <w:r w:rsidR="00C46AD9" w:rsidRPr="00CA0DE8">
        <w:rPr>
          <w:rStyle w:val="FootnoteReference"/>
        </w:rPr>
        <w:footnoteReference w:id="9"/>
      </w:r>
      <w:r w:rsidR="00C46AD9" w:rsidRPr="00C629BC">
        <w:t xml:space="preserve"> It considered proceedings to be an inappropriate measure of cost allocation. </w:t>
      </w:r>
    </w:p>
    <w:p w14:paraId="1666E4E0" w14:textId="47FAB41C" w:rsidR="00C46AD9" w:rsidRPr="00DB4B96" w:rsidRDefault="006E7BA5" w:rsidP="00567F35">
      <w:pPr>
        <w:pStyle w:val="CGC2025ParaNumbers"/>
      </w:pPr>
      <w:r>
        <w:t xml:space="preserve">Queensland </w:t>
      </w:r>
      <w:r w:rsidR="00C629BC">
        <w:t>supported</w:t>
      </w:r>
      <w:r>
        <w:t xml:space="preserve"> </w:t>
      </w:r>
      <w:r w:rsidRPr="00C629BC">
        <w:t>continuing to use proceedings data in the calculation of assessed offenders</w:t>
      </w:r>
      <w:r>
        <w:t>.</w:t>
      </w:r>
    </w:p>
    <w:p w14:paraId="37635FFB" w14:textId="2B2FFC22" w:rsidR="00646DD0" w:rsidRPr="008675B1" w:rsidRDefault="00646DD0" w:rsidP="00646DD0">
      <w:pPr>
        <w:pStyle w:val="Heading4"/>
      </w:pPr>
      <w:r>
        <w:t>Commission response</w:t>
      </w:r>
    </w:p>
    <w:p w14:paraId="4CEA7376" w14:textId="3A11BCD9" w:rsidR="00E45DFB" w:rsidRPr="00730BB2" w:rsidRDefault="00211F34" w:rsidP="006E0D28">
      <w:pPr>
        <w:pStyle w:val="Heading5"/>
      </w:pPr>
      <w:r w:rsidRPr="00730BB2">
        <w:t xml:space="preserve">Socio-economic status </w:t>
      </w:r>
      <w:r w:rsidR="00FC26F5" w:rsidRPr="00730BB2">
        <w:t>classifications applied to</w:t>
      </w:r>
      <w:r w:rsidRPr="00730BB2">
        <w:t xml:space="preserve"> First Nations people</w:t>
      </w:r>
    </w:p>
    <w:p w14:paraId="35DED05A" w14:textId="7AEB4E85" w:rsidR="00C34F01" w:rsidRDefault="00A664A5" w:rsidP="001810D8">
      <w:pPr>
        <w:pStyle w:val="CGC2025ParaNumbers"/>
      </w:pPr>
      <w:r w:rsidRPr="00730BB2">
        <w:t>Criminologists have identified a relationship between socio-economic status and offence rates</w:t>
      </w:r>
      <w:r w:rsidR="00ED10AA" w:rsidRPr="00730BB2">
        <w:t>.</w:t>
      </w:r>
      <w:r w:rsidR="00ED10AA" w:rsidRPr="00730BB2">
        <w:rPr>
          <w:rStyle w:val="FootnoteReference"/>
        </w:rPr>
        <w:footnoteReference w:id="10"/>
      </w:r>
      <w:r w:rsidR="00C43677" w:rsidRPr="00730BB2">
        <w:t xml:space="preserve"> </w:t>
      </w:r>
      <w:r w:rsidR="00A1074A" w:rsidRPr="00730BB2">
        <w:t>If</w:t>
      </w:r>
      <w:r w:rsidR="00E56352" w:rsidRPr="00730BB2">
        <w:t xml:space="preserve"> a</w:t>
      </w:r>
      <w:r w:rsidR="00B43DF8" w:rsidRPr="00730BB2">
        <w:t xml:space="preserve"> socio-</w:t>
      </w:r>
      <w:r w:rsidR="006A7F0C" w:rsidRPr="00730BB2">
        <w:t>economic</w:t>
      </w:r>
      <w:r w:rsidR="00D71467" w:rsidRPr="00730BB2">
        <w:t xml:space="preserve"> status</w:t>
      </w:r>
      <w:r w:rsidR="00E56352" w:rsidRPr="00730BB2">
        <w:t xml:space="preserve"> structure does not show </w:t>
      </w:r>
      <w:r w:rsidR="001202BE" w:rsidRPr="00730BB2">
        <w:t>this</w:t>
      </w:r>
      <w:r w:rsidR="00E56352" w:rsidRPr="00730BB2">
        <w:t xml:space="preserve"> relationship</w:t>
      </w:r>
      <w:r w:rsidR="00A1074A" w:rsidRPr="00730BB2">
        <w:t>, it</w:t>
      </w:r>
      <w:r w:rsidR="00E56352" w:rsidRPr="00730BB2">
        <w:t xml:space="preserve"> may mean that the measure is capturing the effects of factors unrelated to socio</w:t>
      </w:r>
      <w:r w:rsidR="00E56352" w:rsidRPr="00730BB2">
        <w:noBreakHyphen/>
        <w:t>economic status</w:t>
      </w:r>
      <w:r w:rsidR="00756B00">
        <w:t>,</w:t>
      </w:r>
      <w:r w:rsidR="00E56352" w:rsidRPr="00730BB2">
        <w:t xml:space="preserve"> which the Commission cannot control </w:t>
      </w:r>
      <w:r w:rsidR="00DE5C18" w:rsidRPr="00730BB2">
        <w:t xml:space="preserve">for </w:t>
      </w:r>
      <w:r w:rsidR="00E56352" w:rsidRPr="00730BB2">
        <w:t>because of data limitations.</w:t>
      </w:r>
      <w:r w:rsidR="00C34F01" w:rsidRPr="00730BB2">
        <w:t xml:space="preserve"> </w:t>
      </w:r>
      <w:r w:rsidR="0021760E" w:rsidRPr="00730BB2">
        <w:t>This may include the effects of structural inequalities or being removed from culture and/or family.</w:t>
      </w:r>
      <w:r w:rsidR="0021760E" w:rsidRPr="00730BB2">
        <w:rPr>
          <w:vertAlign w:val="superscript"/>
        </w:rPr>
        <w:footnoteReference w:id="11"/>
      </w:r>
    </w:p>
    <w:p w14:paraId="59A5C9DC" w14:textId="0A0BFB6A" w:rsidR="00DA0958" w:rsidRDefault="00D5181B" w:rsidP="001810D8">
      <w:pPr>
        <w:pStyle w:val="CGC2025ParaNumbers"/>
      </w:pPr>
      <w:r>
        <w:t>Following analysis of 2022–23 and 20</w:t>
      </w:r>
      <w:r w:rsidR="004A6994">
        <w:t xml:space="preserve">23–24 data, </w:t>
      </w:r>
      <w:r w:rsidR="009271EE">
        <w:t>the Commission determined that</w:t>
      </w:r>
      <w:r w:rsidR="0021191F">
        <w:t xml:space="preserve"> using</w:t>
      </w:r>
      <w:r w:rsidR="009271EE">
        <w:t xml:space="preserve"> a 5-tier socio-economic </w:t>
      </w:r>
      <w:r w:rsidR="00266B83">
        <w:t xml:space="preserve">status </w:t>
      </w:r>
      <w:r w:rsidR="009271EE">
        <w:t xml:space="preserve">structure </w:t>
      </w:r>
      <w:r w:rsidR="0021191F">
        <w:t xml:space="preserve">for First Nations people was appropriate. </w:t>
      </w:r>
      <w:r w:rsidR="00C43E12">
        <w:t xml:space="preserve">Figure </w:t>
      </w:r>
      <w:r w:rsidR="00DE7D57" w:rsidRPr="00150A17">
        <w:t>1</w:t>
      </w:r>
      <w:r w:rsidR="00C43E12">
        <w:t xml:space="preserve"> shows that a uniform relationship exists between decreased offence rates and First Nations people living in less disadvantaged areas.</w:t>
      </w:r>
    </w:p>
    <w:p w14:paraId="51AA278F" w14:textId="60D5461F" w:rsidR="00300EDC" w:rsidRDefault="00300EDC" w:rsidP="00FD6CBA">
      <w:pPr>
        <w:pStyle w:val="CGC2025Caption"/>
        <w:keepNext/>
        <w:ind w:left="1134" w:hanging="1134"/>
      </w:pPr>
      <w:r>
        <w:lastRenderedPageBreak/>
        <w:t xml:space="preserve">Figure </w:t>
      </w:r>
      <w:r w:rsidR="00DE7D57" w:rsidRPr="00150A17">
        <w:t>1</w:t>
      </w:r>
      <w:r>
        <w:t xml:space="preserve"> </w:t>
      </w:r>
      <w:r>
        <w:tab/>
      </w:r>
      <w:r w:rsidR="00234F4F">
        <w:t>O</w:t>
      </w:r>
      <w:r>
        <w:t xml:space="preserve">ffenders by </w:t>
      </w:r>
      <w:r w:rsidR="00234F4F">
        <w:t xml:space="preserve">Indigenous status and </w:t>
      </w:r>
      <w:r>
        <w:t>socio-economic status, 2022–23 and 2023–24 data</w:t>
      </w:r>
    </w:p>
    <w:p w14:paraId="519F5858" w14:textId="7A9557FA" w:rsidR="00A53E00" w:rsidRDefault="00A53E00" w:rsidP="00A94CD3">
      <w:pPr>
        <w:pStyle w:val="CGC2025Caption"/>
        <w:keepNext/>
        <w:ind w:left="1418" w:hanging="1418"/>
      </w:pPr>
      <w:r>
        <w:rPr>
          <w:noProof/>
        </w:rPr>
        <w:drawing>
          <wp:inline distT="0" distB="0" distL="0" distR="0" wp14:anchorId="4E5D01D6" wp14:editId="083AB952">
            <wp:extent cx="5731510" cy="3413125"/>
            <wp:effectExtent l="0" t="0" r="2540" b="15875"/>
            <wp:docPr id="1722564427" name="Chart 1">
              <a:extLst xmlns:a="http://schemas.openxmlformats.org/drawingml/2006/main">
                <a:ext uri="{FF2B5EF4-FFF2-40B4-BE49-F238E27FC236}">
                  <a16:creationId xmlns:a16="http://schemas.microsoft.com/office/drawing/2014/main" id="{8490849A-1886-487A-8C59-C83F9BF1546B}"/>
                </a:ext>
                <a:ext uri="{147F2762-F138-4A5C-976F-8EAC2B608ADB}">
                  <a16:predDERef xmlns:a16="http://schemas.microsoft.com/office/drawing/2014/main" pred="{58A6D11B-C824-DAC5-959F-BE86D4EBE1D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39210BD3" w14:textId="7F9C9A77" w:rsidR="00C34F01" w:rsidRDefault="00C34F01" w:rsidP="00C34F01">
      <w:pPr>
        <w:pStyle w:val="Heading5"/>
      </w:pPr>
      <w:bookmarkStart w:id="17" w:name="_Hlk211507179"/>
      <w:r>
        <w:t>E</w:t>
      </w:r>
      <w:r w:rsidRPr="00EF6963">
        <w:t>xclusion of traffic and breach of bail offences</w:t>
      </w:r>
    </w:p>
    <w:bookmarkEnd w:id="17"/>
    <w:p w14:paraId="43CF69C8" w14:textId="7DE1D7FC" w:rsidR="00C34F01" w:rsidRDefault="00C34F01" w:rsidP="00C34F01">
      <w:pPr>
        <w:pStyle w:val="CGC2025ParaNumbers"/>
      </w:pPr>
      <w:r w:rsidRPr="00D34946">
        <w:t>The Commission sought advice from the ABS about whether</w:t>
      </w:r>
      <w:r>
        <w:t xml:space="preserve"> the</w:t>
      </w:r>
      <w:r w:rsidRPr="00D34946">
        <w:t xml:space="preserve"> </w:t>
      </w:r>
      <w:r>
        <w:t>quality and comparability of states’ traffic and breach of bail offence data still raised concerns</w:t>
      </w:r>
      <w:r w:rsidRPr="00D34946">
        <w:t xml:space="preserve">. The ABS indicated that it had not recently reviewed the quality and comparability of traffic and breach of bail offence data across states. In the absence of evidence of improvements in the quality and comparability of the data, the Commission considers that these data </w:t>
      </w:r>
      <w:r>
        <w:t>are not</w:t>
      </w:r>
      <w:r w:rsidRPr="00D34946">
        <w:t xml:space="preserve"> fit for purpose.</w:t>
      </w:r>
      <w:r w:rsidR="00F610FC">
        <w:t xml:space="preserve"> The Commission will continue to li</w:t>
      </w:r>
      <w:r w:rsidR="00497E04">
        <w:t>aise with the ABS on the quality of the data</w:t>
      </w:r>
      <w:r w:rsidR="003F1A9B">
        <w:t>.</w:t>
      </w:r>
    </w:p>
    <w:p w14:paraId="77AB2C9B" w14:textId="7406CC77" w:rsidR="00C736F4" w:rsidRPr="00C736F4" w:rsidRDefault="00C34F01" w:rsidP="00C43677">
      <w:pPr>
        <w:pStyle w:val="CGC2025ParaNumbers"/>
      </w:pPr>
      <w:r>
        <w:t>The Commission does not consider the exclusion of these offences to raise significant issues with the model since they tend to require fewer resources than other types of crime. Furthermore, it is likely the model used in the police assessment would partially capture the effects of these types of offences.</w:t>
      </w:r>
    </w:p>
    <w:p w14:paraId="1E7E364C" w14:textId="77777777" w:rsidR="00697970" w:rsidRPr="00730BB2" w:rsidRDefault="00697970" w:rsidP="00697970">
      <w:pPr>
        <w:pStyle w:val="Heading5"/>
      </w:pPr>
      <w:r w:rsidRPr="00730BB2">
        <w:t>Use of proceedings data for assessed offenders</w:t>
      </w:r>
    </w:p>
    <w:p w14:paraId="6AF5C831" w14:textId="1E55CA37" w:rsidR="00697970" w:rsidRPr="00F41271" w:rsidRDefault="00697970" w:rsidP="00567F35">
      <w:pPr>
        <w:pStyle w:val="CGC2025ParaNumbers"/>
      </w:pPr>
      <w:r w:rsidRPr="00F41271">
        <w:t>The Commission uses proceedings data in the police assessment to ensure it captures costs associated with investigating and charging a single offender on multiple occasions within a single year.</w:t>
      </w:r>
      <w:r w:rsidRPr="00756B00">
        <w:rPr>
          <w:rStyle w:val="FootnoteReference"/>
        </w:rPr>
        <w:footnoteReference w:id="12"/>
      </w:r>
      <w:r w:rsidRPr="00F41271">
        <w:t xml:space="preserve"> Using the ABS’ offenders count would not recognise the costs associated with a second (or more) separate instance of offending and the impact on </w:t>
      </w:r>
      <w:r w:rsidR="00A77EFD">
        <w:t xml:space="preserve">policing </w:t>
      </w:r>
      <w:r w:rsidRPr="00F41271">
        <w:t>cost</w:t>
      </w:r>
      <w:r w:rsidR="00A77EFD">
        <w:t>s</w:t>
      </w:r>
      <w:r w:rsidRPr="00F41271">
        <w:t>.</w:t>
      </w:r>
    </w:p>
    <w:p w14:paraId="3C4D2716" w14:textId="77777777" w:rsidR="00697970" w:rsidRPr="00C736F4" w:rsidRDefault="00697970" w:rsidP="00DB4B96">
      <w:pPr>
        <w:pStyle w:val="CGC2025ParaNumbers"/>
        <w:numPr>
          <w:ilvl w:val="0"/>
          <w:numId w:val="0"/>
        </w:numPr>
      </w:pPr>
    </w:p>
    <w:p w14:paraId="341AF9D3" w14:textId="77777777" w:rsidR="00C96479" w:rsidRDefault="00C96479" w:rsidP="00C96479">
      <w:pPr>
        <w:pStyle w:val="Heading4"/>
      </w:pPr>
      <w:r w:rsidRPr="005250AF">
        <w:lastRenderedPageBreak/>
        <w:t xml:space="preserve">Commission </w:t>
      </w:r>
      <w:r>
        <w:t xml:space="preserve">decision </w:t>
      </w:r>
    </w:p>
    <w:p w14:paraId="0C6E649D" w14:textId="0C00A4E2" w:rsidR="00F32B7F" w:rsidRPr="00394C3A" w:rsidRDefault="006057C7" w:rsidP="00266B83">
      <w:pPr>
        <w:pStyle w:val="CGC2025ParaNumbers"/>
      </w:pPr>
      <w:r w:rsidRPr="00394C3A">
        <w:t xml:space="preserve">The Commission </w:t>
      </w:r>
      <w:r w:rsidR="00FE1F53" w:rsidRPr="00394C3A">
        <w:t>will</w:t>
      </w:r>
      <w:r w:rsidR="005F570C" w:rsidRPr="00394C3A">
        <w:t xml:space="preserve"> </w:t>
      </w:r>
      <w:r w:rsidR="00266B83" w:rsidRPr="00394C3A">
        <w:t>use a 5-tier socio-economic status structure for First Nations people for assessing offender</w:t>
      </w:r>
      <w:r w:rsidR="00394C3A" w:rsidRPr="00394C3A">
        <w:t>s</w:t>
      </w:r>
      <w:r w:rsidR="005F570C" w:rsidRPr="00394C3A">
        <w:t>.</w:t>
      </w:r>
    </w:p>
    <w:p w14:paraId="5E25A41C" w14:textId="7AB518BE" w:rsidR="001443D2" w:rsidRPr="00394C3A" w:rsidRDefault="001443D2" w:rsidP="00401F2D">
      <w:pPr>
        <w:pStyle w:val="CGC2025ParaNumbers"/>
      </w:pPr>
      <w:r w:rsidRPr="00D123D1">
        <w:t>The Commission will continue to use proceedings counts for its measure of assessed offenders and exclude traffic and breach of bail offence data from the assessment.</w:t>
      </w:r>
    </w:p>
    <w:p w14:paraId="5CBE45A6" w14:textId="4FD2BFD6" w:rsidR="00BC38E4" w:rsidRPr="00ED102F" w:rsidRDefault="00853A0E" w:rsidP="00F349C9">
      <w:pPr>
        <w:pStyle w:val="Heading3"/>
        <w:keepNext/>
      </w:pPr>
      <w:bookmarkStart w:id="18" w:name="_Hlk174967030"/>
      <w:r>
        <w:t>Criminal c</w:t>
      </w:r>
      <w:r w:rsidR="002B3275">
        <w:t>ourts</w:t>
      </w:r>
      <w:r w:rsidR="004D6B3A">
        <w:t xml:space="preserve"> assessment</w:t>
      </w:r>
      <w:r w:rsidR="008C7788">
        <w:t xml:space="preserve"> </w:t>
      </w:r>
      <w:r w:rsidR="00022BFA">
        <w:t>– use of finalised defendants</w:t>
      </w:r>
    </w:p>
    <w:p w14:paraId="7EB6068B" w14:textId="436A4FB7" w:rsidR="00DC15D0" w:rsidRPr="00F12764" w:rsidRDefault="009F54D7" w:rsidP="009F54D7">
      <w:pPr>
        <w:pStyle w:val="CGC2025ParaNumbers"/>
      </w:pPr>
      <w:r w:rsidRPr="00F12764">
        <w:t>In response to state comments, the Commission considered</w:t>
      </w:r>
      <w:r w:rsidR="00A45A32" w:rsidRPr="00F12764">
        <w:t xml:space="preserve"> concerns </w:t>
      </w:r>
      <w:r w:rsidR="00237B65" w:rsidRPr="00F12764">
        <w:t xml:space="preserve">with the use of </w:t>
      </w:r>
      <w:r w:rsidR="00E03BC1">
        <w:t>finalised defendant</w:t>
      </w:r>
      <w:r w:rsidR="00B17280" w:rsidRPr="00F12764">
        <w:t>s</w:t>
      </w:r>
      <w:r w:rsidR="00E03BC1">
        <w:t xml:space="preserve"> as </w:t>
      </w:r>
      <w:r w:rsidR="007C1F58">
        <w:t xml:space="preserve">a </w:t>
      </w:r>
      <w:r w:rsidR="00FC373A">
        <w:t>measure</w:t>
      </w:r>
      <w:r w:rsidR="007C1F58">
        <w:t xml:space="preserve"> of</w:t>
      </w:r>
      <w:r w:rsidR="00B17280" w:rsidRPr="00F12764">
        <w:t xml:space="preserve"> </w:t>
      </w:r>
      <w:r w:rsidR="00781663" w:rsidRPr="00F12764">
        <w:t>criminal court</w:t>
      </w:r>
      <w:r w:rsidR="007B0C1A" w:rsidRPr="00F12764">
        <w:t xml:space="preserve"> </w:t>
      </w:r>
      <w:r w:rsidR="007C1F58">
        <w:t>expense</w:t>
      </w:r>
      <w:r w:rsidR="00FC373A">
        <w:t xml:space="preserve"> need</w:t>
      </w:r>
      <w:r w:rsidR="009A4529">
        <w:t>s</w:t>
      </w:r>
      <w:r w:rsidR="00781663" w:rsidRPr="00F12764">
        <w:t>.</w:t>
      </w:r>
    </w:p>
    <w:p w14:paraId="1DE52D63" w14:textId="77777777" w:rsidR="000A38A3" w:rsidRPr="008675B1" w:rsidRDefault="000A38A3" w:rsidP="000A38A3">
      <w:pPr>
        <w:pStyle w:val="Heading4"/>
      </w:pPr>
      <w:r>
        <w:t>State views</w:t>
      </w:r>
    </w:p>
    <w:p w14:paraId="46B87ED5" w14:textId="24966F42" w:rsidR="003B4BB9" w:rsidRDefault="003B4BB9" w:rsidP="003B4BB9">
      <w:pPr>
        <w:pStyle w:val="Heading5"/>
      </w:pPr>
      <w:r>
        <w:t>Use of finalised defendants</w:t>
      </w:r>
    </w:p>
    <w:p w14:paraId="5671A0D4" w14:textId="418CBFD3" w:rsidR="00363A9A" w:rsidRDefault="00566B07" w:rsidP="003B434D">
      <w:pPr>
        <w:pStyle w:val="CGC2025ParaNumbers"/>
        <w:tabs>
          <w:tab w:val="num" w:pos="709"/>
        </w:tabs>
      </w:pPr>
      <w:r>
        <w:t xml:space="preserve">Victoria </w:t>
      </w:r>
      <w:r w:rsidR="009E24DC">
        <w:t>said</w:t>
      </w:r>
      <w:r w:rsidR="00CA32B2">
        <w:t xml:space="preserve"> finalisations was not an adequate measure of</w:t>
      </w:r>
      <w:r w:rsidR="00C06C46">
        <w:t xml:space="preserve"> spending</w:t>
      </w:r>
      <w:r w:rsidR="00CA32B2">
        <w:t xml:space="preserve"> need</w:t>
      </w:r>
      <w:r w:rsidR="00C06C46">
        <w:t>s</w:t>
      </w:r>
      <w:r w:rsidR="00B375E2">
        <w:t xml:space="preserve"> given the </w:t>
      </w:r>
      <w:r w:rsidR="00F561D0">
        <w:t xml:space="preserve">highly variable </w:t>
      </w:r>
      <w:r w:rsidR="00A02CFE">
        <w:t>relationship</w:t>
      </w:r>
      <w:r w:rsidR="00B375E2">
        <w:t xml:space="preserve"> </w:t>
      </w:r>
      <w:r w:rsidR="00EA075F">
        <w:t>between</w:t>
      </w:r>
      <w:r w:rsidR="001D2ECE">
        <w:t xml:space="preserve"> criminal court</w:t>
      </w:r>
      <w:r w:rsidR="00975080">
        <w:t xml:space="preserve"> </w:t>
      </w:r>
      <w:r w:rsidR="00113C3E">
        <w:t xml:space="preserve">expenses </w:t>
      </w:r>
      <w:r w:rsidR="00975080">
        <w:t xml:space="preserve">and </w:t>
      </w:r>
      <w:r w:rsidR="00B54111">
        <w:t>volume of finalised defendants</w:t>
      </w:r>
      <w:r w:rsidR="00E2513D">
        <w:t>.</w:t>
      </w:r>
      <w:r w:rsidR="00FE6253">
        <w:t xml:space="preserve"> </w:t>
      </w:r>
      <w:r w:rsidR="00363A9A">
        <w:t>Victoria</w:t>
      </w:r>
      <w:r w:rsidR="00363A9A" w:rsidRPr="00FA2D1A">
        <w:t xml:space="preserve"> </w:t>
      </w:r>
      <w:r w:rsidR="69092272">
        <w:t>also noted</w:t>
      </w:r>
      <w:r w:rsidR="00363A9A" w:rsidRPr="00FA2D1A">
        <w:t xml:space="preserve"> </w:t>
      </w:r>
      <w:r w:rsidR="00363A9A">
        <w:t xml:space="preserve">that the </w:t>
      </w:r>
      <w:r w:rsidR="00363A9A" w:rsidRPr="00FA2D1A">
        <w:t xml:space="preserve">2020 </w:t>
      </w:r>
      <w:r w:rsidR="00363A9A">
        <w:t>R</w:t>
      </w:r>
      <w:r w:rsidR="00363A9A" w:rsidRPr="00FA2D1A">
        <w:t>eview state-reported data on court expenses</w:t>
      </w:r>
      <w:r w:rsidR="00363A9A">
        <w:t xml:space="preserve"> showed</w:t>
      </w:r>
      <w:r w:rsidR="00363A9A" w:rsidRPr="00FA2D1A">
        <w:t xml:space="preserve"> a</w:t>
      </w:r>
      <w:r w:rsidR="00363A9A">
        <w:t xml:space="preserve"> </w:t>
      </w:r>
      <w:r w:rsidR="00363A9A" w:rsidRPr="00FA2D1A">
        <w:t>wide variance in the proportion of criminal court expenditure across states</w:t>
      </w:r>
      <w:r w:rsidR="00363A9A">
        <w:t>. This raised doubts about</w:t>
      </w:r>
      <w:r w:rsidR="00363A9A" w:rsidRPr="00A47665">
        <w:t xml:space="preserve"> reliability for making accurate comparative assessments or for drawing broad conclusions about state-level spending practices</w:t>
      </w:r>
      <w:r w:rsidR="00363A9A">
        <w:t>.</w:t>
      </w:r>
    </w:p>
    <w:p w14:paraId="1BE4C17E" w14:textId="7D10B239" w:rsidR="00237CEB" w:rsidRDefault="00237CEB" w:rsidP="000A38A3">
      <w:pPr>
        <w:pStyle w:val="CGC2025ParaNumbers"/>
      </w:pPr>
      <w:r w:rsidRPr="003E4F8C">
        <w:t xml:space="preserve">Victoria </w:t>
      </w:r>
      <w:r w:rsidR="00D07091" w:rsidRPr="003E4F8C">
        <w:t xml:space="preserve">recommended the Commission </w:t>
      </w:r>
      <w:r w:rsidR="00831B72" w:rsidRPr="003E4F8C">
        <w:t>use population as a measure of spending needs</w:t>
      </w:r>
      <w:r w:rsidR="0019124B" w:rsidRPr="003E4F8C">
        <w:t>.</w:t>
      </w:r>
      <w:r w:rsidR="008C2004" w:rsidRPr="003E4F8C">
        <w:t xml:space="preserve"> </w:t>
      </w:r>
      <w:r w:rsidR="00EA55F5" w:rsidRPr="003E4F8C">
        <w:t>It</w:t>
      </w:r>
      <w:r w:rsidR="008C2004" w:rsidRPr="003E4F8C">
        <w:t xml:space="preserve"> </w:t>
      </w:r>
      <w:r w:rsidR="00C72A5F" w:rsidRPr="003E4F8C">
        <w:t>provided</w:t>
      </w:r>
      <w:r w:rsidR="008C2004" w:rsidRPr="003E4F8C">
        <w:t xml:space="preserve"> analys</w:t>
      </w:r>
      <w:r w:rsidR="000468C1" w:rsidRPr="003E4F8C">
        <w:t>e</w:t>
      </w:r>
      <w:r w:rsidR="008C2004" w:rsidRPr="003E4F8C">
        <w:t xml:space="preserve">s </w:t>
      </w:r>
      <w:r w:rsidR="006B3F8B" w:rsidRPr="003E4F8C">
        <w:t>based on</w:t>
      </w:r>
      <w:r w:rsidR="008C2004" w:rsidRPr="003E4F8C">
        <w:t xml:space="preserve"> data from the </w:t>
      </w:r>
      <w:r w:rsidR="008C2004" w:rsidRPr="003E4F8C">
        <w:rPr>
          <w:i/>
        </w:rPr>
        <w:t>Report on Government Services</w:t>
      </w:r>
      <w:r w:rsidR="005808E4">
        <w:rPr>
          <w:iCs/>
        </w:rPr>
        <w:t>,</w:t>
      </w:r>
      <w:r w:rsidR="00180E8C" w:rsidRPr="003E4F8C">
        <w:t xml:space="preserve"> </w:t>
      </w:r>
      <w:r w:rsidR="00A04321" w:rsidRPr="003E4F8C">
        <w:t>which</w:t>
      </w:r>
      <w:r w:rsidR="00180E8C" w:rsidRPr="003E4F8C" w:rsidDel="00A04321">
        <w:t xml:space="preserve"> </w:t>
      </w:r>
      <w:r w:rsidR="00180E8C" w:rsidRPr="003E4F8C">
        <w:t>indicated that</w:t>
      </w:r>
      <w:r w:rsidR="0085724D" w:rsidRPr="003E4F8C">
        <w:t xml:space="preserve"> population was a better predict</w:t>
      </w:r>
      <w:r w:rsidR="00F42392" w:rsidRPr="003E4F8C">
        <w:t>o</w:t>
      </w:r>
      <w:r w:rsidR="0085724D" w:rsidRPr="003E4F8C">
        <w:t xml:space="preserve">r of costs </w:t>
      </w:r>
      <w:r w:rsidR="0022465A" w:rsidRPr="003E4F8C">
        <w:t>than finalisations.</w:t>
      </w:r>
      <w:r w:rsidR="00B21573">
        <w:t xml:space="preserve"> New South Wales supported </w:t>
      </w:r>
      <w:r w:rsidR="001C3677">
        <w:t>this proposal.</w:t>
      </w:r>
    </w:p>
    <w:p w14:paraId="617A6450" w14:textId="2562D001" w:rsidR="00905FD6" w:rsidRPr="00905FD6" w:rsidRDefault="00905FD6" w:rsidP="00905FD6">
      <w:pPr>
        <w:pStyle w:val="CGC2025ParaNumbers"/>
      </w:pPr>
      <w:r w:rsidRPr="00905FD6">
        <w:t xml:space="preserve">Queensland, Western Australia, Tasmania, the ACT and the Northern Territory supported not assessing criminal court expenses in a deliberative equal per capita assessment. </w:t>
      </w:r>
    </w:p>
    <w:p w14:paraId="409973C9" w14:textId="34104A7D" w:rsidR="00357534" w:rsidRDefault="00357534" w:rsidP="00357534">
      <w:pPr>
        <w:pStyle w:val="CGC2025ParaNumbers"/>
      </w:pPr>
      <w:r>
        <w:t>Queensland said that population explains far less of the variation in court expenses compared to the numbers of finalised defendants or court lodgements. Queensland consider</w:t>
      </w:r>
      <w:r w:rsidR="00FA7F63">
        <w:t>ed</w:t>
      </w:r>
      <w:r>
        <w:t xml:space="preserve"> that an equal per capita driver would incorrectly assume that all individuals have the same need for court services, disregarding the influence of socio-economic status, which affect the likelihood of individuals interacting with the criminal court system. </w:t>
      </w:r>
    </w:p>
    <w:p w14:paraId="59FBAE53" w14:textId="77777777" w:rsidR="00357534" w:rsidRDefault="00357534" w:rsidP="00357534">
      <w:pPr>
        <w:pStyle w:val="CGC2025ParaNumbers"/>
      </w:pPr>
      <w:r>
        <w:t xml:space="preserve">Tasmania said that the socio-demographic drivers affecting the number of assessed offenders should similarly apply to the criminal courts assessment. </w:t>
      </w:r>
    </w:p>
    <w:p w14:paraId="47EAEC45" w14:textId="6CDFD94F" w:rsidR="001C730C" w:rsidRPr="003E4F8C" w:rsidRDefault="00357534" w:rsidP="00357534">
      <w:pPr>
        <w:pStyle w:val="CGC2025ParaNumbers"/>
      </w:pPr>
      <w:r>
        <w:t>The ACT supported the continued use of socio-demographic drivers in the assessment. However, the ACT recommended exploring other drivers because finalised defendants alone may not fully reflect the complexity of criminal court costs.</w:t>
      </w:r>
    </w:p>
    <w:p w14:paraId="1DBD62B8" w14:textId="77777777" w:rsidR="003B4BB9" w:rsidRDefault="00777264" w:rsidP="003B4BB9">
      <w:pPr>
        <w:pStyle w:val="CGC2025ParaNumbers"/>
        <w:tabs>
          <w:tab w:val="clear" w:pos="567"/>
          <w:tab w:val="num" w:pos="709"/>
          <w:tab w:val="num" w:pos="993"/>
        </w:tabs>
      </w:pPr>
      <w:r w:rsidRPr="00777264">
        <w:lastRenderedPageBreak/>
        <w:t>The Northern Territory said that defendant rates are highly correlated with demographics and that it is not credible to suggest defendant rates have no bearing on court costs.</w:t>
      </w:r>
      <w:r w:rsidR="003B4BB9" w:rsidRPr="003B4BB9">
        <w:t xml:space="preserve"> </w:t>
      </w:r>
    </w:p>
    <w:p w14:paraId="45DF724E" w14:textId="313F12CF" w:rsidR="00F66E0C" w:rsidRDefault="00F66E0C" w:rsidP="00F66E0C">
      <w:pPr>
        <w:pStyle w:val="Heading5"/>
      </w:pPr>
      <w:r>
        <w:t>Specialist courts and diversions programs</w:t>
      </w:r>
    </w:p>
    <w:p w14:paraId="63C73E5E" w14:textId="453F3698" w:rsidR="00174458" w:rsidRDefault="002725DD" w:rsidP="00174458">
      <w:pPr>
        <w:pStyle w:val="CGC2025ParaNumbers"/>
      </w:pPr>
      <w:r w:rsidRPr="002725DD">
        <w:t>Victoria also suggested that programs that were used to divert people from the court system</w:t>
      </w:r>
      <w:r w:rsidR="00F36ACF">
        <w:t>,</w:t>
      </w:r>
      <w:r w:rsidRPr="002725DD">
        <w:t xml:space="preserve"> </w:t>
      </w:r>
      <w:r w:rsidR="00A21411" w:rsidRPr="002725DD">
        <w:t>including several of its specialist courts</w:t>
      </w:r>
      <w:r w:rsidR="00F36ACF">
        <w:t>,</w:t>
      </w:r>
      <w:r w:rsidRPr="002725DD">
        <w:t xml:space="preserve"> were not captured in national data.</w:t>
      </w:r>
    </w:p>
    <w:p w14:paraId="4B191E24" w14:textId="77777777" w:rsidR="000A38A3" w:rsidRPr="008675B1" w:rsidRDefault="000A38A3" w:rsidP="000A38A3">
      <w:pPr>
        <w:pStyle w:val="Heading4"/>
      </w:pPr>
      <w:r>
        <w:t>Commission response</w:t>
      </w:r>
    </w:p>
    <w:p w14:paraId="3F306D3F" w14:textId="7D5ED4AC" w:rsidR="004C586A" w:rsidRDefault="00F90E89" w:rsidP="004C586A">
      <w:pPr>
        <w:pStyle w:val="Heading5"/>
      </w:pPr>
      <w:bookmarkStart w:id="19" w:name="_Hlk211506921"/>
      <w:r>
        <w:t>Use of finalis</w:t>
      </w:r>
      <w:r w:rsidR="00AE2507">
        <w:t xml:space="preserve">ed </w:t>
      </w:r>
      <w:r w:rsidR="003746D5">
        <w:t>defendants</w:t>
      </w:r>
    </w:p>
    <w:bookmarkEnd w:id="19"/>
    <w:p w14:paraId="00AB5C8C" w14:textId="33C57C0C" w:rsidR="00D62F64" w:rsidRDefault="001A1C68" w:rsidP="00A55D26">
      <w:pPr>
        <w:pStyle w:val="CGC2025ParaNumbers"/>
      </w:pPr>
      <w:r w:rsidRPr="001A1C68">
        <w:t>The Commission acknowledges there are policy differences in how states provide their criminal court services that may affect the number of finalised defendants or court costs.</w:t>
      </w:r>
      <w:r>
        <w:t xml:space="preserve"> </w:t>
      </w:r>
      <w:r w:rsidR="0043668D">
        <w:t xml:space="preserve">These differences </w:t>
      </w:r>
      <w:r w:rsidR="00CE3CFE">
        <w:t xml:space="preserve">include the number of </w:t>
      </w:r>
      <w:r w:rsidR="009A2ED2">
        <w:t xml:space="preserve">court levels in state </w:t>
      </w:r>
      <w:proofErr w:type="gramStart"/>
      <w:r w:rsidR="009A2ED2">
        <w:t>systems,</w:t>
      </w:r>
      <w:proofErr w:type="gramEnd"/>
      <w:r w:rsidR="009A2ED2">
        <w:t xml:space="preserve"> the</w:t>
      </w:r>
      <w:r w:rsidR="00F21721">
        <w:t xml:space="preserve"> types of cases he</w:t>
      </w:r>
      <w:r w:rsidR="00A33B81">
        <w:t>l</w:t>
      </w:r>
      <w:r w:rsidR="00F21721">
        <w:t>d at each level (and the method used to finalise them</w:t>
      </w:r>
      <w:r w:rsidR="009F6B9D">
        <w:t>)</w:t>
      </w:r>
      <w:r w:rsidR="00F21721">
        <w:t xml:space="preserve"> and the number of staff </w:t>
      </w:r>
      <w:r w:rsidR="00115FD4">
        <w:t>employed.</w:t>
      </w:r>
      <w:r w:rsidR="00BA0DFE">
        <w:t xml:space="preserve"> The Commission considers such differences </w:t>
      </w:r>
      <w:r w:rsidR="00C77754">
        <w:t xml:space="preserve">are </w:t>
      </w:r>
      <w:r w:rsidR="00BA0DFE">
        <w:t xml:space="preserve">responsible for the </w:t>
      </w:r>
      <w:r w:rsidR="00123E28">
        <w:t xml:space="preserve">variation </w:t>
      </w:r>
      <w:r w:rsidR="0084352F">
        <w:t xml:space="preserve">between </w:t>
      </w:r>
      <w:r w:rsidR="00564981">
        <w:t>the</w:t>
      </w:r>
      <w:r w:rsidR="00BA409B">
        <w:t xml:space="preserve"> </w:t>
      </w:r>
      <w:r w:rsidR="00260975">
        <w:t>cost per finalisation</w:t>
      </w:r>
      <w:r w:rsidR="00564981">
        <w:t xml:space="preserve"> </w:t>
      </w:r>
      <w:r w:rsidR="001B7F09">
        <w:t>in each state</w:t>
      </w:r>
      <w:r w:rsidR="00260975">
        <w:t>.</w:t>
      </w:r>
    </w:p>
    <w:p w14:paraId="282E9A77" w14:textId="132F3505" w:rsidR="00D931B3" w:rsidRDefault="00A56AAF" w:rsidP="00A56AAF">
      <w:pPr>
        <w:pStyle w:val="CGC2025ParaNumbers"/>
      </w:pPr>
      <w:r w:rsidRPr="00A56AAF">
        <w:t>As only a proportion of the population become defendants and the use of criminal court services is driven by the number of defendants, a socio-demographic composition approach to assessing expenses is supported by a strong conceptual case. This is consistent with the police and prisons components that recognise only a proportion of the population become offenders and prisoners.</w:t>
      </w:r>
      <w:r w:rsidR="008D1526">
        <w:t xml:space="preserve"> For this reason, the Commission does not consider </w:t>
      </w:r>
      <w:r w:rsidR="00A01CEC">
        <w:t xml:space="preserve">it appropriate to assess criminal courts </w:t>
      </w:r>
      <w:r w:rsidR="005E4F80">
        <w:t>using an equal per capita method.</w:t>
      </w:r>
    </w:p>
    <w:p w14:paraId="4807D0CC" w14:textId="7FF83ECD" w:rsidR="00F90E89" w:rsidRDefault="006B241F" w:rsidP="00F90E89">
      <w:pPr>
        <w:pStyle w:val="Heading5"/>
      </w:pPr>
      <w:r>
        <w:t>Specialist courts and diversions programs</w:t>
      </w:r>
    </w:p>
    <w:p w14:paraId="77273A1D" w14:textId="2A7509B0" w:rsidR="006B241F" w:rsidRDefault="00312383" w:rsidP="00F00283">
      <w:pPr>
        <w:pStyle w:val="CGC2025ParaNumbers"/>
      </w:pPr>
      <w:r w:rsidRPr="00312383">
        <w:t xml:space="preserve">The assessment </w:t>
      </w:r>
      <w:r w:rsidR="00BB4F7A">
        <w:t xml:space="preserve">method </w:t>
      </w:r>
      <w:r w:rsidRPr="00312383">
        <w:t>includes states’ spending for all court</w:t>
      </w:r>
      <w:r w:rsidR="0020C32B" w:rsidRPr="00312383">
        <w:t>-</w:t>
      </w:r>
      <w:r w:rsidRPr="00312383">
        <w:t>related expenses as defined by Government Financ</w:t>
      </w:r>
      <w:r w:rsidR="00146E4C">
        <w:t>e</w:t>
      </w:r>
      <w:r w:rsidRPr="00312383">
        <w:t xml:space="preserve"> Statistics data. This enables the Commission to include all criminal court</w:t>
      </w:r>
      <w:r w:rsidR="00D8046A">
        <w:t xml:space="preserve"> expenses</w:t>
      </w:r>
      <w:r w:rsidRPr="00312383">
        <w:t xml:space="preserve"> in its assessment, including the costs of running specialist courts and court-based diversion programs</w:t>
      </w:r>
      <w:r w:rsidR="00E33F8F">
        <w:t>.</w:t>
      </w:r>
    </w:p>
    <w:p w14:paraId="710B0809" w14:textId="49E3F892" w:rsidR="00E33F8F" w:rsidRDefault="0094106F" w:rsidP="00CE726B">
      <w:pPr>
        <w:pStyle w:val="CGC2025ParaNumbers"/>
      </w:pPr>
      <w:r w:rsidRPr="0094106F">
        <w:t xml:space="preserve">While the number of assessed finalised defendants currently excludes finalised defendants in specialist courts and diversion programs, excluding these data produces a </w:t>
      </w:r>
      <w:r w:rsidR="004409E6">
        <w:t>more</w:t>
      </w:r>
      <w:r w:rsidRPr="0094106F">
        <w:t xml:space="preserve"> nationally comparable cost per assessed defendant.</w:t>
      </w:r>
      <w:r>
        <w:rPr>
          <w:rStyle w:val="FootnoteReference"/>
        </w:rPr>
        <w:footnoteReference w:id="13"/>
      </w:r>
      <w:r w:rsidR="00D36DCE">
        <w:t xml:space="preserve"> </w:t>
      </w:r>
      <w:r w:rsidR="00642E22">
        <w:t>Given</w:t>
      </w:r>
      <w:r w:rsidR="00D36DCE">
        <w:t xml:space="preserve"> these defendants are </w:t>
      </w:r>
      <w:r w:rsidR="00AD6E12">
        <w:t>finalised</w:t>
      </w:r>
      <w:r w:rsidR="00D36DCE">
        <w:t xml:space="preserve"> in the </w:t>
      </w:r>
      <w:r w:rsidR="00AD6E12">
        <w:t xml:space="preserve">court that first heard their case, </w:t>
      </w:r>
      <w:r w:rsidR="00CE726B">
        <w:t>i</w:t>
      </w:r>
      <w:r w:rsidR="00CE726B" w:rsidRPr="00CE726B">
        <w:t>ncluding any additional finalisations would lead to double counting</w:t>
      </w:r>
      <w:r w:rsidR="00CE726B">
        <w:t>.</w:t>
      </w:r>
    </w:p>
    <w:p w14:paraId="0B530C7E" w14:textId="570AF8D5" w:rsidR="000A38A3" w:rsidRDefault="000A38A3" w:rsidP="000A38A3">
      <w:pPr>
        <w:pStyle w:val="Heading4"/>
      </w:pPr>
      <w:r w:rsidRPr="005250AF">
        <w:t xml:space="preserve">Commission </w:t>
      </w:r>
      <w:r w:rsidR="00705AE3">
        <w:t>decision</w:t>
      </w:r>
      <w:r w:rsidR="009A1BBE">
        <w:t xml:space="preserve"> </w:t>
      </w:r>
    </w:p>
    <w:bookmarkEnd w:id="18"/>
    <w:p w14:paraId="0C12FA65" w14:textId="12639702" w:rsidR="000A38A3" w:rsidRPr="00462ABF" w:rsidRDefault="00794973" w:rsidP="00FD2C7B">
      <w:pPr>
        <w:pStyle w:val="CGC2025ParaNumbers"/>
      </w:pPr>
      <w:r w:rsidRPr="00462ABF">
        <w:t xml:space="preserve">The Commission </w:t>
      </w:r>
      <w:r w:rsidR="000404B6" w:rsidRPr="00462ABF">
        <w:t>will</w:t>
      </w:r>
      <w:r w:rsidR="00FD2C7B" w:rsidRPr="00462ABF">
        <w:t xml:space="preserve"> </w:t>
      </w:r>
      <w:r w:rsidR="00D0198D" w:rsidRPr="00462ABF">
        <w:t xml:space="preserve">continue to use </w:t>
      </w:r>
      <w:r w:rsidR="009E0CCB" w:rsidRPr="00462ABF">
        <w:t xml:space="preserve">finalised defendants </w:t>
      </w:r>
      <w:r w:rsidR="00C3147A" w:rsidRPr="00462ABF">
        <w:t>as a</w:t>
      </w:r>
      <w:r w:rsidR="009423B4" w:rsidRPr="00462ABF">
        <w:t xml:space="preserve"> measure of </w:t>
      </w:r>
      <w:r w:rsidR="0053669A" w:rsidRPr="00462ABF">
        <w:t>criminal court expense needs</w:t>
      </w:r>
      <w:r w:rsidR="00C56D36" w:rsidRPr="00462ABF">
        <w:t>.</w:t>
      </w:r>
      <w:r w:rsidR="00A31AA5" w:rsidRPr="00462ABF">
        <w:t xml:space="preserve"> It will </w:t>
      </w:r>
      <w:r w:rsidR="0075692B" w:rsidRPr="00462ABF">
        <w:t>assess</w:t>
      </w:r>
      <w:r w:rsidR="00A31AA5" w:rsidRPr="00462ABF">
        <w:t xml:space="preserve"> the number of</w:t>
      </w:r>
      <w:r w:rsidR="00F600DF" w:rsidRPr="00462ABF">
        <w:t xml:space="preserve"> </w:t>
      </w:r>
      <w:r w:rsidR="00AD32C6" w:rsidRPr="00462ABF">
        <w:t>finalised defendants in each sta</w:t>
      </w:r>
      <w:r w:rsidR="0087151C" w:rsidRPr="00462ABF">
        <w:t>te</w:t>
      </w:r>
      <w:r w:rsidR="00AD32C6" w:rsidRPr="00462ABF">
        <w:t xml:space="preserve"> using </w:t>
      </w:r>
      <w:r w:rsidR="0087151C" w:rsidRPr="00462ABF">
        <w:t>a socio-demographic composition</w:t>
      </w:r>
      <w:r w:rsidR="0075692B" w:rsidRPr="00462ABF">
        <w:t xml:space="preserve"> </w:t>
      </w:r>
      <w:r w:rsidR="009B32AE">
        <w:t>calculation</w:t>
      </w:r>
      <w:r w:rsidR="00BA6255" w:rsidRPr="00462ABF">
        <w:t>.</w:t>
      </w:r>
    </w:p>
    <w:p w14:paraId="23D99468" w14:textId="1BC0263C" w:rsidR="00E800F7" w:rsidRPr="00ED102F" w:rsidRDefault="00E800F7" w:rsidP="00E800F7">
      <w:pPr>
        <w:pStyle w:val="Heading3"/>
        <w:keepNext/>
      </w:pPr>
      <w:r>
        <w:lastRenderedPageBreak/>
        <w:t>Criminal courts</w:t>
      </w:r>
      <w:r w:rsidR="00462ABF">
        <w:t xml:space="preserve"> and other legal services</w:t>
      </w:r>
      <w:r>
        <w:t xml:space="preserve"> assessment</w:t>
      </w:r>
      <w:r w:rsidR="00462ABF">
        <w:t>s</w:t>
      </w:r>
      <w:r>
        <w:t xml:space="preserve"> – </w:t>
      </w:r>
      <w:r w:rsidR="00462ABF">
        <w:t>regional costs</w:t>
      </w:r>
    </w:p>
    <w:p w14:paraId="6D1F1B1E" w14:textId="4FCC8F86" w:rsidR="00E800F7" w:rsidRPr="00F12764" w:rsidRDefault="00810239" w:rsidP="00462ABF">
      <w:pPr>
        <w:pStyle w:val="CGC2025ParaNumbers"/>
      </w:pPr>
      <w:r>
        <w:t xml:space="preserve">Following analysis of 2022–23 and 2023–24 data, the Commission </w:t>
      </w:r>
      <w:r w:rsidR="001E6E9C">
        <w:t>proposed</w:t>
      </w:r>
      <w:r w:rsidR="0014711F">
        <w:t xml:space="preserve"> </w:t>
      </w:r>
      <w:r w:rsidR="00601393">
        <w:t xml:space="preserve">removing </w:t>
      </w:r>
      <w:r w:rsidR="00960571">
        <w:t xml:space="preserve">the </w:t>
      </w:r>
      <w:r w:rsidR="00AD0A44">
        <w:t>regional costs</w:t>
      </w:r>
      <w:r w:rsidR="00E03452">
        <w:t xml:space="preserve"> driver</w:t>
      </w:r>
      <w:r w:rsidR="00AD0A44">
        <w:t xml:space="preserve"> </w:t>
      </w:r>
      <w:r w:rsidR="001E6E9C">
        <w:t>from the criminal courts and other legal services assessments.</w:t>
      </w:r>
      <w:r w:rsidR="006346AE">
        <w:t xml:space="preserve"> It noted that </w:t>
      </w:r>
      <w:r w:rsidR="008D043E">
        <w:t xml:space="preserve">it could no longer identify a relationship between regional costs and remoteness in </w:t>
      </w:r>
      <w:r w:rsidR="00A04427">
        <w:t xml:space="preserve">state data. </w:t>
      </w:r>
      <w:r w:rsidR="00082B3B">
        <w:t>The change in</w:t>
      </w:r>
      <w:r w:rsidR="00876069">
        <w:t xml:space="preserve"> the</w:t>
      </w:r>
      <w:r w:rsidR="00082B3B">
        <w:t xml:space="preserve"> relationship </w:t>
      </w:r>
      <w:r w:rsidR="00E034F8">
        <w:t xml:space="preserve">appears to be the result of </w:t>
      </w:r>
      <w:r w:rsidR="00931472">
        <w:t>an increase in the u</w:t>
      </w:r>
      <w:r w:rsidR="00C77AC5">
        <w:t xml:space="preserve">ptake of audio-visual </w:t>
      </w:r>
      <w:r w:rsidR="002A38B2">
        <w:t>techno</w:t>
      </w:r>
      <w:r w:rsidR="00D45974">
        <w:t>logy in court case hearings.</w:t>
      </w:r>
      <w:r w:rsidR="00931472">
        <w:t xml:space="preserve"> </w:t>
      </w:r>
    </w:p>
    <w:p w14:paraId="5D6036B9" w14:textId="77777777" w:rsidR="00E800F7" w:rsidRPr="008675B1" w:rsidRDefault="00E800F7" w:rsidP="00E800F7">
      <w:pPr>
        <w:pStyle w:val="Heading4"/>
      </w:pPr>
      <w:r>
        <w:t>State views</w:t>
      </w:r>
    </w:p>
    <w:p w14:paraId="1A0575A5" w14:textId="69F4D7F2" w:rsidR="005E66D1" w:rsidRDefault="005E66D1" w:rsidP="005E66D1">
      <w:pPr>
        <w:pStyle w:val="CGC2025ParaNumbers"/>
      </w:pPr>
      <w:r>
        <w:t xml:space="preserve">New South Wales, Victoria, Tasmania and the ACT supported the Commission’s proposal to remove the regional </w:t>
      </w:r>
      <w:r w:rsidR="007D33EB">
        <w:t xml:space="preserve">costs </w:t>
      </w:r>
      <w:r>
        <w:t>gradient from the criminal courts and other legal services assessment.</w:t>
      </w:r>
    </w:p>
    <w:p w14:paraId="15101137" w14:textId="5E7F0A97" w:rsidR="00E800F7" w:rsidRDefault="005E66D1" w:rsidP="005E66D1">
      <w:pPr>
        <w:pStyle w:val="CGC2025ParaNumbers"/>
      </w:pPr>
      <w:r>
        <w:t>New South Wales said that the inclusion of technology in courts has eliminated any additional costs driven by remoteness.</w:t>
      </w:r>
    </w:p>
    <w:p w14:paraId="68D34589" w14:textId="6D1BA151" w:rsidR="004E5C53" w:rsidRDefault="004E5C53" w:rsidP="004E5C53">
      <w:pPr>
        <w:pStyle w:val="CGC2025ParaNumbers"/>
      </w:pPr>
      <w:r>
        <w:t xml:space="preserve">Queensland, Western Australia and the Northern Territory said that the Commission should retain the regional </w:t>
      </w:r>
      <w:r w:rsidR="007D33EB">
        <w:t xml:space="preserve">costs </w:t>
      </w:r>
      <w:r>
        <w:t xml:space="preserve">gradient applied to criminal courts and other legal services. </w:t>
      </w:r>
    </w:p>
    <w:p w14:paraId="0C1F83B2" w14:textId="12734386" w:rsidR="004E5C53" w:rsidRDefault="004E5C53" w:rsidP="004E5C53">
      <w:pPr>
        <w:pStyle w:val="CGC2025ParaNumbers"/>
      </w:pPr>
      <w:r>
        <w:t>Queensland said that the Commission should retain the 2020 Review gradient</w:t>
      </w:r>
      <w:r w:rsidR="003A1912">
        <w:t xml:space="preserve">, noting </w:t>
      </w:r>
      <w:r>
        <w:t>that while structural changes have occurred in courts, implementation challenges remain. The capital works costs for installing audio-visual technology in older courts and prisons, particularly those in remote and regional areas, justify the need to retain a regional cost</w:t>
      </w:r>
      <w:r w:rsidR="00CD38CC">
        <w:t>s</w:t>
      </w:r>
      <w:r>
        <w:t xml:space="preserve"> gradient.</w:t>
      </w:r>
    </w:p>
    <w:p w14:paraId="300BFEDC" w14:textId="18EBBB5F" w:rsidR="004E5C53" w:rsidRDefault="004E5C53" w:rsidP="004E5C53">
      <w:pPr>
        <w:pStyle w:val="CGC2025ParaNumbers"/>
      </w:pPr>
      <w:r>
        <w:t>Western Australia noted that the Perth Magistrates Court served a unique function in that its expenses include substantial overheads that are similar to central costs. It indicated that the Perth Magistrates Court and other states’ metropolitan courts had unique circumstances</w:t>
      </w:r>
      <w:r w:rsidR="000120A3">
        <w:t xml:space="preserve"> that</w:t>
      </w:r>
      <w:r>
        <w:t xml:space="preserve"> significantly impacted the cost per defendant in non</w:t>
      </w:r>
      <w:r w:rsidR="000120A3">
        <w:noBreakHyphen/>
      </w:r>
      <w:r>
        <w:t>regional areas.</w:t>
      </w:r>
      <w:r w:rsidR="0071389E">
        <w:t xml:space="preserve"> </w:t>
      </w:r>
      <w:r w:rsidR="0071389E" w:rsidRPr="00EC6E08">
        <w:t xml:space="preserve">Western Australia </w:t>
      </w:r>
      <w:r w:rsidR="0095047F" w:rsidRPr="00EC6E08">
        <w:t>suggested</w:t>
      </w:r>
      <w:r w:rsidR="006115D2" w:rsidRPr="00EC6E08">
        <w:t xml:space="preserve"> that</w:t>
      </w:r>
      <w:r w:rsidR="0095047F" w:rsidRPr="00EC6E08">
        <w:t xml:space="preserve"> further analysis</w:t>
      </w:r>
      <w:r w:rsidR="006115D2" w:rsidRPr="00EC6E08">
        <w:t xml:space="preserve"> be undertaken</w:t>
      </w:r>
      <w:r w:rsidR="0095047F" w:rsidRPr="00EC6E08">
        <w:t xml:space="preserve"> on centrally located courts and the function th</w:t>
      </w:r>
      <w:r w:rsidR="00E66974" w:rsidRPr="00EC6E08">
        <w:t xml:space="preserve">ey serve across the </w:t>
      </w:r>
      <w:r w:rsidR="00E12297" w:rsidRPr="00EC6E08">
        <w:t>s</w:t>
      </w:r>
      <w:r w:rsidR="00E66974" w:rsidRPr="00EC6E08">
        <w:t xml:space="preserve">tates as part of the </w:t>
      </w:r>
      <w:r w:rsidR="00E12297" w:rsidRPr="00EC6E08">
        <w:t>next review</w:t>
      </w:r>
      <w:r w:rsidR="00E66974" w:rsidRPr="00EC6E08">
        <w:t>.</w:t>
      </w:r>
      <w:r w:rsidRPr="00EC6E08">
        <w:t xml:space="preserve"> </w:t>
      </w:r>
      <w:r w:rsidR="00946A9F" w:rsidRPr="00EC6E08">
        <w:t>Due</w:t>
      </w:r>
      <w:r w:rsidRPr="00EC6E08">
        <w:t xml:space="preserve"> to uncertainty in the cost data</w:t>
      </w:r>
      <w:r w:rsidR="00946A9F" w:rsidRPr="00EC6E08">
        <w:t>, it said that</w:t>
      </w:r>
      <w:r w:rsidRPr="00EC6E08">
        <w:t xml:space="preserve"> the general regional costs gradient should be applied to the criminal courts and other legal services.</w:t>
      </w:r>
    </w:p>
    <w:p w14:paraId="232C97CB" w14:textId="3893D96E" w:rsidR="004E5C53" w:rsidRDefault="004E5C53" w:rsidP="00BC4C29">
      <w:pPr>
        <w:pStyle w:val="CGC2025ParaNumbers"/>
      </w:pPr>
      <w:r>
        <w:t>The Northern Territory said there is a strong conceptual case that remoteness costs exist. The Northern Territory said that the Commission should retain the 2020</w:t>
      </w:r>
      <w:r w:rsidR="00334DC9">
        <w:t> </w:t>
      </w:r>
      <w:r>
        <w:t xml:space="preserve">Review gradient, apply the general regional and service delivery scale </w:t>
      </w:r>
      <w:r w:rsidR="006334D0">
        <w:t xml:space="preserve">costs </w:t>
      </w:r>
      <w:r>
        <w:t>gradient or apply just the general service delivery scale</w:t>
      </w:r>
      <w:r w:rsidR="0093387F">
        <w:t xml:space="preserve"> costs</w:t>
      </w:r>
      <w:r>
        <w:t xml:space="preserve"> gradient. The Northern</w:t>
      </w:r>
      <w:r w:rsidR="00195532">
        <w:t> </w:t>
      </w:r>
      <w:r>
        <w:t>Territory argued that case complexity contributes to costs and obscures the observable relationship between region and costs.</w:t>
      </w:r>
    </w:p>
    <w:p w14:paraId="2471305E" w14:textId="77777777" w:rsidR="00E800F7" w:rsidRPr="008675B1" w:rsidRDefault="00E800F7" w:rsidP="00E800F7">
      <w:pPr>
        <w:pStyle w:val="Heading4"/>
      </w:pPr>
      <w:r>
        <w:t>Commission response</w:t>
      </w:r>
    </w:p>
    <w:p w14:paraId="71099C04" w14:textId="42A743AB" w:rsidR="00A77B83" w:rsidRDefault="00A77B83" w:rsidP="00A77B83">
      <w:pPr>
        <w:pStyle w:val="CGC2025ParaNumbers"/>
      </w:pPr>
      <w:r>
        <w:t xml:space="preserve">While case complexity and some centralised expenses likely affect the cost per defendant and measurable gradient, data limitations prevent the Commission from </w:t>
      </w:r>
      <w:r>
        <w:lastRenderedPageBreak/>
        <w:t xml:space="preserve">quantifying their impact. However, the Commission does not consider that these factors significantly impact the assessment of criminal court expense needs. </w:t>
      </w:r>
      <w:r w:rsidR="00981E93">
        <w:t>D</w:t>
      </w:r>
      <w:r>
        <w:t xml:space="preserve">ata from </w:t>
      </w:r>
      <w:r w:rsidR="00A8004E">
        <w:t>most</w:t>
      </w:r>
      <w:r>
        <w:t xml:space="preserve"> states do not indicate substantial overhead expenses are being captured in metropolitan courts. This appears to be unique to the Perth Magistrates Court.  </w:t>
      </w:r>
    </w:p>
    <w:p w14:paraId="16CE0C1D" w14:textId="50E685E3" w:rsidR="00A77B83" w:rsidRDefault="00A77B83" w:rsidP="00A77B83">
      <w:pPr>
        <w:pStyle w:val="CGC2025ParaNumbers"/>
      </w:pPr>
      <w:r>
        <w:t>The Commission tested removing the Perth Magistrates Court from analysis for the purpose of determining its impact. This reduced the cost per defendant in major cities but produce</w:t>
      </w:r>
      <w:r w:rsidR="00DE262B">
        <w:t>d</w:t>
      </w:r>
      <w:r>
        <w:t xml:space="preserve"> a </w:t>
      </w:r>
      <w:r w:rsidR="00DE262B">
        <w:t>near</w:t>
      </w:r>
      <w:r w:rsidR="007A5BAA">
        <w:t>-zero</w:t>
      </w:r>
      <w:r>
        <w:t xml:space="preserve"> regional </w:t>
      </w:r>
      <w:r w:rsidR="005E70BF">
        <w:t xml:space="preserve">costs </w:t>
      </w:r>
      <w:r>
        <w:t xml:space="preserve">gradient. </w:t>
      </w:r>
    </w:p>
    <w:p w14:paraId="0CF3B64E" w14:textId="0C079FB1" w:rsidR="00541D21" w:rsidRDefault="00A77B83" w:rsidP="005817FF">
      <w:pPr>
        <w:pStyle w:val="CGC2025ParaNumbers"/>
      </w:pPr>
      <w:r>
        <w:t>The Commission does not have data to determine how case complexity affects criminal court expenses and so weights all cases equally. Even if an adjustment for case complexity could be applied, the Commission considers it likely that any adjustment would offset any regional</w:t>
      </w:r>
      <w:r w:rsidR="005817FF">
        <w:t xml:space="preserve"> </w:t>
      </w:r>
      <w:r w:rsidR="005E70BF">
        <w:t xml:space="preserve">costs </w:t>
      </w:r>
      <w:r w:rsidR="005817FF">
        <w:t>gradient, leading to a similar outcome as the proposed assessment. For this reason, the Commission does not consider that, in combination, case complexity and regional costs significantly affect the estimated criminal court expense needs.</w:t>
      </w:r>
    </w:p>
    <w:p w14:paraId="1D2411AD" w14:textId="5D43B7B8" w:rsidR="005817FF" w:rsidRDefault="005817FF" w:rsidP="005817FF">
      <w:pPr>
        <w:pStyle w:val="CGC2025ParaNumbers"/>
      </w:pPr>
      <w:r>
        <w:t xml:space="preserve">Retaining the 2020 Review gradient would not be appropriate as it would be based on non-contemporaneous data that no longer reflect what states do in providing court services. It would also be inappropriate to maintain the gradient in the recurrent assessment to recognise capital works costs as these are covered in the Commission’s investment category. </w:t>
      </w:r>
    </w:p>
    <w:p w14:paraId="090CE07B" w14:textId="44C6D19A" w:rsidR="00E800F7" w:rsidRDefault="005817FF" w:rsidP="005817FF">
      <w:pPr>
        <w:pStyle w:val="CGC2025ParaNumbers"/>
      </w:pPr>
      <w:r>
        <w:t>The conceptual case for regional costs in courts has been weakened by the adoption of audio</w:t>
      </w:r>
      <w:r w:rsidR="006C4114">
        <w:noBreakHyphen/>
      </w:r>
      <w:r>
        <w:t>visual technology. The increasing use of this technology means that states have reduced court expenses</w:t>
      </w:r>
      <w:r w:rsidR="006C4114">
        <w:t xml:space="preserve"> in remote areas</w:t>
      </w:r>
      <w:r>
        <w:t xml:space="preserve">, particularly in regard to travel. The Commission considers there to be insufficient grounds for using the general </w:t>
      </w:r>
      <w:r w:rsidR="007A1AA0">
        <w:t>regional costs</w:t>
      </w:r>
      <w:r>
        <w:t xml:space="preserve"> gradient.</w:t>
      </w:r>
    </w:p>
    <w:p w14:paraId="29FC82B8" w14:textId="620B666D" w:rsidR="00B138C9" w:rsidRPr="00EC6E08" w:rsidRDefault="0030701D" w:rsidP="005817FF">
      <w:pPr>
        <w:pStyle w:val="CGC2025ParaNumbers"/>
      </w:pPr>
      <w:r w:rsidRPr="00EC6E08">
        <w:t xml:space="preserve">The Commission will </w:t>
      </w:r>
      <w:r w:rsidR="003142E9" w:rsidRPr="00EC6E08">
        <w:t>consider</w:t>
      </w:r>
      <w:r w:rsidR="002E7B36" w:rsidRPr="00EC6E08">
        <w:t xml:space="preserve"> </w:t>
      </w:r>
      <w:r w:rsidR="00141B56" w:rsidRPr="00EC6E08">
        <w:t>criminal court</w:t>
      </w:r>
      <w:r w:rsidR="00FB49C5" w:rsidRPr="00EC6E08">
        <w:t xml:space="preserve"> </w:t>
      </w:r>
      <w:r w:rsidR="004B3D5B" w:rsidRPr="00EC6E08">
        <w:t>functions</w:t>
      </w:r>
      <w:r w:rsidR="00F64DBE" w:rsidRPr="00EC6E08">
        <w:t xml:space="preserve"> and</w:t>
      </w:r>
      <w:r w:rsidR="00FB49C5" w:rsidRPr="00EC6E08">
        <w:t xml:space="preserve"> </w:t>
      </w:r>
      <w:r w:rsidR="00CF1266" w:rsidRPr="00EC6E08">
        <w:t>the</w:t>
      </w:r>
      <w:r w:rsidR="00FB49C5" w:rsidRPr="00EC6E08">
        <w:t xml:space="preserve"> </w:t>
      </w:r>
      <w:r w:rsidR="00F00734" w:rsidRPr="00EC6E08">
        <w:t>drivers o</w:t>
      </w:r>
      <w:r w:rsidR="0087153B" w:rsidRPr="00EC6E08">
        <w:t xml:space="preserve">f </w:t>
      </w:r>
      <w:r w:rsidR="00AF6C0D" w:rsidRPr="00EC6E08">
        <w:t xml:space="preserve">criminal </w:t>
      </w:r>
      <w:r w:rsidR="0087153B" w:rsidRPr="00EC6E08">
        <w:t xml:space="preserve">court </w:t>
      </w:r>
      <w:r w:rsidR="00AF6C0D" w:rsidRPr="00EC6E08">
        <w:t xml:space="preserve">expenses as </w:t>
      </w:r>
      <w:r w:rsidR="00AF6C0D" w:rsidRPr="00150A17">
        <w:t xml:space="preserve">part of the </w:t>
      </w:r>
      <w:r w:rsidR="00EC6E08" w:rsidRPr="00150A17">
        <w:t>next review</w:t>
      </w:r>
      <w:r w:rsidR="003444C8" w:rsidRPr="00EC6E08">
        <w:t>.</w:t>
      </w:r>
    </w:p>
    <w:p w14:paraId="4E0C88D4" w14:textId="77777777" w:rsidR="00E800F7" w:rsidRDefault="00E800F7" w:rsidP="00E800F7">
      <w:pPr>
        <w:pStyle w:val="Heading4"/>
      </w:pPr>
      <w:r w:rsidRPr="005250AF">
        <w:t xml:space="preserve">Commission </w:t>
      </w:r>
      <w:r>
        <w:t xml:space="preserve">decision </w:t>
      </w:r>
    </w:p>
    <w:p w14:paraId="12BB8CBD" w14:textId="159B4C9D" w:rsidR="00E800F7" w:rsidRDefault="00735607" w:rsidP="007C5959">
      <w:pPr>
        <w:pStyle w:val="CGC2025ParaNumbers"/>
      </w:pPr>
      <w:r>
        <w:t xml:space="preserve">The Commission </w:t>
      </w:r>
      <w:r w:rsidR="007C5959">
        <w:t>will</w:t>
      </w:r>
      <w:r>
        <w:t xml:space="preserve"> </w:t>
      </w:r>
      <w:r w:rsidR="004A5EF8">
        <w:t>no</w:t>
      </w:r>
      <w:r w:rsidR="00C81935">
        <w:t xml:space="preserve"> longer include</w:t>
      </w:r>
      <w:r>
        <w:t xml:space="preserve"> </w:t>
      </w:r>
      <w:r w:rsidR="00C81935">
        <w:t>the</w:t>
      </w:r>
      <w:r>
        <w:t xml:space="preserve"> regional costs </w:t>
      </w:r>
      <w:r w:rsidR="00C81935">
        <w:t>driver</w:t>
      </w:r>
      <w:r>
        <w:t xml:space="preserve"> for criminal courts and </w:t>
      </w:r>
      <w:r w:rsidR="00C81935">
        <w:t>other legal services</w:t>
      </w:r>
      <w:r>
        <w:t>.</w:t>
      </w:r>
    </w:p>
    <w:p w14:paraId="1E72F6C6" w14:textId="04B79AD5" w:rsidR="00CE1CAE" w:rsidRPr="00ED102F" w:rsidRDefault="00853A0E" w:rsidP="00E800F7">
      <w:pPr>
        <w:pStyle w:val="Heading3"/>
        <w:keepNext/>
      </w:pPr>
      <w:r>
        <w:t>Criminal c</w:t>
      </w:r>
      <w:r w:rsidR="00CE1CAE">
        <w:t>ourts data</w:t>
      </w:r>
    </w:p>
    <w:p w14:paraId="0DAD714B" w14:textId="28143531" w:rsidR="00D27A3C" w:rsidRPr="00493AB3" w:rsidRDefault="00876E1E" w:rsidP="00571630">
      <w:pPr>
        <w:pStyle w:val="CGC2025ParaNumbers"/>
      </w:pPr>
      <w:r w:rsidRPr="00493AB3">
        <w:t xml:space="preserve">In response to state comments, the Commission considered </w:t>
      </w:r>
      <w:r w:rsidR="00326F99" w:rsidRPr="00493AB3">
        <w:t xml:space="preserve">concerns that </w:t>
      </w:r>
      <w:r w:rsidR="00EB054E" w:rsidRPr="00493AB3">
        <w:t>the criminal courts assessment</w:t>
      </w:r>
      <w:r w:rsidR="00537597" w:rsidRPr="00493AB3">
        <w:t xml:space="preserve"> used data from </w:t>
      </w:r>
      <w:r w:rsidR="005014D8" w:rsidRPr="00493AB3">
        <w:t>a limited number of states</w:t>
      </w:r>
      <w:r w:rsidR="00FD4632" w:rsidRPr="00493AB3">
        <w:t xml:space="preserve"> </w:t>
      </w:r>
      <w:r w:rsidR="006505A5" w:rsidRPr="00493AB3">
        <w:t>to determine the</w:t>
      </w:r>
      <w:r w:rsidR="00EE596B" w:rsidRPr="00493AB3">
        <w:t xml:space="preserve"> socio-</w:t>
      </w:r>
      <w:r w:rsidR="00ED4965" w:rsidRPr="00493AB3">
        <w:t>demographic</w:t>
      </w:r>
      <w:r w:rsidR="006505A5" w:rsidRPr="00493AB3">
        <w:t xml:space="preserve"> profile of </w:t>
      </w:r>
      <w:r w:rsidR="005064A9" w:rsidRPr="00493AB3">
        <w:t>defendants</w:t>
      </w:r>
      <w:r w:rsidR="004A2D0F" w:rsidRPr="00493AB3">
        <w:t xml:space="preserve"> and the regional cost</w:t>
      </w:r>
      <w:r w:rsidR="00CD38CC">
        <w:t>s</w:t>
      </w:r>
      <w:r w:rsidR="004A2D0F" w:rsidRPr="00493AB3">
        <w:t xml:space="preserve"> gradient</w:t>
      </w:r>
      <w:r w:rsidR="00EB054E" w:rsidRPr="00493AB3">
        <w:t>.</w:t>
      </w:r>
      <w:r w:rsidR="00BC722D" w:rsidRPr="00493AB3">
        <w:t xml:space="preserve"> </w:t>
      </w:r>
      <w:r w:rsidR="00571630">
        <w:t xml:space="preserve">It </w:t>
      </w:r>
      <w:r w:rsidR="009A2C2C" w:rsidRPr="00493AB3">
        <w:t>also</w:t>
      </w:r>
      <w:r w:rsidR="00847697" w:rsidRPr="00493AB3">
        <w:t xml:space="preserve"> </w:t>
      </w:r>
      <w:r w:rsidR="007814F8">
        <w:t xml:space="preserve">proposed </w:t>
      </w:r>
      <w:r w:rsidR="00905B91">
        <w:t xml:space="preserve">attributing </w:t>
      </w:r>
      <w:r w:rsidR="00237F8A" w:rsidRPr="00493AB3">
        <w:t xml:space="preserve">Indigenous status to </w:t>
      </w:r>
      <w:r w:rsidR="00D64DEB" w:rsidRPr="00493AB3">
        <w:t xml:space="preserve">defendants who had not provided their </w:t>
      </w:r>
      <w:r w:rsidR="00786D79" w:rsidRPr="00493AB3">
        <w:t>Indigenous status</w:t>
      </w:r>
      <w:r w:rsidR="007814F8">
        <w:t xml:space="preserve"> </w:t>
      </w:r>
      <w:r w:rsidR="000E3DFB">
        <w:t xml:space="preserve">using the proportion of </w:t>
      </w:r>
      <w:r w:rsidR="00A50536">
        <w:t xml:space="preserve">those </w:t>
      </w:r>
      <w:r w:rsidR="007341C4">
        <w:t>who</w:t>
      </w:r>
      <w:r w:rsidR="00A50536">
        <w:t xml:space="preserve"> did</w:t>
      </w:r>
      <w:r w:rsidR="00B96D4C" w:rsidRPr="00493AB3">
        <w:t>.</w:t>
      </w:r>
    </w:p>
    <w:p w14:paraId="1A4D38FA" w14:textId="77777777" w:rsidR="00CE1CAE" w:rsidRPr="008675B1" w:rsidRDefault="00CE1CAE" w:rsidP="00CE1CAE">
      <w:pPr>
        <w:pStyle w:val="Heading4"/>
      </w:pPr>
      <w:r>
        <w:lastRenderedPageBreak/>
        <w:t>State views</w:t>
      </w:r>
    </w:p>
    <w:p w14:paraId="531FC169" w14:textId="54D38F24" w:rsidR="00784846" w:rsidRDefault="00784846" w:rsidP="00784846">
      <w:pPr>
        <w:pStyle w:val="Heading5"/>
      </w:pPr>
      <w:r>
        <w:t>Data quality and averaging</w:t>
      </w:r>
    </w:p>
    <w:p w14:paraId="1F8F7EA0" w14:textId="02F89998" w:rsidR="00CE1CAE" w:rsidRDefault="00D01834">
      <w:pPr>
        <w:pStyle w:val="CGC2025ParaNumbers"/>
      </w:pPr>
      <w:r w:rsidRPr="00D01834">
        <w:t>Victoria said that using data from only 5 states in the socio-demographic composition calculation and 4 states in the criminal courts regional cost</w:t>
      </w:r>
      <w:r w:rsidR="00CD38CC">
        <w:t>s</w:t>
      </w:r>
      <w:r w:rsidRPr="00D01834">
        <w:t xml:space="preserve"> gradient</w:t>
      </w:r>
      <w:r w:rsidR="00A631C6">
        <w:t xml:space="preserve"> for the 2020 Review</w:t>
      </w:r>
      <w:r w:rsidRPr="00D01834">
        <w:t xml:space="preserve"> fail</w:t>
      </w:r>
      <w:r w:rsidR="005240CC">
        <w:t>ed</w:t>
      </w:r>
      <w:r w:rsidRPr="00D01834">
        <w:t xml:space="preserve"> to accurately capture the average of state policy.</w:t>
      </w:r>
      <w:r w:rsidR="00C20AF2">
        <w:t xml:space="preserve"> It noted that this likely biased the results in the prisons component, which also</w:t>
      </w:r>
      <w:r w:rsidR="00100BB2">
        <w:t xml:space="preserve"> uses </w:t>
      </w:r>
      <w:r w:rsidR="00417F34">
        <w:t>defendants’</w:t>
      </w:r>
      <w:r w:rsidR="004953C5">
        <w:t xml:space="preserve"> socio</w:t>
      </w:r>
      <w:r w:rsidR="002123C4">
        <w:noBreakHyphen/>
      </w:r>
      <w:r w:rsidR="77A91870">
        <w:t>economic status</w:t>
      </w:r>
      <w:r w:rsidR="00324508">
        <w:t xml:space="preserve"> as a proxy for</w:t>
      </w:r>
      <w:r w:rsidR="00811058">
        <w:t xml:space="preserve"> </w:t>
      </w:r>
      <w:r w:rsidR="00FD301E">
        <w:t>prisoners’</w:t>
      </w:r>
      <w:r w:rsidR="00811058">
        <w:t xml:space="preserve"> socio-</w:t>
      </w:r>
      <w:r w:rsidR="000266B1">
        <w:t>economic stat</w:t>
      </w:r>
      <w:r w:rsidR="00FD301E">
        <w:t>us.</w:t>
      </w:r>
      <w:r w:rsidR="00503583">
        <w:t xml:space="preserve"> For this reason, it </w:t>
      </w:r>
      <w:r w:rsidR="00E73944">
        <w:t>recommended</w:t>
      </w:r>
      <w:r w:rsidR="004A02A5">
        <w:t xml:space="preserve"> </w:t>
      </w:r>
      <w:r w:rsidR="000532BE">
        <w:t xml:space="preserve">that </w:t>
      </w:r>
      <w:r w:rsidR="004A02A5">
        <w:t xml:space="preserve">socio-economic status </w:t>
      </w:r>
      <w:r w:rsidR="000532BE">
        <w:t xml:space="preserve">not be used in </w:t>
      </w:r>
      <w:r w:rsidR="00191EF5">
        <w:t>prisons</w:t>
      </w:r>
      <w:r w:rsidR="00E96357">
        <w:t xml:space="preserve">. </w:t>
      </w:r>
      <w:r w:rsidR="006962B0">
        <w:t>Victoria noted that if</w:t>
      </w:r>
      <w:r w:rsidR="00E948BA">
        <w:t xml:space="preserve"> defendant socio-economic status </w:t>
      </w:r>
      <w:r w:rsidR="006962B0">
        <w:t xml:space="preserve">was used </w:t>
      </w:r>
      <w:r w:rsidR="00E948BA">
        <w:t xml:space="preserve">as a proxy </w:t>
      </w:r>
      <w:r w:rsidR="00E96357">
        <w:t>it should be discounted</w:t>
      </w:r>
      <w:r w:rsidR="00B66FEE">
        <w:t>. Alternatively</w:t>
      </w:r>
      <w:r w:rsidR="00DE7F3B">
        <w:t>, it considered</w:t>
      </w:r>
      <w:r w:rsidRPr="00D01834">
        <w:t xml:space="preserve"> modelling </w:t>
      </w:r>
      <w:r w:rsidR="00B263C7">
        <w:t>should be limited</w:t>
      </w:r>
      <w:r w:rsidRPr="00D01834">
        <w:t xml:space="preserve"> to data available </w:t>
      </w:r>
      <w:r w:rsidR="00532293">
        <w:t>for</w:t>
      </w:r>
      <w:r w:rsidRPr="00D01834">
        <w:t xml:space="preserve"> every state (age and socio-economic status) or data</w:t>
      </w:r>
      <w:r w:rsidR="00241AD4">
        <w:t xml:space="preserve"> should be</w:t>
      </w:r>
      <w:r w:rsidRPr="00D01834">
        <w:t xml:space="preserve"> </w:t>
      </w:r>
      <w:r w:rsidR="00241AD4" w:rsidRPr="00D01834">
        <w:t>imput</w:t>
      </w:r>
      <w:r w:rsidR="00241AD4">
        <w:t>ed</w:t>
      </w:r>
      <w:r w:rsidR="00241AD4" w:rsidRPr="00D01834">
        <w:t xml:space="preserve"> </w:t>
      </w:r>
      <w:r w:rsidRPr="00D01834">
        <w:t>for any missing states rather than excluding them from the national average.</w:t>
      </w:r>
    </w:p>
    <w:p w14:paraId="21A75690" w14:textId="13D4212C" w:rsidR="00784846" w:rsidRDefault="00B63883" w:rsidP="00B63883">
      <w:pPr>
        <w:pStyle w:val="Heading5"/>
      </w:pPr>
      <w:r>
        <w:t>Treatment of non-stated Indigenous status</w:t>
      </w:r>
    </w:p>
    <w:p w14:paraId="4D39DF7D" w14:textId="23666917" w:rsidR="00B96D4C" w:rsidRDefault="004E559F" w:rsidP="005D1FDA">
      <w:pPr>
        <w:pStyle w:val="CGC2025ParaNumbers"/>
      </w:pPr>
      <w:r>
        <w:t xml:space="preserve">Queensland and </w:t>
      </w:r>
      <w:r w:rsidR="00200585" w:rsidRPr="00200585">
        <w:t xml:space="preserve">Western Australia </w:t>
      </w:r>
      <w:r>
        <w:t xml:space="preserve">supported </w:t>
      </w:r>
      <w:r w:rsidR="00125C08">
        <w:t>attributing</w:t>
      </w:r>
      <w:r w:rsidR="0089128A">
        <w:t xml:space="preserve"> Indigenous status to</w:t>
      </w:r>
      <w:r w:rsidR="00125C08">
        <w:t xml:space="preserve"> </w:t>
      </w:r>
      <w:r w:rsidR="0089128A">
        <w:t>non</w:t>
      </w:r>
      <w:r w:rsidR="00353F7B">
        <w:noBreakHyphen/>
      </w:r>
      <w:r w:rsidR="0089128A">
        <w:t xml:space="preserve">stated </w:t>
      </w:r>
      <w:r w:rsidR="00906FB9">
        <w:t xml:space="preserve">defendants </w:t>
      </w:r>
      <w:r w:rsidR="0089128A">
        <w:t xml:space="preserve">using the proportion of the </w:t>
      </w:r>
      <w:r w:rsidR="005B1D97">
        <w:t>stated defendants</w:t>
      </w:r>
      <w:r w:rsidR="00CD3F02" w:rsidRPr="003E4F8C">
        <w:t>.</w:t>
      </w:r>
      <w:r w:rsidR="00F977FF" w:rsidRPr="003E4F8C">
        <w:t xml:space="preserve"> </w:t>
      </w:r>
      <w:r w:rsidR="00C32922">
        <w:t>Queensland said that this approach would ensure a reasonable and equitable approach to addressing data gaps and maintain the integrity of the assessment.</w:t>
      </w:r>
    </w:p>
    <w:p w14:paraId="0C421A93" w14:textId="62DD8CF3" w:rsidR="00171D3B" w:rsidRPr="006F4B10" w:rsidRDefault="00171D3B" w:rsidP="0057217E">
      <w:pPr>
        <w:pStyle w:val="CGC2025ParaNumbers"/>
      </w:pPr>
      <w:r>
        <w:t xml:space="preserve">The Northern Territory did not </w:t>
      </w:r>
      <w:r w:rsidR="0057217E">
        <w:t xml:space="preserve">support this proposal. It said that the demographic characteristics of non-stated defendants are different to those of stated defendants. The Northern </w:t>
      </w:r>
      <w:r w:rsidR="00CC290E">
        <w:t>Territory</w:t>
      </w:r>
      <w:r w:rsidR="0057217E">
        <w:t xml:space="preserve"> suggested that either the non-stated responses for Indigenous status not be allocated or that socio-economic status proxy used in prisons should exclude the influence of non-stated defendants.</w:t>
      </w:r>
    </w:p>
    <w:p w14:paraId="5EF9959E" w14:textId="77777777" w:rsidR="00CE1CAE" w:rsidRPr="008675B1" w:rsidRDefault="00CE1CAE" w:rsidP="00CE1CAE">
      <w:pPr>
        <w:pStyle w:val="Heading4"/>
      </w:pPr>
      <w:r>
        <w:t>Commission response</w:t>
      </w:r>
    </w:p>
    <w:p w14:paraId="7F75B4BE" w14:textId="3A8C6572" w:rsidR="003422BE" w:rsidRDefault="002413DD" w:rsidP="003422BE">
      <w:pPr>
        <w:pStyle w:val="Heading5"/>
      </w:pPr>
      <w:bookmarkStart w:id="20" w:name="_Hlk211503133"/>
      <w:r>
        <w:t>Data quality and averaging</w:t>
      </w:r>
    </w:p>
    <w:bookmarkEnd w:id="20"/>
    <w:p w14:paraId="7FCCB6EC" w14:textId="74D03054" w:rsidR="00D252B0" w:rsidRDefault="005C3FDB" w:rsidP="00D252B0">
      <w:pPr>
        <w:pStyle w:val="CGC2025ParaNumbers"/>
        <w:tabs>
          <w:tab w:val="clear" w:pos="567"/>
          <w:tab w:val="num" w:pos="709"/>
          <w:tab w:val="num" w:pos="993"/>
        </w:tabs>
      </w:pPr>
      <w:r>
        <w:t xml:space="preserve">In the 2020 Review, the Commission used all </w:t>
      </w:r>
      <w:r w:rsidR="003C6184">
        <w:t>fit</w:t>
      </w:r>
      <w:r w:rsidR="00442057">
        <w:noBreakHyphen/>
      </w:r>
      <w:r w:rsidR="003C6184">
        <w:t>for</w:t>
      </w:r>
      <w:r w:rsidR="00442057">
        <w:noBreakHyphen/>
      </w:r>
      <w:r w:rsidR="003C6184">
        <w:t>purpose</w:t>
      </w:r>
      <w:r>
        <w:t xml:space="preserve"> data </w:t>
      </w:r>
      <w:r w:rsidR="00D43020">
        <w:t>available</w:t>
      </w:r>
      <w:r w:rsidR="003C6184">
        <w:t xml:space="preserve"> to inform </w:t>
      </w:r>
      <w:r w:rsidR="009D22BF">
        <w:t xml:space="preserve">the socio-demographic composition calculation and </w:t>
      </w:r>
      <w:r w:rsidR="00D10F63">
        <w:t>regional cost gradient</w:t>
      </w:r>
      <w:r w:rsidR="00096946">
        <w:t xml:space="preserve"> in courts</w:t>
      </w:r>
      <w:r w:rsidR="00D10F63">
        <w:t xml:space="preserve">. </w:t>
      </w:r>
      <w:r w:rsidR="00101DA8">
        <w:t>T</w:t>
      </w:r>
      <w:r w:rsidR="00162874">
        <w:t>he Commission agrees that, where possible, the assessment should be based on data from all states. However, given the importance of Indigenous status and regional costs, limiting modelling to</w:t>
      </w:r>
      <w:r w:rsidR="001C2C19">
        <w:t xml:space="preserve"> where</w:t>
      </w:r>
      <w:r w:rsidR="00162874">
        <w:t xml:space="preserve"> data </w:t>
      </w:r>
      <w:r w:rsidR="00D242D4">
        <w:t>are</w:t>
      </w:r>
      <w:r w:rsidR="00732B57">
        <w:t xml:space="preserve"> </w:t>
      </w:r>
      <w:r w:rsidR="00162874">
        <w:t xml:space="preserve">available for every state would </w:t>
      </w:r>
      <w:r w:rsidR="0059452B">
        <w:t xml:space="preserve">limit the assessments that can be undertaken </w:t>
      </w:r>
      <w:r w:rsidR="00407A2B">
        <w:t xml:space="preserve">and would </w:t>
      </w:r>
      <w:r w:rsidR="00162874">
        <w:t>be contrary to the objective of horizontal fiscal equalisation.</w:t>
      </w:r>
    </w:p>
    <w:p w14:paraId="1B9FFF56" w14:textId="4728AF9E" w:rsidR="00B66C5E" w:rsidRDefault="00B66C5E" w:rsidP="00D252B0">
      <w:pPr>
        <w:pStyle w:val="CGC2025ParaNumbers"/>
        <w:tabs>
          <w:tab w:val="clear" w:pos="567"/>
          <w:tab w:val="num" w:pos="709"/>
          <w:tab w:val="num" w:pos="993"/>
        </w:tabs>
      </w:pPr>
      <w:r w:rsidRPr="005A7A28">
        <w:t xml:space="preserve">The Commission </w:t>
      </w:r>
      <w:r w:rsidR="00ED24E5" w:rsidRPr="005A7A28">
        <w:t xml:space="preserve">considers </w:t>
      </w:r>
      <w:r w:rsidR="0032400B" w:rsidRPr="005A7A28">
        <w:t xml:space="preserve">using data from </w:t>
      </w:r>
      <w:r w:rsidR="00DF423F" w:rsidRPr="008B7491">
        <w:t xml:space="preserve">those states </w:t>
      </w:r>
      <w:r w:rsidR="007A4DCB" w:rsidRPr="008B7491">
        <w:t>a</w:t>
      </w:r>
      <w:r w:rsidR="00DF423F" w:rsidRPr="008B7491">
        <w:t xml:space="preserve">ble to provide </w:t>
      </w:r>
      <w:r w:rsidR="006D36C4" w:rsidRPr="008B7491">
        <w:t>fit</w:t>
      </w:r>
      <w:r w:rsidR="00442057">
        <w:noBreakHyphen/>
      </w:r>
      <w:r w:rsidR="006D36C4" w:rsidRPr="008B7491">
        <w:t>for</w:t>
      </w:r>
      <w:r w:rsidR="00442057">
        <w:noBreakHyphen/>
      </w:r>
      <w:r w:rsidR="006D36C4" w:rsidRPr="008B7491">
        <w:t>purpose data</w:t>
      </w:r>
      <w:r w:rsidR="00C1756D" w:rsidRPr="005A7A28">
        <w:t xml:space="preserve"> </w:t>
      </w:r>
      <w:r w:rsidR="00F02B75" w:rsidRPr="005A7A28">
        <w:t xml:space="preserve">provides a reasonable estimate of </w:t>
      </w:r>
      <w:r w:rsidR="002A1654" w:rsidRPr="005A7A28">
        <w:t>the national average</w:t>
      </w:r>
      <w:r w:rsidR="00690A58" w:rsidRPr="005A7A28">
        <w:t xml:space="preserve"> if the</w:t>
      </w:r>
      <w:r w:rsidR="00380C33" w:rsidRPr="005A7A28">
        <w:t>se</w:t>
      </w:r>
      <w:r w:rsidR="00690A58" w:rsidRPr="005A7A28">
        <w:t xml:space="preserve"> states </w:t>
      </w:r>
      <w:r w:rsidR="0002477E" w:rsidRPr="005A7A28">
        <w:t>form</w:t>
      </w:r>
      <w:r w:rsidR="00E30711" w:rsidRPr="005A7A28">
        <w:t xml:space="preserve"> a </w:t>
      </w:r>
      <w:r w:rsidR="00C442E0" w:rsidRPr="005A7A28">
        <w:t>repre</w:t>
      </w:r>
      <w:r w:rsidR="00104039" w:rsidRPr="005A7A28">
        <w:t>sent</w:t>
      </w:r>
      <w:r w:rsidR="00E30711" w:rsidRPr="005A7A28">
        <w:t>ative</w:t>
      </w:r>
      <w:r w:rsidR="00856E5A" w:rsidRPr="005A7A28">
        <w:t xml:space="preserve"> </w:t>
      </w:r>
      <w:r w:rsidR="002A5781" w:rsidRPr="005A7A28">
        <w:t>cross</w:t>
      </w:r>
      <w:r w:rsidR="78D2A164" w:rsidRPr="005A7A28">
        <w:t>-</w:t>
      </w:r>
      <w:r w:rsidR="002A5781" w:rsidRPr="005A7A28">
        <w:t>section</w:t>
      </w:r>
      <w:r w:rsidR="00B6034F" w:rsidRPr="005A7A28">
        <w:t xml:space="preserve"> of all state</w:t>
      </w:r>
      <w:r w:rsidR="00D453A6" w:rsidRPr="005A7A28">
        <w:t>s</w:t>
      </w:r>
      <w:r w:rsidR="00B6034F" w:rsidRPr="005A7A28">
        <w:t>.</w:t>
      </w:r>
      <w:r w:rsidR="006708B2" w:rsidRPr="005A7A28">
        <w:t xml:space="preserve"> </w:t>
      </w:r>
      <w:r w:rsidR="0004153C" w:rsidRPr="005A7A28">
        <w:t>For example, this</w:t>
      </w:r>
      <w:r w:rsidR="00AA43E8" w:rsidRPr="005A7A28">
        <w:t xml:space="preserve"> </w:t>
      </w:r>
      <w:r w:rsidR="001424E2" w:rsidRPr="005A7A28">
        <w:t xml:space="preserve">would be the case if the </w:t>
      </w:r>
      <w:r w:rsidR="00AA43E8" w:rsidRPr="005A7A28">
        <w:t>cross-</w:t>
      </w:r>
      <w:r w:rsidR="003379B5" w:rsidRPr="005A7A28">
        <w:t>section included</w:t>
      </w:r>
      <w:r w:rsidR="0004153C" w:rsidRPr="005A7A28">
        <w:t xml:space="preserve"> states with large remote </w:t>
      </w:r>
      <w:r w:rsidR="00002B66" w:rsidRPr="005A7A28">
        <w:t>regions,</w:t>
      </w:r>
      <w:r w:rsidR="00D51819" w:rsidRPr="005A7A28">
        <w:t xml:space="preserve"> </w:t>
      </w:r>
      <w:r w:rsidR="009D08AB" w:rsidRPr="005A7A28">
        <w:t xml:space="preserve">diverse </w:t>
      </w:r>
      <w:r w:rsidR="00C22FA3" w:rsidRPr="005A7A28">
        <w:t>socio</w:t>
      </w:r>
      <w:r w:rsidR="000769F2">
        <w:noBreakHyphen/>
      </w:r>
      <w:r w:rsidR="00C22FA3" w:rsidRPr="005A7A28">
        <w:t>demographic profiles</w:t>
      </w:r>
      <w:r w:rsidR="003D2F4F" w:rsidRPr="005A7A28">
        <w:t xml:space="preserve"> and</w:t>
      </w:r>
      <w:r w:rsidR="00D51819" w:rsidRPr="005A7A28">
        <w:t xml:space="preserve"> highly populated major</w:t>
      </w:r>
      <w:r w:rsidR="00021B69" w:rsidRPr="005A7A28">
        <w:t xml:space="preserve"> cities</w:t>
      </w:r>
      <w:r w:rsidR="000A4A2D" w:rsidRPr="005A7A28">
        <w:t>.</w:t>
      </w:r>
    </w:p>
    <w:p w14:paraId="454DE6CB" w14:textId="3F210A36" w:rsidR="00306680" w:rsidRPr="00502804" w:rsidRDefault="008A5CC3" w:rsidP="00961685">
      <w:pPr>
        <w:pStyle w:val="CGC2025ParaNumbers"/>
      </w:pPr>
      <w:r>
        <w:t>For the 2025 Review</w:t>
      </w:r>
      <w:r w:rsidR="00CF1B6F">
        <w:t>,</w:t>
      </w:r>
      <w:r>
        <w:t xml:space="preserve"> </w:t>
      </w:r>
      <w:r w:rsidR="00CF1B6F">
        <w:t>t</w:t>
      </w:r>
      <w:r w:rsidR="00306680">
        <w:t>he Commission notes that</w:t>
      </w:r>
      <w:r w:rsidR="00964FE5">
        <w:t xml:space="preserve"> </w:t>
      </w:r>
      <w:r w:rsidR="00306680">
        <w:t>data from all states w</w:t>
      </w:r>
      <w:r w:rsidR="004A5B14">
        <w:t>ere</w:t>
      </w:r>
      <w:r w:rsidR="00306680">
        <w:t xml:space="preserve"> used</w:t>
      </w:r>
      <w:r w:rsidR="00AA0F21">
        <w:t xml:space="preserve"> in the analysis of the socio-demographic composition </w:t>
      </w:r>
      <w:r w:rsidR="00C055EB">
        <w:t>of defendants</w:t>
      </w:r>
      <w:r w:rsidR="00AA0F21">
        <w:t xml:space="preserve"> and</w:t>
      </w:r>
      <w:r w:rsidR="00B21788">
        <w:t xml:space="preserve"> data</w:t>
      </w:r>
      <w:r w:rsidR="00964FE5">
        <w:t xml:space="preserve"> </w:t>
      </w:r>
      <w:r w:rsidR="00C004F7">
        <w:t>f</w:t>
      </w:r>
      <w:r w:rsidR="00F116B9">
        <w:t>ro</w:t>
      </w:r>
      <w:r w:rsidR="00C004F7">
        <w:t xml:space="preserve">m </w:t>
      </w:r>
      <w:r w:rsidR="00964FE5">
        <w:t>6</w:t>
      </w:r>
      <w:r w:rsidR="00CD55BF">
        <w:t> </w:t>
      </w:r>
      <w:r w:rsidR="00964FE5">
        <w:t>states</w:t>
      </w:r>
      <w:r w:rsidR="00C004F7">
        <w:t xml:space="preserve"> in </w:t>
      </w:r>
      <w:r w:rsidR="002526C9">
        <w:t xml:space="preserve">the analysis of </w:t>
      </w:r>
      <w:r w:rsidR="002526C9" w:rsidRPr="00502804">
        <w:t>regional costs.</w:t>
      </w:r>
      <w:r w:rsidR="00964FE5" w:rsidRPr="00502804">
        <w:t xml:space="preserve"> </w:t>
      </w:r>
      <w:r w:rsidR="00680ACE">
        <w:t>This also means that data</w:t>
      </w:r>
      <w:r w:rsidR="00961685">
        <w:t xml:space="preserve"> from all states</w:t>
      </w:r>
      <w:r w:rsidR="00680ACE">
        <w:t xml:space="preserve"> are used in </w:t>
      </w:r>
      <w:r w:rsidR="005F4043">
        <w:t xml:space="preserve">calculating </w:t>
      </w:r>
      <w:r w:rsidR="00680ACE">
        <w:t xml:space="preserve">the </w:t>
      </w:r>
      <w:r w:rsidR="00961685" w:rsidRPr="00961685">
        <w:t>proxy for prisoner socio-economic status</w:t>
      </w:r>
      <w:r w:rsidR="00961685">
        <w:t>.</w:t>
      </w:r>
    </w:p>
    <w:p w14:paraId="601750F7" w14:textId="6730C572" w:rsidR="002413DD" w:rsidRDefault="00D664DD" w:rsidP="002413DD">
      <w:pPr>
        <w:pStyle w:val="Heading5"/>
      </w:pPr>
      <w:bookmarkStart w:id="21" w:name="_Hlk211503150"/>
      <w:r>
        <w:lastRenderedPageBreak/>
        <w:t xml:space="preserve">Treatment of non-stated </w:t>
      </w:r>
      <w:r w:rsidR="006E73C9">
        <w:t>Indigenous status</w:t>
      </w:r>
    </w:p>
    <w:bookmarkEnd w:id="21"/>
    <w:p w14:paraId="6BBE2628" w14:textId="661406A3" w:rsidR="006E73C9" w:rsidRDefault="00B8098C" w:rsidP="006E73C9">
      <w:pPr>
        <w:pStyle w:val="CGC2025ParaNumbers"/>
      </w:pPr>
      <w:r w:rsidRPr="00B8098C">
        <w:t>In the 2020 Review</w:t>
      </w:r>
      <w:r w:rsidR="008D2D3A">
        <w:t>,</w:t>
      </w:r>
      <w:r w:rsidRPr="00B8098C">
        <w:t xml:space="preserve"> the Commission was concerned that attributing Indigenous status to no</w:t>
      </w:r>
      <w:r w:rsidR="00BD2D47">
        <w:t>n</w:t>
      </w:r>
      <w:r w:rsidRPr="00B8098C">
        <w:t>-stated finalised defendants by shares of stated defendant responses would overestimate the number of First Nations finalised defendants.</w:t>
      </w:r>
      <w:r w:rsidR="001073D7">
        <w:t xml:space="preserve"> Afte</w:t>
      </w:r>
      <w:r w:rsidR="00996830">
        <w:t>r analysing Western Australian traffic offence data</w:t>
      </w:r>
      <w:r w:rsidR="00C429FF">
        <w:t>,</w:t>
      </w:r>
      <w:r w:rsidRPr="00B8098C">
        <w:t xml:space="preserve"> </w:t>
      </w:r>
      <w:r w:rsidR="00996830">
        <w:t>i</w:t>
      </w:r>
      <w:r w:rsidRPr="00B8098C">
        <w:t xml:space="preserve">t considered </w:t>
      </w:r>
      <w:r w:rsidR="0067657E" w:rsidRPr="00B8098C">
        <w:t>most</w:t>
      </w:r>
      <w:r w:rsidRPr="00B8098C">
        <w:t xml:space="preserve"> First Nations offenders may have already been identified in the data.</w:t>
      </w:r>
    </w:p>
    <w:p w14:paraId="0AEA129F" w14:textId="77777777" w:rsidR="00DD70BA" w:rsidRPr="00673B66" w:rsidRDefault="00DD70BA" w:rsidP="0060136E">
      <w:pPr>
        <w:pStyle w:val="CGC2025ParaNumbers"/>
        <w:tabs>
          <w:tab w:val="clear" w:pos="567"/>
          <w:tab w:val="num" w:pos="709"/>
          <w:tab w:val="num" w:pos="993"/>
        </w:tabs>
      </w:pPr>
      <w:r>
        <w:t>D</w:t>
      </w:r>
      <w:r w:rsidRPr="00673B66">
        <w:t xml:space="preserve">ata provided by Western Australia for the 2020 Review showed a large proportion of the state’s non-stated defendant responses for traffic offences came from areas where First Nations people make up a smaller proportion of the population. </w:t>
      </w:r>
    </w:p>
    <w:p w14:paraId="50D90805" w14:textId="16AABFF3" w:rsidR="00DD70BA" w:rsidRDefault="00DD70BA" w:rsidP="0060136E">
      <w:pPr>
        <w:pStyle w:val="CGC2025ParaNumbers"/>
        <w:tabs>
          <w:tab w:val="clear" w:pos="567"/>
          <w:tab w:val="num" w:pos="709"/>
          <w:tab w:val="num" w:pos="993"/>
        </w:tabs>
      </w:pPr>
      <w:r>
        <w:t>Western Australia’s 2022–23 data show 24% of finalised defendants (</w:t>
      </w:r>
      <w:r w:rsidRPr="00673B66">
        <w:t xml:space="preserve">before </w:t>
      </w:r>
      <w:r>
        <w:t>attributing</w:t>
      </w:r>
      <w:r w:rsidRPr="00673B66">
        <w:t xml:space="preserve"> </w:t>
      </w:r>
      <w:r>
        <w:t>Indigenous status to</w:t>
      </w:r>
      <w:r w:rsidRPr="00673B66">
        <w:t xml:space="preserve"> no</w:t>
      </w:r>
      <w:r w:rsidR="00BD2D47">
        <w:t>n</w:t>
      </w:r>
      <w:r w:rsidRPr="00673B66">
        <w:t>-stated responses</w:t>
      </w:r>
      <w:r>
        <w:t>) identified as First Nations.</w:t>
      </w:r>
      <w:r w:rsidRPr="00F17A14">
        <w:rPr>
          <w:vertAlign w:val="superscript"/>
        </w:rPr>
        <w:footnoteReference w:id="14"/>
      </w:r>
      <w:r>
        <w:t xml:space="preserve"> This proportion of First Nations responses more closely aligns with 2020 Review data when no</w:t>
      </w:r>
      <w:r w:rsidR="00BD2D47">
        <w:t>n</w:t>
      </w:r>
      <w:r>
        <w:t xml:space="preserve">-stated responses are attributed by </w:t>
      </w:r>
      <w:r w:rsidRPr="00673B66">
        <w:t>share</w:t>
      </w:r>
      <w:r>
        <w:t>s</w:t>
      </w:r>
      <w:r w:rsidRPr="00673B66">
        <w:t xml:space="preserve"> of stated defendant responses </w:t>
      </w:r>
      <w:r>
        <w:t xml:space="preserve">(23% First Nations) rather than population shares (16% First Nations). </w:t>
      </w:r>
    </w:p>
    <w:p w14:paraId="62F20F79" w14:textId="2F928ADF" w:rsidR="00DD70BA" w:rsidRDefault="00DD70BA" w:rsidP="009252C7">
      <w:pPr>
        <w:pStyle w:val="CGC2025ParaNumbers"/>
        <w:tabs>
          <w:tab w:val="clear" w:pos="567"/>
          <w:tab w:val="num" w:pos="709"/>
          <w:tab w:val="num" w:pos="993"/>
        </w:tabs>
      </w:pPr>
      <w:r w:rsidRPr="00673B66">
        <w:t>The Commission also note</w:t>
      </w:r>
      <w:r w:rsidR="00B10495">
        <w:t>d</w:t>
      </w:r>
      <w:r w:rsidRPr="00673B66">
        <w:t xml:space="preserve"> that the proportion of no</w:t>
      </w:r>
      <w:r w:rsidR="00BD2D47">
        <w:t>n</w:t>
      </w:r>
      <w:r w:rsidRPr="00673B66">
        <w:t xml:space="preserve">-stated defendant responses has fallen to 7% in </w:t>
      </w:r>
      <w:r>
        <w:t>the</w:t>
      </w:r>
      <w:r w:rsidRPr="00673B66">
        <w:t xml:space="preserve"> 2022–23 data down from 41% in the 2020 Review data.</w:t>
      </w:r>
    </w:p>
    <w:p w14:paraId="6E92DDCA" w14:textId="23E64C54" w:rsidR="008847A2" w:rsidRDefault="000D7A39" w:rsidP="006E73C9">
      <w:pPr>
        <w:pStyle w:val="CGC2025ParaNumbers"/>
      </w:pPr>
      <w:r>
        <w:t>T</w:t>
      </w:r>
      <w:r w:rsidR="004E3AEB" w:rsidRPr="004E3AEB">
        <w:t>he Commission considers that attributing Indigenous status to no</w:t>
      </w:r>
      <w:r w:rsidR="00BD2D47">
        <w:t>n</w:t>
      </w:r>
      <w:r w:rsidR="004E3AEB" w:rsidRPr="004E3AEB">
        <w:t>-stated finalised defendants by shares of stated defendant responses would not overestimate the number of First Nations finalised defendants</w:t>
      </w:r>
      <w:r w:rsidR="004E3AEB">
        <w:t>.</w:t>
      </w:r>
    </w:p>
    <w:p w14:paraId="1CBD4A27" w14:textId="1960DEC1" w:rsidR="00422EF0" w:rsidRDefault="008A6DA7" w:rsidP="002B0BB9">
      <w:pPr>
        <w:pStyle w:val="CGC2025ParaNumbers"/>
      </w:pPr>
      <w:r>
        <w:t xml:space="preserve">The Commission does not consider </w:t>
      </w:r>
      <w:r w:rsidR="00EC27A3">
        <w:t xml:space="preserve">the Northern Territory’s proposal to not allocate non-stated defendants to be </w:t>
      </w:r>
      <w:r w:rsidR="00DC4A9C">
        <w:t>an improvement to the method.</w:t>
      </w:r>
      <w:r w:rsidR="00EC27A3">
        <w:t xml:space="preserve"> </w:t>
      </w:r>
      <w:r w:rsidR="00422EF0">
        <w:t>As part of creating the defendant socio-demographic composition profiles, state data are scaled to ABS totals to improve the comparability of data. Scaling data with non</w:t>
      </w:r>
      <w:r w:rsidR="004872F9">
        <w:noBreakHyphen/>
      </w:r>
      <w:r w:rsidR="00422EF0">
        <w:t>stated responses removed would effectively add the influence of non-stated responses in a less precise manner. The Commission’s proposed attribution method accounts for different age, socio-economic status and remoteness profiles of defendants.</w:t>
      </w:r>
    </w:p>
    <w:p w14:paraId="4E972BBD" w14:textId="53390595" w:rsidR="0018677D" w:rsidRDefault="00422EF0" w:rsidP="00422EF0">
      <w:pPr>
        <w:pStyle w:val="CGC2025ParaNumbers"/>
      </w:pPr>
      <w:r>
        <w:t xml:space="preserve">The simplest option for removing the influence of non-stated responses would be to not scale to the ABS totals. However, this would have implications for data comparability. The Commission considers the scaling of defendant data an important step in improving data comparability and </w:t>
      </w:r>
      <w:r w:rsidR="007C17C7">
        <w:t>the</w:t>
      </w:r>
      <w:r>
        <w:t xml:space="preserve"> robustness of the assessment.</w:t>
      </w:r>
    </w:p>
    <w:p w14:paraId="03BF50F8" w14:textId="110BD154" w:rsidR="00CE1CAE" w:rsidRDefault="00CE1CAE" w:rsidP="00CE1CAE">
      <w:pPr>
        <w:pStyle w:val="Heading4"/>
      </w:pPr>
      <w:r w:rsidRPr="005250AF">
        <w:t xml:space="preserve">Commission </w:t>
      </w:r>
      <w:r>
        <w:t xml:space="preserve">decision </w:t>
      </w:r>
    </w:p>
    <w:p w14:paraId="420784F4" w14:textId="1AA4525A" w:rsidR="00D3256E" w:rsidRDefault="009F7178" w:rsidP="00521D92">
      <w:pPr>
        <w:pStyle w:val="CGC2025ParaNumbers"/>
      </w:pPr>
      <w:r>
        <w:t>T</w:t>
      </w:r>
      <w:r w:rsidR="00D3256E">
        <w:t>he</w:t>
      </w:r>
      <w:r w:rsidR="00550449" w:rsidRPr="00550449">
        <w:t xml:space="preserve"> Commission </w:t>
      </w:r>
      <w:r w:rsidR="009347E7">
        <w:t>will</w:t>
      </w:r>
      <w:r w:rsidR="0029149D">
        <w:t>:</w:t>
      </w:r>
    </w:p>
    <w:p w14:paraId="537232A9" w14:textId="471197FE" w:rsidR="00550449" w:rsidRPr="00C431AE" w:rsidRDefault="000473AD" w:rsidP="00E95785">
      <w:pPr>
        <w:pStyle w:val="CGC2025Bullet1"/>
      </w:pPr>
      <w:r>
        <w:t>u</w:t>
      </w:r>
      <w:r w:rsidR="00550449" w:rsidRPr="00C431AE">
        <w:t xml:space="preserve">se data from all states in the </w:t>
      </w:r>
      <w:r w:rsidR="00D53427" w:rsidRPr="00D53427">
        <w:t>socio</w:t>
      </w:r>
      <w:r w:rsidR="00D53427" w:rsidRPr="00D53427">
        <w:noBreakHyphen/>
        <w:t xml:space="preserve">demographic composition calculation </w:t>
      </w:r>
      <w:r w:rsidR="00D53427">
        <w:t>for</w:t>
      </w:r>
      <w:r w:rsidR="00D5689F">
        <w:t xml:space="preserve"> the</w:t>
      </w:r>
      <w:r w:rsidR="00D53427">
        <w:t xml:space="preserve"> </w:t>
      </w:r>
      <w:r w:rsidR="00550449" w:rsidRPr="00C431AE">
        <w:t>criminal courts component</w:t>
      </w:r>
    </w:p>
    <w:p w14:paraId="60A190D7" w14:textId="7DE73795" w:rsidR="00D43E77" w:rsidRPr="00323144" w:rsidRDefault="000473AD" w:rsidP="000B1723">
      <w:pPr>
        <w:pStyle w:val="CGC2025Bullet1"/>
      </w:pPr>
      <w:r>
        <w:t>a</w:t>
      </w:r>
      <w:r w:rsidR="00482431" w:rsidRPr="00323144">
        <w:t>ttribute Indigenous status to no</w:t>
      </w:r>
      <w:r w:rsidR="00BD2D47">
        <w:t>n</w:t>
      </w:r>
      <w:r w:rsidR="00482431" w:rsidRPr="00323144">
        <w:t>-stated finalised defendants by the proportion of the stated defendant responses.</w:t>
      </w:r>
    </w:p>
    <w:p w14:paraId="33F5B156" w14:textId="79E5AA48" w:rsidR="00853A0E" w:rsidRPr="00ED102F" w:rsidRDefault="00853A0E" w:rsidP="00853A0E">
      <w:pPr>
        <w:pStyle w:val="Heading3"/>
        <w:keepNext/>
      </w:pPr>
      <w:r>
        <w:lastRenderedPageBreak/>
        <w:t>Other legal services</w:t>
      </w:r>
      <w:r w:rsidR="00247154">
        <w:t xml:space="preserve"> data</w:t>
      </w:r>
    </w:p>
    <w:p w14:paraId="73A0F7DF" w14:textId="19AD138C" w:rsidR="00853A0E" w:rsidRPr="00DC15D0" w:rsidRDefault="00CB2D09" w:rsidP="00CB2D09">
      <w:pPr>
        <w:pStyle w:val="CGC2025ParaNumbers"/>
      </w:pPr>
      <w:r w:rsidRPr="00493AB3">
        <w:t xml:space="preserve">In response to state comments, the Commission considered </w:t>
      </w:r>
      <w:r w:rsidR="00C3312E" w:rsidRPr="00493AB3">
        <w:t xml:space="preserve">whether the </w:t>
      </w:r>
      <w:r w:rsidR="00D746C5" w:rsidRPr="00493AB3">
        <w:t>method used to split criminal courts and other</w:t>
      </w:r>
      <w:r w:rsidR="00636FBA" w:rsidRPr="00493AB3">
        <w:t xml:space="preserve"> legal</w:t>
      </w:r>
      <w:r w:rsidR="00D746C5" w:rsidRPr="00493AB3">
        <w:t xml:space="preserve"> </w:t>
      </w:r>
      <w:r w:rsidR="00636FBA" w:rsidRPr="00493AB3">
        <w:t xml:space="preserve">services </w:t>
      </w:r>
      <w:r w:rsidR="005A27E0" w:rsidRPr="00493AB3">
        <w:t>was appropriate.</w:t>
      </w:r>
    </w:p>
    <w:p w14:paraId="015218BB" w14:textId="77777777" w:rsidR="00853A0E" w:rsidRPr="008675B1" w:rsidRDefault="00853A0E" w:rsidP="00853A0E">
      <w:pPr>
        <w:pStyle w:val="Heading4"/>
      </w:pPr>
      <w:r>
        <w:t>State views</w:t>
      </w:r>
    </w:p>
    <w:p w14:paraId="458B7502" w14:textId="52CC6287" w:rsidR="00853A0E" w:rsidRDefault="00A25B8B" w:rsidP="00853A0E">
      <w:pPr>
        <w:pStyle w:val="CGC2025ParaNumbers"/>
      </w:pPr>
      <w:r>
        <w:t>Victoria</w:t>
      </w:r>
      <w:r w:rsidR="00654389" w:rsidRPr="00654389">
        <w:t xml:space="preserve"> </w:t>
      </w:r>
      <w:r>
        <w:t>said</w:t>
      </w:r>
      <w:r w:rsidR="00654389" w:rsidRPr="00654389">
        <w:t xml:space="preserve"> </w:t>
      </w:r>
      <w:r w:rsidR="008A5CE4">
        <w:t xml:space="preserve">the expense split between criminal courts and other legal services was unreliable because it relied heavily on state data that </w:t>
      </w:r>
      <w:r w:rsidR="00B17F6F">
        <w:t>w</w:t>
      </w:r>
      <w:r w:rsidR="00B074E3">
        <w:t>ere</w:t>
      </w:r>
      <w:r w:rsidR="00B17F6F">
        <w:t xml:space="preserve"> not comparable. It said </w:t>
      </w:r>
      <w:r w:rsidR="00654389" w:rsidRPr="00654389">
        <w:t>the data had high levels of variability</w:t>
      </w:r>
      <w:r w:rsidR="005C7F2A">
        <w:t>,</w:t>
      </w:r>
      <w:r w:rsidR="00654389" w:rsidRPr="00654389">
        <w:t xml:space="preserve"> likely due to classification inconsistencies between states. </w:t>
      </w:r>
    </w:p>
    <w:p w14:paraId="106FD643" w14:textId="092EC0FF" w:rsidR="00A25B8B" w:rsidRPr="006F4B10" w:rsidRDefault="004D3C1A" w:rsidP="00853A0E">
      <w:pPr>
        <w:pStyle w:val="CGC2025ParaNumbers"/>
      </w:pPr>
      <w:r w:rsidRPr="004D3C1A">
        <w:t xml:space="preserve">Victoria recommended the Commission use the </w:t>
      </w:r>
      <w:r w:rsidRPr="0085074A">
        <w:rPr>
          <w:i/>
          <w:iCs/>
        </w:rPr>
        <w:t>Report on Government Services</w:t>
      </w:r>
      <w:r w:rsidRPr="004D3C1A">
        <w:t xml:space="preserve"> criminal court expenditure data for criminal and civil courts and place any remaining difference between expense totals in </w:t>
      </w:r>
      <w:r w:rsidRPr="0085074A">
        <w:rPr>
          <w:i/>
          <w:iCs/>
        </w:rPr>
        <w:t>Report on Government Services</w:t>
      </w:r>
      <w:r w:rsidRPr="004D3C1A">
        <w:t xml:space="preserve"> data and Government Financ</w:t>
      </w:r>
      <w:r w:rsidR="000F10EB">
        <w:t>e</w:t>
      </w:r>
      <w:r w:rsidRPr="004D3C1A">
        <w:t xml:space="preserve"> Statistics data into the other legal services component. </w:t>
      </w:r>
      <w:r w:rsidR="009E145D">
        <w:t xml:space="preserve"> </w:t>
      </w:r>
    </w:p>
    <w:p w14:paraId="1214949D" w14:textId="77777777" w:rsidR="00853A0E" w:rsidRPr="008675B1" w:rsidRDefault="00853A0E" w:rsidP="00853A0E">
      <w:pPr>
        <w:pStyle w:val="Heading4"/>
      </w:pPr>
      <w:r>
        <w:t>Commission response</w:t>
      </w:r>
    </w:p>
    <w:p w14:paraId="12A5684B" w14:textId="2C1D9987" w:rsidR="00121351" w:rsidRDefault="00121351" w:rsidP="00452469">
      <w:pPr>
        <w:pStyle w:val="CGC2025ParaNumbers"/>
      </w:pPr>
      <w:r w:rsidRPr="00121351">
        <w:t xml:space="preserve">The Commission has previously explored using </w:t>
      </w:r>
      <w:r w:rsidRPr="00452469">
        <w:rPr>
          <w:i/>
          <w:iCs/>
        </w:rPr>
        <w:t>Report on Government Services</w:t>
      </w:r>
      <w:r w:rsidRPr="00121351">
        <w:t xml:space="preserve"> data for splitting criminal courts and other legal services but found </w:t>
      </w:r>
      <w:r w:rsidR="00A235CB">
        <w:t>the</w:t>
      </w:r>
      <w:r w:rsidR="00432136">
        <w:t xml:space="preserve"> data</w:t>
      </w:r>
      <w:r w:rsidRPr="00121351">
        <w:t xml:space="preserve"> unsuitable</w:t>
      </w:r>
      <w:r>
        <w:t>.</w:t>
      </w:r>
      <w:r w:rsidR="00452469">
        <w:t xml:space="preserve"> </w:t>
      </w:r>
      <w:r w:rsidR="00336CA2">
        <w:t xml:space="preserve">There are some legal services related to both </w:t>
      </w:r>
      <w:r w:rsidR="00A62B04">
        <w:t xml:space="preserve">criminal courts and other legal services that are excluded from these data. </w:t>
      </w:r>
      <w:r w:rsidR="00FB74FD">
        <w:t>The Commission considers</w:t>
      </w:r>
      <w:r w:rsidR="002365DD">
        <w:t xml:space="preserve"> s</w:t>
      </w:r>
      <w:r w:rsidR="00992B76" w:rsidRPr="00992B76">
        <w:t>plitting court expenses in th</w:t>
      </w:r>
      <w:r w:rsidR="002365DD">
        <w:t>is</w:t>
      </w:r>
      <w:r w:rsidR="00992B76" w:rsidRPr="00992B76">
        <w:t xml:space="preserve"> manner</w:t>
      </w:r>
      <w:r w:rsidR="00992B76">
        <w:t xml:space="preserve"> </w:t>
      </w:r>
      <w:r w:rsidR="002365DD">
        <w:t>does</w:t>
      </w:r>
      <w:r w:rsidR="00992B76" w:rsidRPr="00992B76">
        <w:t xml:space="preserve"> not provide the best estimate of costs incurred by states’ criminal courts and other legal services.</w:t>
      </w:r>
    </w:p>
    <w:p w14:paraId="28125099" w14:textId="77777777" w:rsidR="00853A0E" w:rsidRDefault="00853A0E" w:rsidP="00853A0E">
      <w:pPr>
        <w:pStyle w:val="Heading4"/>
      </w:pPr>
      <w:r w:rsidRPr="005250AF">
        <w:t xml:space="preserve">Commission </w:t>
      </w:r>
      <w:r>
        <w:t xml:space="preserve">decision </w:t>
      </w:r>
    </w:p>
    <w:p w14:paraId="40844C29" w14:textId="5D9311E7" w:rsidR="00CE1CAE" w:rsidRPr="00CE1CAE" w:rsidRDefault="009F7178" w:rsidP="00CE1CAE">
      <w:pPr>
        <w:pStyle w:val="CGC2025ParaNumbers"/>
      </w:pPr>
      <w:r>
        <w:t>T</w:t>
      </w:r>
      <w:r w:rsidR="00EE0199" w:rsidRPr="00EE0199">
        <w:t xml:space="preserve">he Commission </w:t>
      </w:r>
      <w:r w:rsidR="0082040A">
        <w:t>will</w:t>
      </w:r>
      <w:r w:rsidR="00EE0199" w:rsidRPr="00EE0199">
        <w:t xml:space="preserve"> continue to use data provided by states for the 2025</w:t>
      </w:r>
      <w:r w:rsidR="00EE0199">
        <w:t> </w:t>
      </w:r>
      <w:r w:rsidR="00EE0199" w:rsidRPr="00EE0199">
        <w:t xml:space="preserve">Review to split other legal services </w:t>
      </w:r>
      <w:r w:rsidR="002447BE">
        <w:t xml:space="preserve">expenses from </w:t>
      </w:r>
      <w:r w:rsidR="00EE0199" w:rsidRPr="00EE0199">
        <w:t>criminal court expenses.</w:t>
      </w:r>
    </w:p>
    <w:p w14:paraId="0B601527" w14:textId="47763D83" w:rsidR="00E63A28" w:rsidRPr="00E23631" w:rsidRDefault="002B3275" w:rsidP="009252C7">
      <w:pPr>
        <w:pStyle w:val="Heading3"/>
        <w:keepNext/>
      </w:pPr>
      <w:bookmarkStart w:id="22" w:name="_Hlk211431406"/>
      <w:r>
        <w:t>Prisons</w:t>
      </w:r>
      <w:r w:rsidR="00414217">
        <w:t xml:space="preserve"> </w:t>
      </w:r>
      <w:r w:rsidR="004D6B3A">
        <w:t>assessment</w:t>
      </w:r>
      <w:r w:rsidR="00202541">
        <w:t xml:space="preserve"> </w:t>
      </w:r>
      <w:r w:rsidR="006D18B1">
        <w:t>–</w:t>
      </w:r>
      <w:r w:rsidR="00202541">
        <w:t xml:space="preserve"> </w:t>
      </w:r>
      <w:r w:rsidR="006D18B1">
        <w:t>regional and service d</w:t>
      </w:r>
      <w:r w:rsidR="001F6DE6">
        <w:t>elivery scale</w:t>
      </w:r>
      <w:r w:rsidR="006D18B1">
        <w:t xml:space="preserve"> costs</w:t>
      </w:r>
    </w:p>
    <w:p w14:paraId="7BB455C8" w14:textId="75DAC4C3" w:rsidR="00DC211A" w:rsidRPr="00A53F2E" w:rsidRDefault="00A35232" w:rsidP="00521E5C">
      <w:pPr>
        <w:pStyle w:val="CGC2025ParaNumbers"/>
      </w:pPr>
      <w:r>
        <w:t xml:space="preserve">Following analysis of </w:t>
      </w:r>
      <w:r w:rsidR="003279F4">
        <w:t>2022–23 and 2023–24 data</w:t>
      </w:r>
      <w:r w:rsidR="000F135E">
        <w:t xml:space="preserve">, the Commission </w:t>
      </w:r>
      <w:r w:rsidR="000F135E" w:rsidRPr="008B7491">
        <w:t xml:space="preserve">considered </w:t>
      </w:r>
      <w:r w:rsidR="00545AE8" w:rsidRPr="008B7491">
        <w:t>its</w:t>
      </w:r>
      <w:r w:rsidR="002C3C6A" w:rsidRPr="008B7491">
        <w:t xml:space="preserve"> approach to </w:t>
      </w:r>
      <w:r w:rsidR="000F32A8" w:rsidRPr="008B7491">
        <w:t>assessing</w:t>
      </w:r>
      <w:r w:rsidR="002C3C6A">
        <w:t xml:space="preserve"> regional </w:t>
      </w:r>
      <w:r w:rsidR="00580001">
        <w:t xml:space="preserve">and service delivery </w:t>
      </w:r>
      <w:r w:rsidR="00CD38CC">
        <w:t xml:space="preserve">scale </w:t>
      </w:r>
      <w:r w:rsidR="00580001">
        <w:t>costs in the prisons assessment.</w:t>
      </w:r>
      <w:r w:rsidR="00E33358">
        <w:t xml:space="preserve"> The Commission proposed to use the general service delivery scale cost</w:t>
      </w:r>
      <w:r w:rsidR="00CD38CC">
        <w:t>s</w:t>
      </w:r>
      <w:r w:rsidR="00E33358">
        <w:t xml:space="preserve"> gradient (discounted by 25%) to assess service delivery scale</w:t>
      </w:r>
      <w:r w:rsidR="008778DE">
        <w:t xml:space="preserve"> costs</w:t>
      </w:r>
      <w:r w:rsidR="00E33358">
        <w:t xml:space="preserve"> in prisons and not assess regional costs.</w:t>
      </w:r>
    </w:p>
    <w:p w14:paraId="66B28FBD" w14:textId="10232F39" w:rsidR="00DD6AC1" w:rsidRDefault="00662E5E" w:rsidP="00662E5E">
      <w:pPr>
        <w:pStyle w:val="Heading4"/>
      </w:pPr>
      <w:r>
        <w:t>State views</w:t>
      </w:r>
    </w:p>
    <w:p w14:paraId="13ADA4D2" w14:textId="502B2673" w:rsidR="00B37FA3" w:rsidRDefault="00B37FA3" w:rsidP="00B37FA3">
      <w:pPr>
        <w:pStyle w:val="CGC2025ParaNumbers"/>
      </w:pPr>
      <w:r>
        <w:t xml:space="preserve">Tasmania and the Northern Territory supported the Commission’s proposal to use the general service delivery scale </w:t>
      </w:r>
      <w:r w:rsidR="0093387F">
        <w:t xml:space="preserve">costs </w:t>
      </w:r>
      <w:r>
        <w:t xml:space="preserve">gradient in the prisons assessment.  </w:t>
      </w:r>
    </w:p>
    <w:p w14:paraId="30A67828" w14:textId="5CCC3631" w:rsidR="00B37FA3" w:rsidRDefault="00B37FA3" w:rsidP="00B37FA3">
      <w:pPr>
        <w:pStyle w:val="CGC2025ParaNumbers"/>
      </w:pPr>
      <w:r>
        <w:t xml:space="preserve">Tasmania said that it supported the conceptual case for service delivery scale </w:t>
      </w:r>
      <w:r w:rsidR="0018659D">
        <w:t xml:space="preserve">costs </w:t>
      </w:r>
      <w:r>
        <w:t>in prisons and acknowledged that data limitations precluded the option of calculating a prisons</w:t>
      </w:r>
      <w:r w:rsidR="00791E70">
        <w:t>-</w:t>
      </w:r>
      <w:r>
        <w:t xml:space="preserve">specific service delivery scale </w:t>
      </w:r>
      <w:r w:rsidR="0093387F">
        <w:t xml:space="preserve">costs </w:t>
      </w:r>
      <w:r>
        <w:t xml:space="preserve">gradient.  </w:t>
      </w:r>
    </w:p>
    <w:p w14:paraId="74FA3EBA" w14:textId="7DC83955" w:rsidR="00B37FA3" w:rsidRDefault="00B37FA3" w:rsidP="00B37FA3">
      <w:pPr>
        <w:pStyle w:val="CGC2025ParaNumbers"/>
      </w:pPr>
      <w:r>
        <w:t>The Northern Territory said that the lack of observable relationships in prisons was due to data limitations. The Northern Territory supported remov</w:t>
      </w:r>
      <w:r w:rsidR="008C3856">
        <w:t>ing</w:t>
      </w:r>
      <w:r>
        <w:t xml:space="preserve"> the 2020</w:t>
      </w:r>
      <w:r w:rsidR="004C58F9">
        <w:t> </w:t>
      </w:r>
      <w:r>
        <w:t xml:space="preserve">Review </w:t>
      </w:r>
      <w:r>
        <w:lastRenderedPageBreak/>
        <w:t xml:space="preserve">prisons regional </w:t>
      </w:r>
      <w:r w:rsidR="005E70BF">
        <w:t xml:space="preserve">costs </w:t>
      </w:r>
      <w:r>
        <w:t xml:space="preserve">gradient and applying the general service delivery scale </w:t>
      </w:r>
      <w:r w:rsidR="0093387F">
        <w:t xml:space="preserve">costs </w:t>
      </w:r>
      <w:r>
        <w:t xml:space="preserve">gradient instead. As an alternative, the Northern Territory suggested the Commission could apply the general regional and service delivery scale </w:t>
      </w:r>
      <w:r w:rsidR="0093387F">
        <w:t xml:space="preserve">costs </w:t>
      </w:r>
      <w:r>
        <w:t>gradient. The Northern</w:t>
      </w:r>
      <w:r w:rsidR="00126CA5">
        <w:t> </w:t>
      </w:r>
      <w:r>
        <w:t xml:space="preserve">Territory also said that </w:t>
      </w:r>
      <w:r w:rsidRPr="00EB79DE">
        <w:t xml:space="preserve">if the service delivery scale </w:t>
      </w:r>
      <w:r w:rsidR="0093387F">
        <w:t xml:space="preserve">costs </w:t>
      </w:r>
      <w:r w:rsidRPr="00EB79DE">
        <w:t>gradient is adjusted to group together remote and non-remote regions, then the 25% discount should be removed.</w:t>
      </w:r>
    </w:p>
    <w:p w14:paraId="44D4C6EC" w14:textId="42609C29" w:rsidR="00E543ED" w:rsidRDefault="00882021" w:rsidP="00DA28AD">
      <w:pPr>
        <w:pStyle w:val="CGC2025ParaNumbers"/>
      </w:pPr>
      <w:r>
        <w:t xml:space="preserve">The ACT supported assessing service delivery scale costs in prisons but did not support the use of the general service delivery scale </w:t>
      </w:r>
      <w:r w:rsidR="0093387F">
        <w:t xml:space="preserve">costs </w:t>
      </w:r>
      <w:r>
        <w:t>gradient in the assessment. The ACT said that there was a lack of evidence that service delivery scale in schools and health are similar to those in prisons. The ACT said that if a gradient w</w:t>
      </w:r>
      <w:r w:rsidR="00E458A2">
        <w:t>ere</w:t>
      </w:r>
      <w:r>
        <w:t xml:space="preserve"> applied, it should be discounted further and the cost weight applied to remote and non-remote areas should be combined.</w:t>
      </w:r>
    </w:p>
    <w:p w14:paraId="65C5530A" w14:textId="7AC2CB5A" w:rsidR="00FD7891" w:rsidRPr="00F16E2F" w:rsidRDefault="002F305B" w:rsidP="00BA1895">
      <w:pPr>
        <w:pStyle w:val="CGC2025ParaNumbers"/>
      </w:pPr>
      <w:r w:rsidRPr="00F16E2F">
        <w:t xml:space="preserve">The ACT </w:t>
      </w:r>
      <w:r w:rsidR="00987A51">
        <w:t xml:space="preserve">also noted it </w:t>
      </w:r>
      <w:r w:rsidRPr="00F16E2F">
        <w:t>would be treated as a major city,</w:t>
      </w:r>
      <w:r w:rsidR="00693232" w:rsidRPr="00F16E2F">
        <w:t xml:space="preserve"> </w:t>
      </w:r>
      <w:r w:rsidR="00A72CCC" w:rsidRPr="00F16E2F">
        <w:t>t</w:t>
      </w:r>
      <w:r w:rsidR="00693232" w:rsidRPr="00F16E2F">
        <w:t>hereby excludi</w:t>
      </w:r>
      <w:r w:rsidR="006509FF" w:rsidRPr="00F16E2F">
        <w:t xml:space="preserve">ng it from being assessed to </w:t>
      </w:r>
      <w:r w:rsidR="008C18D6" w:rsidRPr="00F16E2F">
        <w:t>incur</w:t>
      </w:r>
      <w:r w:rsidR="006509FF" w:rsidRPr="00F16E2F">
        <w:t xml:space="preserve"> service delivery scale costs in delivering prison services. </w:t>
      </w:r>
      <w:r w:rsidR="00914908" w:rsidRPr="00F16E2F">
        <w:t xml:space="preserve">The ACT </w:t>
      </w:r>
      <w:r w:rsidR="00987A51">
        <w:t xml:space="preserve">said </w:t>
      </w:r>
      <w:r w:rsidR="00914908" w:rsidRPr="00F16E2F">
        <w:t>that it faced cost challenges</w:t>
      </w:r>
      <w:r w:rsidR="00923316" w:rsidRPr="00F16E2F">
        <w:t>, such as service delivery scale costs,</w:t>
      </w:r>
      <w:r w:rsidR="00914908" w:rsidRPr="00F16E2F">
        <w:t xml:space="preserve"> </w:t>
      </w:r>
      <w:r w:rsidR="00923316" w:rsidRPr="00F16E2F">
        <w:t xml:space="preserve">similar to </w:t>
      </w:r>
      <w:r w:rsidR="00D11622" w:rsidRPr="00F16E2F">
        <w:t xml:space="preserve">Tasmania </w:t>
      </w:r>
      <w:r w:rsidR="001F4AB6">
        <w:t>and</w:t>
      </w:r>
      <w:r w:rsidR="00D11622" w:rsidRPr="00F16E2F">
        <w:t xml:space="preserve"> the Northern</w:t>
      </w:r>
      <w:r w:rsidR="001B29E9" w:rsidRPr="00F16E2F">
        <w:t> </w:t>
      </w:r>
      <w:r w:rsidR="00D11622" w:rsidRPr="00F16E2F">
        <w:t>Territory due</w:t>
      </w:r>
      <w:r w:rsidR="00923316" w:rsidRPr="00F16E2F">
        <w:t xml:space="preserve"> </w:t>
      </w:r>
      <w:r w:rsidR="00391967" w:rsidRPr="00F16E2F">
        <w:t xml:space="preserve">to the fixed costs in providing prison services being </w:t>
      </w:r>
      <w:r w:rsidR="00F16E2F" w:rsidRPr="008B7491">
        <w:t>allocated across</w:t>
      </w:r>
      <w:r w:rsidR="00F16E2F" w:rsidRPr="00F16E2F">
        <w:t xml:space="preserve"> </w:t>
      </w:r>
      <w:r w:rsidR="00391967" w:rsidRPr="00F16E2F">
        <w:t>a smaller population</w:t>
      </w:r>
      <w:r w:rsidR="00BD4428" w:rsidRPr="00F16E2F">
        <w:t xml:space="preserve">. </w:t>
      </w:r>
      <w:r w:rsidR="00EB0123" w:rsidRPr="00F16E2F">
        <w:t>The ACT does not have the scale to efficiently operate a separate</w:t>
      </w:r>
      <w:r w:rsidR="00321948" w:rsidRPr="00F16E2F">
        <w:t xml:space="preserve"> remand centre or women’s only facility, </w:t>
      </w:r>
      <w:r w:rsidR="00CE69E1" w:rsidRPr="00F16E2F">
        <w:t xml:space="preserve">which is a cost driver that is </w:t>
      </w:r>
      <w:r w:rsidR="0066091A" w:rsidRPr="00F16E2F">
        <w:t>not recognised in the proposed</w:t>
      </w:r>
      <w:r w:rsidR="00CE69E1" w:rsidRPr="00F16E2F">
        <w:t xml:space="preserve"> assessment.</w:t>
      </w:r>
      <w:r w:rsidR="00AF772E" w:rsidRPr="00F16E2F">
        <w:t xml:space="preserve"> </w:t>
      </w:r>
      <w:r w:rsidR="00CE69E1" w:rsidRPr="00F16E2F">
        <w:t xml:space="preserve"> </w:t>
      </w:r>
    </w:p>
    <w:p w14:paraId="60C86C24" w14:textId="4A4BC79F" w:rsidR="00882021" w:rsidRPr="00EB79DE" w:rsidRDefault="007130DB" w:rsidP="00DA28AD">
      <w:pPr>
        <w:pStyle w:val="CGC2025ParaNumbers"/>
      </w:pPr>
      <w:r w:rsidRPr="00EB79DE">
        <w:t xml:space="preserve">The ACT </w:t>
      </w:r>
      <w:r w:rsidR="009A00C8" w:rsidRPr="00EB79DE">
        <w:t xml:space="preserve">recommended that as an alternative to further discounting the general service delivery scale </w:t>
      </w:r>
      <w:r w:rsidR="0093387F">
        <w:t xml:space="preserve">costs </w:t>
      </w:r>
      <w:r w:rsidR="009A00C8" w:rsidRPr="00EB79DE">
        <w:t xml:space="preserve">gradient, </w:t>
      </w:r>
      <w:r w:rsidR="00CF122A" w:rsidRPr="00EB79DE">
        <w:t>th</w:t>
      </w:r>
      <w:r w:rsidR="004C6F0F">
        <w:t>e</w:t>
      </w:r>
      <w:r w:rsidR="00CF122A" w:rsidRPr="00EB79DE">
        <w:t xml:space="preserve"> ACT should be treated as </w:t>
      </w:r>
      <w:r w:rsidR="00E44415" w:rsidRPr="00EB79DE">
        <w:t>a</w:t>
      </w:r>
      <w:r w:rsidR="002C2418" w:rsidRPr="00EB79DE">
        <w:t xml:space="preserve"> regional area to </w:t>
      </w:r>
      <w:r w:rsidR="00B701F6" w:rsidRPr="00EB79DE">
        <w:t xml:space="preserve">address its isolation and </w:t>
      </w:r>
      <w:r w:rsidR="00E22D4C" w:rsidRPr="00EB79DE">
        <w:t xml:space="preserve">small economies of scale. </w:t>
      </w:r>
      <w:r w:rsidR="00B701F6" w:rsidRPr="00EB79DE">
        <w:t xml:space="preserve"> </w:t>
      </w:r>
    </w:p>
    <w:p w14:paraId="2F53F896" w14:textId="0FC6EC3F" w:rsidR="00882021" w:rsidRDefault="00882021" w:rsidP="00087A28">
      <w:pPr>
        <w:pStyle w:val="CGC2025ParaNumbers"/>
      </w:pPr>
      <w:r>
        <w:t xml:space="preserve">Queensland and Western Australia said that the Commission should recognise regional and service delivery scale costs in the prisons assessment.  </w:t>
      </w:r>
    </w:p>
    <w:p w14:paraId="5DAEA8E6" w14:textId="484F0B11" w:rsidR="00087A28" w:rsidRDefault="00882021" w:rsidP="00087A28">
      <w:pPr>
        <w:pStyle w:val="CGC2025ParaNumbers"/>
      </w:pPr>
      <w:r>
        <w:t xml:space="preserve">Queensland said that there was a strong conceptual case for regional costs in prisons and </w:t>
      </w:r>
      <w:r w:rsidR="00912EA2">
        <w:t>that it</w:t>
      </w:r>
      <w:r>
        <w:t xml:space="preserve"> is average policy for states with remote populations to have remote prisons.</w:t>
      </w:r>
      <w:r w:rsidR="00893E84">
        <w:t xml:space="preserve"> It said that the 2020 Review model should be retained until a new suitable approach is </w:t>
      </w:r>
      <w:r w:rsidR="00B054D8">
        <w:t xml:space="preserve">developed </w:t>
      </w:r>
      <w:r w:rsidR="00B054D8" w:rsidRPr="0069309C">
        <w:t>but</w:t>
      </w:r>
      <w:r w:rsidR="00291EF9" w:rsidRPr="0069309C">
        <w:t xml:space="preserve"> </w:t>
      </w:r>
      <w:r w:rsidR="00070FCB" w:rsidRPr="0069309C">
        <w:t>argued against</w:t>
      </w:r>
      <w:r w:rsidR="00291EF9" w:rsidRPr="0069309C">
        <w:t xml:space="preserve"> its use as a benchmark for validati</w:t>
      </w:r>
      <w:r w:rsidR="00D93B70" w:rsidRPr="0069309C">
        <w:t>ng</w:t>
      </w:r>
      <w:r w:rsidR="00291EF9" w:rsidRPr="0069309C">
        <w:t xml:space="preserve"> the discounted general service delivery scale </w:t>
      </w:r>
      <w:r w:rsidR="0093387F">
        <w:t xml:space="preserve">costs </w:t>
      </w:r>
      <w:r w:rsidR="00291EF9" w:rsidRPr="0069309C">
        <w:t>gradient.</w:t>
      </w:r>
      <w:r w:rsidR="00291EF9">
        <w:t xml:space="preserve"> </w:t>
      </w:r>
    </w:p>
    <w:p w14:paraId="3A599C1C" w14:textId="34ED664F" w:rsidR="00E36D23" w:rsidRDefault="00E36D23" w:rsidP="00E36D23">
      <w:pPr>
        <w:pStyle w:val="CGC2025ParaNumbers"/>
      </w:pPr>
      <w:r>
        <w:t xml:space="preserve">Western Australia said that the Commission should apply the general regional and service delivery scale </w:t>
      </w:r>
      <w:r w:rsidR="0093387F">
        <w:t xml:space="preserve">costs </w:t>
      </w:r>
      <w:r>
        <w:t xml:space="preserve">gradient to the prisons assessment. Western Australia considered that circumstances in prisons had not changed significantly since the last review. </w:t>
      </w:r>
      <w:r w:rsidR="00986427">
        <w:t>It said</w:t>
      </w:r>
      <w:r>
        <w:t xml:space="preserve"> that limitations in prisons data and the poor explanatory power of the prisons regression do not infer a lack of a relationship between remoteness and increased costs.</w:t>
      </w:r>
    </w:p>
    <w:p w14:paraId="6255668D" w14:textId="6339CB70" w:rsidR="00A576E1" w:rsidRDefault="00A576E1" w:rsidP="00A576E1">
      <w:pPr>
        <w:pStyle w:val="CGC2025ParaNumbers"/>
      </w:pPr>
      <w:r>
        <w:t xml:space="preserve">New South Wales argued that the relationship between costs and prison size does not hold across remoteness areas. New South Wales said that prison costs are driven by security classification and prison function as opposed to service delivery scale. New South Wales argued that there should be no general service delivery scale </w:t>
      </w:r>
      <w:r w:rsidR="0093387F">
        <w:t xml:space="preserve">costs </w:t>
      </w:r>
      <w:r>
        <w:t>gradient applied to prisons but, if it is applied, it should be discounted by 50%.</w:t>
      </w:r>
      <w:r w:rsidR="00D933F5">
        <w:t xml:space="preserve"> </w:t>
      </w:r>
      <w:r w:rsidR="00D933F5" w:rsidRPr="0069309C">
        <w:lastRenderedPageBreak/>
        <w:t xml:space="preserve">It said that further discounting </w:t>
      </w:r>
      <w:r w:rsidR="00957975" w:rsidRPr="0069309C">
        <w:t xml:space="preserve">was warranted due to uncertainty </w:t>
      </w:r>
      <w:r w:rsidR="006967CB" w:rsidRPr="0069309C">
        <w:t xml:space="preserve">around </w:t>
      </w:r>
      <w:r w:rsidR="002A1EA5" w:rsidRPr="0069309C">
        <w:t>relevance of the proxy gradient</w:t>
      </w:r>
      <w:r w:rsidR="003D48EF" w:rsidRPr="0069309C">
        <w:t>.</w:t>
      </w:r>
      <w:r>
        <w:t xml:space="preserve"> This would acknowledge that the </w:t>
      </w:r>
      <w:r w:rsidR="00FC4CFD">
        <w:t xml:space="preserve">estimated </w:t>
      </w:r>
      <w:r>
        <w:t>economies of scale in the health and education sectors do not apply to justice services.</w:t>
      </w:r>
    </w:p>
    <w:p w14:paraId="394F66DB" w14:textId="77777777" w:rsidR="000E3DFF" w:rsidRDefault="00A576E1" w:rsidP="00437949">
      <w:pPr>
        <w:pStyle w:val="CGC2025ParaNumbers"/>
      </w:pPr>
      <w:r>
        <w:t xml:space="preserve">Victoria said that the conceptual and empirical evidence to support a remoteness cost weight was weak. Victoria said that many states, including Victoria, do not locate prisoners based on their place of residence nor do they place prisons based on the proximity of the population they will serve. </w:t>
      </w:r>
    </w:p>
    <w:p w14:paraId="080171C2" w14:textId="1B049DAE" w:rsidR="00ED4AEE" w:rsidRDefault="00A576E1" w:rsidP="000E3DFF">
      <w:pPr>
        <w:pStyle w:val="CGC2025ParaNumbers"/>
      </w:pPr>
      <w:r>
        <w:t>Victoria considered that differences in prison size are policy driven and that differences between states in costs per prisoner can be influenced by the types of programs provided, staffing levels and the number and type of facilities available in prisons.</w:t>
      </w:r>
      <w:r w:rsidR="00235F83">
        <w:t xml:space="preserve"> </w:t>
      </w:r>
      <w:r w:rsidR="00970D28" w:rsidRPr="0069309C">
        <w:t xml:space="preserve">It </w:t>
      </w:r>
      <w:r w:rsidR="00203BCC" w:rsidRPr="0069309C">
        <w:t xml:space="preserve">also argued that a gradient with higher </w:t>
      </w:r>
      <w:r w:rsidR="000E3DFF" w:rsidRPr="0069309C">
        <w:t xml:space="preserve">cost weights for regional areas was inappropriate given regional prisons were not smaller than those in major cities. </w:t>
      </w:r>
      <w:r w:rsidRPr="0069309C">
        <w:t xml:space="preserve">Victoria said that the </w:t>
      </w:r>
      <w:r w:rsidR="00AA2529" w:rsidRPr="0069309C">
        <w:t xml:space="preserve">general </w:t>
      </w:r>
      <w:r w:rsidRPr="0069309C">
        <w:t xml:space="preserve">service delivery scale </w:t>
      </w:r>
      <w:r w:rsidR="0093387F">
        <w:t xml:space="preserve">costs </w:t>
      </w:r>
      <w:r w:rsidRPr="0069309C">
        <w:t xml:space="preserve">gradient, which is </w:t>
      </w:r>
      <w:r w:rsidR="001F4497">
        <w:t xml:space="preserve">largely </w:t>
      </w:r>
      <w:r w:rsidRPr="0069309C">
        <w:t>based on health and schools data, would not capture a universal cost-relationship between service delivery scale costs and remoteness.</w:t>
      </w:r>
    </w:p>
    <w:p w14:paraId="2CC5F008" w14:textId="732EF763" w:rsidR="00253C74" w:rsidRPr="00E6139A" w:rsidRDefault="00BF50F8" w:rsidP="00E6139A">
      <w:pPr>
        <w:pStyle w:val="Heading4"/>
      </w:pPr>
      <w:r>
        <w:t>Commission response</w:t>
      </w:r>
    </w:p>
    <w:bookmarkEnd w:id="22"/>
    <w:p w14:paraId="16813D0B" w14:textId="30E8DDB1" w:rsidR="007A2D49" w:rsidRDefault="00CF4277" w:rsidP="007A2D49">
      <w:pPr>
        <w:pStyle w:val="Heading5"/>
      </w:pPr>
      <w:r>
        <w:t>Prisons regression</w:t>
      </w:r>
    </w:p>
    <w:p w14:paraId="611869BC" w14:textId="75BC1594" w:rsidR="008963AF" w:rsidRDefault="00E43641" w:rsidP="007A2D49">
      <w:pPr>
        <w:pStyle w:val="CGC2025ParaNumbers"/>
      </w:pPr>
      <w:r>
        <w:t>The Commission retested the</w:t>
      </w:r>
      <w:r w:rsidR="001B753E">
        <w:t xml:space="preserve"> 2020 Review</w:t>
      </w:r>
      <w:r>
        <w:t xml:space="preserve"> prisons regression using 2022–23 and 2023–24 state data and found that the results produced were </w:t>
      </w:r>
      <w:r w:rsidR="00231E25" w:rsidRPr="008B7491">
        <w:t xml:space="preserve">not </w:t>
      </w:r>
      <w:r w:rsidR="002B0875" w:rsidRPr="008B7491">
        <w:t>strong</w:t>
      </w:r>
      <w:r w:rsidR="00231E25" w:rsidRPr="008B7491">
        <w:t xml:space="preserve"> enough</w:t>
      </w:r>
      <w:r>
        <w:t xml:space="preserve"> to incorporate into the justice assessment.</w:t>
      </w:r>
    </w:p>
    <w:p w14:paraId="6E065334" w14:textId="02B9266C" w:rsidR="001B753E" w:rsidRPr="00E43641" w:rsidRDefault="001B753E" w:rsidP="001B753E">
      <w:pPr>
        <w:pStyle w:val="CGC2025ParaNumbers"/>
      </w:pPr>
      <w:r>
        <w:t>The Commission explored using other regression models but found the data did not support the use of a regression</w:t>
      </w:r>
      <w:r w:rsidR="001E3467">
        <w:t xml:space="preserve">. </w:t>
      </w:r>
      <w:r w:rsidR="00B031CC" w:rsidRPr="008B7491">
        <w:t>This was</w:t>
      </w:r>
      <w:r w:rsidR="002B1845" w:rsidRPr="008B7491">
        <w:t xml:space="preserve"> due to</w:t>
      </w:r>
      <w:r w:rsidR="007B03A9" w:rsidRPr="008B7491">
        <w:t xml:space="preserve"> insignificant results</w:t>
      </w:r>
      <w:r w:rsidRPr="008B7491">
        <w:t xml:space="preserve"> </w:t>
      </w:r>
      <w:r w:rsidR="004D1E9B" w:rsidRPr="008B7491">
        <w:t xml:space="preserve">and low </w:t>
      </w:r>
      <w:r w:rsidR="00B031CC" w:rsidRPr="008B7491">
        <w:t>explanatory power</w:t>
      </w:r>
      <w:r w:rsidR="002B1845" w:rsidRPr="008B7491">
        <w:t>,</w:t>
      </w:r>
      <w:r w:rsidR="00B031CC" w:rsidRPr="008B7491">
        <w:t xml:space="preserve"> making it</w:t>
      </w:r>
      <w:r w:rsidR="00E24A10" w:rsidRPr="008B7491">
        <w:t xml:space="preserve"> </w:t>
      </w:r>
      <w:r w:rsidR="008F6075" w:rsidRPr="008B7491">
        <w:t>un</w:t>
      </w:r>
      <w:r w:rsidR="00E24A10" w:rsidRPr="008B7491">
        <w:t>suitable</w:t>
      </w:r>
      <w:r w:rsidRPr="008B7491">
        <w:t xml:space="preserve"> </w:t>
      </w:r>
      <w:r w:rsidR="00C0511A" w:rsidRPr="008B7491">
        <w:t>for</w:t>
      </w:r>
      <w:r>
        <w:t xml:space="preserve"> assess</w:t>
      </w:r>
      <w:r w:rsidR="00C0511A">
        <w:t>ing</w:t>
      </w:r>
      <w:r>
        <w:t xml:space="preserve"> regional and service delivery scale costs.</w:t>
      </w:r>
    </w:p>
    <w:p w14:paraId="05F5EBB7" w14:textId="739A9F47" w:rsidR="003E24C3" w:rsidRDefault="000035EC" w:rsidP="003E24C3">
      <w:pPr>
        <w:pStyle w:val="Heading5"/>
      </w:pPr>
      <w:r>
        <w:t xml:space="preserve">Regional </w:t>
      </w:r>
      <w:r w:rsidR="004F7ACB">
        <w:t xml:space="preserve">and service delivery </w:t>
      </w:r>
      <w:r w:rsidR="00CD38CC">
        <w:t xml:space="preserve">scale </w:t>
      </w:r>
      <w:r w:rsidR="004F7ACB">
        <w:t>costs</w:t>
      </w:r>
    </w:p>
    <w:p w14:paraId="4DCC62EC" w14:textId="5BC75600" w:rsidR="00C54D4A" w:rsidRDefault="00332AB6" w:rsidP="00332AB6">
      <w:pPr>
        <w:pStyle w:val="CGC2025ParaNumbers"/>
      </w:pPr>
      <w:r>
        <w:t xml:space="preserve">The Commission </w:t>
      </w:r>
      <w:r w:rsidR="00F85667">
        <w:t xml:space="preserve">considers </w:t>
      </w:r>
      <w:r>
        <w:t>there is a strong conceptual case for service delivery scale and regional costs in prisons. State</w:t>
      </w:r>
      <w:r w:rsidR="002346D2">
        <w:t>-</w:t>
      </w:r>
      <w:r>
        <w:t xml:space="preserve">provided data and submissions clearly indicate that it is average policy for states with large remote areas to have remote prisons or workcamps, and that those prisons are generally smaller than prisons in regional and major city areas (see Figure </w:t>
      </w:r>
      <w:r w:rsidR="00DE7D57" w:rsidRPr="008B7491">
        <w:t>2</w:t>
      </w:r>
      <w:r>
        <w:t>).</w:t>
      </w:r>
    </w:p>
    <w:p w14:paraId="6617D1AB" w14:textId="5B097FDA" w:rsidR="003D54C9" w:rsidRPr="00BD2611" w:rsidRDefault="003D54C9" w:rsidP="00FE51B2">
      <w:pPr>
        <w:pStyle w:val="CGC2025Caption"/>
        <w:keepNext/>
        <w:tabs>
          <w:tab w:val="left" w:pos="1134"/>
        </w:tabs>
        <w:rPr>
          <w:bCs/>
        </w:rPr>
      </w:pPr>
      <w:r w:rsidRPr="00BD2611">
        <w:rPr>
          <w:bCs/>
        </w:rPr>
        <w:lastRenderedPageBreak/>
        <w:t xml:space="preserve">Figure </w:t>
      </w:r>
      <w:r w:rsidR="00DE7D57" w:rsidRPr="00BD2611">
        <w:rPr>
          <w:bCs/>
        </w:rPr>
        <w:t>2</w:t>
      </w:r>
      <w:r w:rsidRPr="00BD2611">
        <w:rPr>
          <w:bCs/>
        </w:rPr>
        <w:t xml:space="preserve"> </w:t>
      </w:r>
      <w:r w:rsidRPr="00BD2611">
        <w:rPr>
          <w:bCs/>
        </w:rPr>
        <w:tab/>
        <w:t>Average prison size by remoteness area, 2022–23 and 2023–24</w:t>
      </w:r>
      <w:r w:rsidR="00BD2611" w:rsidRPr="00BD2611">
        <w:rPr>
          <w:bCs/>
        </w:rPr>
        <w:t xml:space="preserve"> data</w:t>
      </w:r>
    </w:p>
    <w:p w14:paraId="3AD36AC8" w14:textId="14B35DCE" w:rsidR="003D54C9" w:rsidRDefault="00255D86" w:rsidP="00DC2F6F">
      <w:pPr>
        <w:pStyle w:val="CGC2025Caption"/>
        <w:keepNext/>
        <w:tabs>
          <w:tab w:val="left" w:pos="1134"/>
        </w:tabs>
      </w:pPr>
      <w:r>
        <w:rPr>
          <w:noProof/>
        </w:rPr>
        <w:drawing>
          <wp:inline distT="0" distB="0" distL="0" distR="0" wp14:anchorId="494E5BCE" wp14:editId="38B407C5">
            <wp:extent cx="5709920" cy="3417570"/>
            <wp:effectExtent l="0" t="0" r="5080" b="11430"/>
            <wp:docPr id="618435818" name="Chart 1" descr="P384#yIS1">
              <a:extLst xmlns:a="http://schemas.openxmlformats.org/drawingml/2006/main">
                <a:ext uri="{FF2B5EF4-FFF2-40B4-BE49-F238E27FC236}">
                  <a16:creationId xmlns:a16="http://schemas.microsoft.com/office/drawing/2014/main" id="{8FF79EB1-445C-47C1-AA48-8025BDBE174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464E7EAC" w14:textId="4E823AD5" w:rsidR="00E95B29" w:rsidRPr="007A44B6" w:rsidRDefault="003D54C9" w:rsidP="00142956">
      <w:pPr>
        <w:pStyle w:val="CGC2025ParaNumbers"/>
      </w:pPr>
      <w:r w:rsidRPr="007A44B6">
        <w:t xml:space="preserve">Figure </w:t>
      </w:r>
      <w:r w:rsidR="00DE7D57" w:rsidRPr="008B7491">
        <w:t>3</w:t>
      </w:r>
      <w:r w:rsidRPr="007A44B6">
        <w:t xml:space="preserve"> shows that broadly, smaller prisons continue to be costlier on a per prisoner basis than larger prisons. </w:t>
      </w:r>
      <w:r w:rsidR="006E6A11" w:rsidRPr="007A44B6">
        <w:t xml:space="preserve">2022–23 and </w:t>
      </w:r>
      <w:r w:rsidRPr="007A44B6">
        <w:t>2023–24 data show</w:t>
      </w:r>
      <w:r w:rsidR="006E6A11" w:rsidRPr="007A44B6">
        <w:t>ed</w:t>
      </w:r>
      <w:r w:rsidRPr="007A44B6">
        <w:t xml:space="preserve"> no consistent relationship between remoteness and per prisoner costs.</w:t>
      </w:r>
    </w:p>
    <w:p w14:paraId="4C5E6041" w14:textId="05FB9733" w:rsidR="00E95B29" w:rsidRDefault="00E95B29" w:rsidP="00E95B29">
      <w:pPr>
        <w:pStyle w:val="CGC2025Caption"/>
        <w:keepNext/>
        <w:ind w:left="1134" w:hanging="1134"/>
      </w:pPr>
      <w:r>
        <w:t xml:space="preserve">Figure </w:t>
      </w:r>
      <w:r w:rsidR="00DE7D57" w:rsidRPr="008B7491">
        <w:t>3</w:t>
      </w:r>
      <w:r>
        <w:t xml:space="preserve"> </w:t>
      </w:r>
      <w:r>
        <w:tab/>
        <w:t>Cost per prisoner by remoteness area and prison size, 2022–23 and 2023–</w:t>
      </w:r>
      <w:r>
        <w:rPr>
          <w:rFonts w:ascii="Times New Roman" w:hAnsi="Times New Roman" w:cs="Times New Roman"/>
        </w:rPr>
        <w:t>‍</w:t>
      </w:r>
      <w:r>
        <w:t>24</w:t>
      </w:r>
      <w:r w:rsidR="00E730B8">
        <w:t xml:space="preserve"> data</w:t>
      </w:r>
    </w:p>
    <w:p w14:paraId="5B9F7A4C" w14:textId="2F8B892E" w:rsidR="00E95B29" w:rsidRPr="003D4268" w:rsidRDefault="00121B2D" w:rsidP="00E95B29">
      <w:pPr>
        <w:pStyle w:val="CGCParaNumber"/>
        <w:tabs>
          <w:tab w:val="clear" w:pos="567"/>
        </w:tabs>
        <w:ind w:left="0" w:firstLine="0"/>
      </w:pPr>
      <w:r>
        <w:rPr>
          <w:noProof/>
        </w:rPr>
        <w:drawing>
          <wp:inline distT="0" distB="0" distL="0" distR="0" wp14:anchorId="0A437F6F" wp14:editId="632E750D">
            <wp:extent cx="5731510" cy="3535680"/>
            <wp:effectExtent l="0" t="0" r="2540" b="7620"/>
            <wp:docPr id="1812853835"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2853835" name=""/>
                    <pic:cNvPicPr/>
                  </pic:nvPicPr>
                  <pic:blipFill>
                    <a:blip r:embed="rId19">
                      <a:extLst>
                        <a:ext uri="{96DAC541-7B7A-43D3-8B79-37D633B846F1}">
                          <asvg:svgBlip xmlns:asvg="http://schemas.microsoft.com/office/drawing/2016/SVG/main" r:embed="rId20"/>
                        </a:ext>
                      </a:extLst>
                    </a:blip>
                    <a:stretch>
                      <a:fillRect/>
                    </a:stretch>
                  </pic:blipFill>
                  <pic:spPr>
                    <a:xfrm>
                      <a:off x="0" y="0"/>
                      <a:ext cx="5731510" cy="3535680"/>
                    </a:xfrm>
                    <a:prstGeom prst="rect">
                      <a:avLst/>
                    </a:prstGeom>
                  </pic:spPr>
                </pic:pic>
              </a:graphicData>
            </a:graphic>
          </wp:inline>
        </w:drawing>
      </w:r>
    </w:p>
    <w:p w14:paraId="78D74DCC" w14:textId="77777777" w:rsidR="00C32707" w:rsidRPr="007A44B6" w:rsidRDefault="00C32707" w:rsidP="00142956">
      <w:pPr>
        <w:pStyle w:val="CGC2025ParaNumbers"/>
      </w:pPr>
      <w:r w:rsidRPr="007A44B6">
        <w:lastRenderedPageBreak/>
        <w:t xml:space="preserve">The Commission acknowledges that economies of scale are not entirely uniform across the data. Data showed that the smallest very remote prisons were the least expensive of all prisons while the second smallest prisons cost less, on average, than prisons in the middle 20%. </w:t>
      </w:r>
      <w:r w:rsidRPr="008B7491">
        <w:t>Given the small number of prisons in Australia and data quality concerns, a clear linear relationship is not necessarily expected. However, an observable trend is present.</w:t>
      </w:r>
    </w:p>
    <w:p w14:paraId="1023A9E7" w14:textId="252ADFC5" w:rsidR="00E95B29" w:rsidRPr="007A44B6" w:rsidRDefault="00E95B29" w:rsidP="00142956">
      <w:pPr>
        <w:pStyle w:val="CGC2025ParaNumbers"/>
      </w:pPr>
      <w:r w:rsidRPr="007A44B6">
        <w:t>The Commission acknowledges that several factors influence where a prisoner is imprisoned, but for remote prisoners there is a reasonable link between their usual address and their placement in a remote prison. This view is supported by several state submissions, which refer to prisoner placement policies and legislative requirements.</w:t>
      </w:r>
    </w:p>
    <w:p w14:paraId="6017DE75" w14:textId="77777777" w:rsidR="0008641C" w:rsidRPr="007A44B6" w:rsidRDefault="0008641C" w:rsidP="00142956">
      <w:pPr>
        <w:pStyle w:val="CGC2025ParaNumbers"/>
      </w:pPr>
      <w:r w:rsidRPr="007A44B6">
        <w:t>The Commission considers that other prison or prisoner characteristics, such as security classification, can significantly influence costs and that prison sizes can be policy influenced. It also</w:t>
      </w:r>
      <w:r w:rsidRPr="007A44B6" w:rsidDel="00CA1BF8">
        <w:t xml:space="preserve"> </w:t>
      </w:r>
      <w:r w:rsidRPr="007A44B6">
        <w:t xml:space="preserve">acknowledges that issues of data comparability can undermine the reliability of measures and assumptions derived from them. </w:t>
      </w:r>
    </w:p>
    <w:p w14:paraId="0EBE22A5" w14:textId="77777777" w:rsidR="0008641C" w:rsidRPr="007A44B6" w:rsidRDefault="0008641C" w:rsidP="00142956">
      <w:pPr>
        <w:pStyle w:val="CGC2025ParaNumbers"/>
      </w:pPr>
      <w:r w:rsidRPr="007A44B6">
        <w:t>However, the Commission considers that if data were more comparable and other drivers of cost could be accurately controlled for, that evidence of economies of scale in prisons would exist because the conceptual case is strong. It also notes that under the proposed assessment, states building more smaller prisons than required under average policy would not increase their GST distribution through such policy choices.</w:t>
      </w:r>
    </w:p>
    <w:p w14:paraId="083A43A6" w14:textId="30C43B21" w:rsidR="00CB161E" w:rsidRPr="008B7491" w:rsidRDefault="00CB161E" w:rsidP="00142956">
      <w:pPr>
        <w:pStyle w:val="CGC2025ParaNumbers"/>
      </w:pPr>
      <w:r w:rsidRPr="008B7491">
        <w:t>In response to concerns raised by the ACT, the Commission</w:t>
      </w:r>
      <w:r w:rsidR="00E66693" w:rsidRPr="008B7491">
        <w:t xml:space="preserve"> acknowledges a conceptual case </w:t>
      </w:r>
      <w:r w:rsidRPr="008B7491">
        <w:t>that smaller states may face higher per capita costs due to</w:t>
      </w:r>
      <w:r w:rsidR="00C70E23" w:rsidRPr="008B7491">
        <w:t xml:space="preserve"> </w:t>
      </w:r>
      <w:r w:rsidR="00591293" w:rsidRPr="008B7491">
        <w:br/>
      </w:r>
      <w:r w:rsidR="005A33AD" w:rsidRPr="008B7491">
        <w:t>system</w:t>
      </w:r>
      <w:r w:rsidR="00A50F85" w:rsidRPr="008B7491">
        <w:t>-level</w:t>
      </w:r>
      <w:r w:rsidR="001575FA" w:rsidRPr="008B7491">
        <w:t xml:space="preserve"> rather than prison</w:t>
      </w:r>
      <w:r w:rsidR="00A50F85" w:rsidRPr="008B7491">
        <w:t>-</w:t>
      </w:r>
      <w:r w:rsidR="001575FA" w:rsidRPr="008B7491">
        <w:t>level</w:t>
      </w:r>
      <w:r w:rsidR="005A33AD" w:rsidRPr="008B7491">
        <w:t xml:space="preserve"> factors</w:t>
      </w:r>
      <w:r w:rsidRPr="008B7491">
        <w:t xml:space="preserve">. The Commission’s analysis of state prison data indicates the presence of economies of scale at the prison level. </w:t>
      </w:r>
      <w:r w:rsidR="00185B75" w:rsidRPr="008B7491">
        <w:t xml:space="preserve">However, it has not </w:t>
      </w:r>
      <w:r w:rsidR="001E6843" w:rsidRPr="008B7491">
        <w:t xml:space="preserve">explored </w:t>
      </w:r>
      <w:r w:rsidR="00501A04" w:rsidRPr="008B7491">
        <w:t xml:space="preserve">whether </w:t>
      </w:r>
      <w:r w:rsidR="006355E4" w:rsidRPr="008B7491">
        <w:t>economies of scale</w:t>
      </w:r>
      <w:r w:rsidR="00501A04" w:rsidRPr="008B7491">
        <w:t xml:space="preserve"> also </w:t>
      </w:r>
      <w:r w:rsidR="00FC6374" w:rsidRPr="008B7491">
        <w:t>exist</w:t>
      </w:r>
      <w:r w:rsidR="00FB6096" w:rsidRPr="008B7491">
        <w:t xml:space="preserve"> at the system </w:t>
      </w:r>
      <w:r w:rsidR="00135FCA" w:rsidRPr="008B7491">
        <w:t xml:space="preserve">level. </w:t>
      </w:r>
      <w:r w:rsidRPr="008B7491">
        <w:t xml:space="preserve">The Commission notes that </w:t>
      </w:r>
      <w:r w:rsidR="005E53B3" w:rsidRPr="008B7491">
        <w:t xml:space="preserve">states </w:t>
      </w:r>
      <w:r w:rsidR="00A019DF" w:rsidRPr="008B7491">
        <w:t>with large</w:t>
      </w:r>
      <w:r w:rsidR="001C5D6C" w:rsidRPr="008B7491">
        <w:t>r</w:t>
      </w:r>
      <w:r w:rsidR="00A019DF" w:rsidRPr="008B7491">
        <w:t xml:space="preserve"> populations </w:t>
      </w:r>
      <w:r w:rsidR="003C3BD0" w:rsidRPr="008B7491">
        <w:t xml:space="preserve">often </w:t>
      </w:r>
      <w:r w:rsidR="00B233EF" w:rsidRPr="008B7491">
        <w:t xml:space="preserve">have prisons that </w:t>
      </w:r>
      <w:r w:rsidR="008D66E6" w:rsidRPr="008B7491">
        <w:t>serve spe</w:t>
      </w:r>
      <w:r w:rsidR="004A21CD" w:rsidRPr="008B7491">
        <w:t>cialised</w:t>
      </w:r>
      <w:r w:rsidR="008D66E6" w:rsidRPr="008B7491">
        <w:t xml:space="preserve"> function</w:t>
      </w:r>
      <w:r w:rsidR="004A21CD" w:rsidRPr="008B7491">
        <w:t>s</w:t>
      </w:r>
      <w:r w:rsidR="008D66E6" w:rsidRPr="008B7491">
        <w:t xml:space="preserve">, such as </w:t>
      </w:r>
      <w:r w:rsidR="00400121" w:rsidRPr="008B7491">
        <w:t>ho</w:t>
      </w:r>
      <w:r w:rsidR="004A21CD" w:rsidRPr="008B7491">
        <w:t>lding rem</w:t>
      </w:r>
      <w:r w:rsidR="004D7A30" w:rsidRPr="008B7491">
        <w:t>and</w:t>
      </w:r>
      <w:r w:rsidR="000F2649" w:rsidRPr="008B7491">
        <w:t xml:space="preserve"> prisoners</w:t>
      </w:r>
      <w:r w:rsidRPr="008B7491">
        <w:t xml:space="preserve">. </w:t>
      </w:r>
      <w:r w:rsidR="00FE69D4" w:rsidRPr="008B7491">
        <w:t xml:space="preserve">Smaller states may not be </w:t>
      </w:r>
      <w:r w:rsidR="00CC62B3" w:rsidRPr="008B7491">
        <w:t xml:space="preserve">able </w:t>
      </w:r>
      <w:r w:rsidR="00DC7665" w:rsidRPr="008B7491">
        <w:t xml:space="preserve">develop </w:t>
      </w:r>
      <w:r w:rsidR="000F0842" w:rsidRPr="008B7491">
        <w:t>their prison systems in the same way</w:t>
      </w:r>
      <w:r w:rsidR="007A5AFD" w:rsidRPr="008B7491">
        <w:t>.</w:t>
      </w:r>
      <w:r w:rsidR="000F0842" w:rsidRPr="008B7491">
        <w:t xml:space="preserve"> </w:t>
      </w:r>
      <w:r w:rsidR="008F0069" w:rsidRPr="008B7491">
        <w:t xml:space="preserve">In a </w:t>
      </w:r>
      <w:r w:rsidR="00250ACD" w:rsidRPr="008B7491">
        <w:t>small state, a</w:t>
      </w:r>
      <w:r w:rsidR="00F525D2" w:rsidRPr="008B7491">
        <w:t xml:space="preserve"> prison </w:t>
      </w:r>
      <w:r w:rsidR="0054528A" w:rsidRPr="008B7491">
        <w:t>may need to</w:t>
      </w:r>
      <w:r w:rsidR="00F525D2" w:rsidRPr="008B7491">
        <w:t xml:space="preserve"> serv</w:t>
      </w:r>
      <w:r w:rsidR="0054528A" w:rsidRPr="008B7491">
        <w:t>e</w:t>
      </w:r>
      <w:r w:rsidR="00F525D2" w:rsidRPr="008B7491">
        <w:t xml:space="preserve"> multiple </w:t>
      </w:r>
      <w:r w:rsidR="00365A12" w:rsidRPr="008B7491">
        <w:t>functions</w:t>
      </w:r>
      <w:r w:rsidR="002C50D6" w:rsidRPr="008B7491">
        <w:t xml:space="preserve"> that </w:t>
      </w:r>
      <w:r w:rsidR="00B50916" w:rsidRPr="008B7491">
        <w:t xml:space="preserve">would be </w:t>
      </w:r>
      <w:r w:rsidR="009C18AC" w:rsidRPr="008B7491">
        <w:t xml:space="preserve">performed by </w:t>
      </w:r>
      <w:r w:rsidR="00E808FA" w:rsidRPr="008B7491">
        <w:t xml:space="preserve">several prisons in </w:t>
      </w:r>
      <w:r w:rsidR="008F0069" w:rsidRPr="008B7491">
        <w:t xml:space="preserve">a </w:t>
      </w:r>
      <w:r w:rsidR="00E808FA" w:rsidRPr="008B7491">
        <w:t xml:space="preserve">larger state. This </w:t>
      </w:r>
      <w:r w:rsidR="00833A5A" w:rsidRPr="008B7491">
        <w:t xml:space="preserve">may increase the per </w:t>
      </w:r>
      <w:r w:rsidR="000C0415" w:rsidRPr="008B7491">
        <w:t>prisoner</w:t>
      </w:r>
      <w:r w:rsidR="00833A5A" w:rsidRPr="008B7491">
        <w:t xml:space="preserve"> costs in </w:t>
      </w:r>
      <w:r w:rsidR="00220B10" w:rsidRPr="008B7491">
        <w:t>smaller states.</w:t>
      </w:r>
      <w:r w:rsidR="00FE69D4" w:rsidRPr="008B7491">
        <w:t xml:space="preserve"> </w:t>
      </w:r>
      <w:r w:rsidR="005D5579" w:rsidRPr="008B7491">
        <w:t xml:space="preserve">This may be an area </w:t>
      </w:r>
      <w:r w:rsidR="00621D83" w:rsidRPr="008B7491">
        <w:t xml:space="preserve">warranting </w:t>
      </w:r>
      <w:r w:rsidR="006D7A55" w:rsidRPr="008B7491">
        <w:t>consideration</w:t>
      </w:r>
      <w:r w:rsidR="00621D83" w:rsidRPr="008B7491">
        <w:t xml:space="preserve"> </w:t>
      </w:r>
      <w:r w:rsidRPr="008B7491">
        <w:t>the next review</w:t>
      </w:r>
      <w:r w:rsidR="00C11A14" w:rsidRPr="008B7491">
        <w:t>.</w:t>
      </w:r>
    </w:p>
    <w:p w14:paraId="6660BE91" w14:textId="42BF163D" w:rsidR="003D54C9" w:rsidRDefault="0008641C" w:rsidP="00142956">
      <w:pPr>
        <w:pStyle w:val="CGC2025ParaNumbers"/>
      </w:pPr>
      <w:r>
        <w:t xml:space="preserve">While the Commission acknowledges that there is a conceptual case for regional and service delivery scale costs, it is concerned that applying the combined general regional and service delivery scale </w:t>
      </w:r>
      <w:r w:rsidR="00B51182">
        <w:t xml:space="preserve">costs </w:t>
      </w:r>
      <w:r>
        <w:t xml:space="preserve">gradient will overstate the need of </w:t>
      </w:r>
      <w:r w:rsidR="00E42262">
        <w:t xml:space="preserve">states with more remote </w:t>
      </w:r>
      <w:r w:rsidR="00911F72">
        <w:t>are</w:t>
      </w:r>
      <w:r w:rsidR="00DC146B">
        <w:t>as</w:t>
      </w:r>
      <w:r w:rsidR="00846F45">
        <w:t xml:space="preserve"> </w:t>
      </w:r>
      <w:r>
        <w:t>and produce an inferior horizontal fiscal equalisation outcome.</w:t>
      </w:r>
    </w:p>
    <w:p w14:paraId="5D5D8769" w14:textId="0E35044E" w:rsidR="006A4F67" w:rsidRPr="00BA1455" w:rsidRDefault="006A4F67" w:rsidP="00142956">
      <w:pPr>
        <w:pStyle w:val="CGC2025ParaNumbers"/>
      </w:pPr>
      <w:r w:rsidRPr="00BA1455">
        <w:t xml:space="preserve">Figure </w:t>
      </w:r>
      <w:r w:rsidR="00DE7D57" w:rsidRPr="008B7491">
        <w:t>4</w:t>
      </w:r>
      <w:r w:rsidRPr="00BA1455">
        <w:t xml:space="preserve"> below shows that the 2025 Review general service delivery scale </w:t>
      </w:r>
      <w:r w:rsidR="00B51182">
        <w:t xml:space="preserve">costs </w:t>
      </w:r>
      <w:r w:rsidRPr="00BA1455">
        <w:t xml:space="preserve">gradient is more consistent with the 2020 Review gradient, which was derived using prison specific data. Combined with the inability to identify the presence of regional </w:t>
      </w:r>
      <w:r w:rsidRPr="00BA1455">
        <w:lastRenderedPageBreak/>
        <w:t xml:space="preserve">costs separate from service delivery scale in the available data, the Commission proposes to apply the service delivery scale general gradient only. </w:t>
      </w:r>
    </w:p>
    <w:p w14:paraId="6820B536" w14:textId="21F16368" w:rsidR="006A4F67" w:rsidRDefault="006A4F67" w:rsidP="003A5AF3">
      <w:pPr>
        <w:pStyle w:val="CGC2025Caption"/>
        <w:keepNext/>
        <w:ind w:left="1134" w:hanging="1134"/>
      </w:pPr>
      <w:r>
        <w:t xml:space="preserve">Figure </w:t>
      </w:r>
      <w:r w:rsidR="00DE7D57" w:rsidRPr="008B7491">
        <w:t>4</w:t>
      </w:r>
      <w:r>
        <w:tab/>
        <w:t>Comparison of regional and service delivery scale cost</w:t>
      </w:r>
      <w:r w:rsidR="00CD38CC">
        <w:t>s</w:t>
      </w:r>
      <w:r>
        <w:t xml:space="preserve"> gradients in the prisons assessment</w:t>
      </w:r>
    </w:p>
    <w:p w14:paraId="49D4D24D" w14:textId="66F6317C" w:rsidR="006A4F67" w:rsidRDefault="00421573" w:rsidP="006A4F67">
      <w:pPr>
        <w:pStyle w:val="CGCParaNumber"/>
        <w:tabs>
          <w:tab w:val="clear" w:pos="567"/>
        </w:tabs>
        <w:ind w:left="0" w:firstLine="0"/>
      </w:pPr>
      <w:r>
        <w:rPr>
          <w:noProof/>
        </w:rPr>
        <w:drawing>
          <wp:inline distT="0" distB="0" distL="0" distR="0" wp14:anchorId="55771F5D" wp14:editId="0DD55823">
            <wp:extent cx="5677200" cy="3600000"/>
            <wp:effectExtent l="0" t="0" r="0" b="635"/>
            <wp:docPr id="1803972613" name="Chart 1">
              <a:extLst xmlns:a="http://schemas.openxmlformats.org/drawingml/2006/main">
                <a:ext uri="{FF2B5EF4-FFF2-40B4-BE49-F238E27FC236}">
                  <a16:creationId xmlns:a16="http://schemas.microsoft.com/office/drawing/2014/main" id="{F7D23D22-02AA-E7FD-92A8-CCC9CB6F3EB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0494AD37" w14:textId="18C14026" w:rsidR="006A4F67" w:rsidRPr="00096E48" w:rsidRDefault="006A4F67" w:rsidP="006A4F67">
      <w:pPr>
        <w:pStyle w:val="CGC2025TableNote"/>
        <w:keepNext/>
        <w:tabs>
          <w:tab w:val="clear" w:pos="567"/>
          <w:tab w:val="left" w:pos="709"/>
        </w:tabs>
        <w:ind w:left="532" w:hanging="419"/>
      </w:pPr>
      <w:r w:rsidRPr="00096E48">
        <w:t>Note:</w:t>
      </w:r>
      <w:r>
        <w:t xml:space="preserve"> </w:t>
      </w:r>
      <w:r w:rsidRPr="00096E48">
        <w:t>The</w:t>
      </w:r>
      <w:r w:rsidR="00605F9D">
        <w:t xml:space="preserve"> general</w:t>
      </w:r>
      <w:r w:rsidRPr="00096E48">
        <w:t xml:space="preserve"> service delivery scale </w:t>
      </w:r>
      <w:r w:rsidR="00B51182">
        <w:t xml:space="preserve">costs </w:t>
      </w:r>
      <w:r w:rsidRPr="00096E48">
        <w:t>gradient and the</w:t>
      </w:r>
      <w:r w:rsidR="00605F9D">
        <w:t xml:space="preserve"> general</w:t>
      </w:r>
      <w:r w:rsidRPr="00096E48">
        <w:t xml:space="preserve"> regional and service delivery scale </w:t>
      </w:r>
      <w:r w:rsidR="00B51182">
        <w:t xml:space="preserve">costs </w:t>
      </w:r>
      <w:r w:rsidRPr="00096E48">
        <w:t xml:space="preserve">gradient </w:t>
      </w:r>
      <w:r>
        <w:t>are</w:t>
      </w:r>
      <w:r w:rsidRPr="00096E48">
        <w:t xml:space="preserve"> updated annually</w:t>
      </w:r>
      <w:r>
        <w:t xml:space="preserve"> with new data</w:t>
      </w:r>
      <w:r w:rsidRPr="00096E48">
        <w:t xml:space="preserve">. </w:t>
      </w:r>
      <w:r>
        <w:t>General gradients are unique for each assessment year and would be applied to the assessed prisoners calculated for the corresponding assessment year (for example, the 20</w:t>
      </w:r>
      <w:r w:rsidR="00C05213">
        <w:t>23</w:t>
      </w:r>
      <w:r>
        <w:t>–2</w:t>
      </w:r>
      <w:r w:rsidR="00C05213">
        <w:t>4</w:t>
      </w:r>
      <w:r>
        <w:t xml:space="preserve"> service delivery scale general gradient would be applied to assessed prisoners and juvenile detainees for 20</w:t>
      </w:r>
      <w:r w:rsidR="00C05213">
        <w:t>23</w:t>
      </w:r>
      <w:r>
        <w:t>–</w:t>
      </w:r>
      <w:r w:rsidR="00C05213">
        <w:t>24</w:t>
      </w:r>
      <w:r>
        <w:t xml:space="preserve">). </w:t>
      </w:r>
    </w:p>
    <w:p w14:paraId="56C5D745" w14:textId="783F5440" w:rsidR="006A4F67" w:rsidRPr="0043091C" w:rsidRDefault="002856AF" w:rsidP="00F85AE8">
      <w:pPr>
        <w:pStyle w:val="CGC2025ParaNumbers"/>
      </w:pPr>
      <w:r w:rsidRPr="00FB2BDC">
        <w:t>Regarding Victoria’s concerns</w:t>
      </w:r>
      <w:r w:rsidR="007D2009" w:rsidRPr="00FB2BDC">
        <w:t xml:space="preserve"> on </w:t>
      </w:r>
      <w:r w:rsidR="00EC6554" w:rsidRPr="00FB2BDC">
        <w:t xml:space="preserve">the </w:t>
      </w:r>
      <w:r w:rsidR="009C7C66" w:rsidRPr="00FB2BDC">
        <w:t>appropriateness</w:t>
      </w:r>
      <w:r w:rsidR="00EC6554" w:rsidRPr="00FB2BDC">
        <w:t xml:space="preserve"> </w:t>
      </w:r>
      <w:r w:rsidR="004262FE" w:rsidRPr="00FB2BDC">
        <w:t xml:space="preserve">of the </w:t>
      </w:r>
      <w:r w:rsidR="00EC6554" w:rsidRPr="00FB2BDC">
        <w:t xml:space="preserve">gradient, the Commission accepts that </w:t>
      </w:r>
      <w:r w:rsidR="009C7C66" w:rsidRPr="00FB2BDC">
        <w:t xml:space="preserve">regional prisons are not </w:t>
      </w:r>
      <w:r w:rsidR="00AA2036" w:rsidRPr="00FB2BDC">
        <w:t xml:space="preserve">always </w:t>
      </w:r>
      <w:r w:rsidR="009C7C66" w:rsidRPr="00FB2BDC">
        <w:t xml:space="preserve">smaller than those in major cities and that this is </w:t>
      </w:r>
      <w:r w:rsidR="00A20311">
        <w:t>in</w:t>
      </w:r>
      <w:r w:rsidR="009C7C66" w:rsidRPr="00FB2BDC">
        <w:t xml:space="preserve">consistent </w:t>
      </w:r>
      <w:r w:rsidR="6196388D" w:rsidRPr="00FB2BDC">
        <w:t xml:space="preserve">with </w:t>
      </w:r>
      <w:r w:rsidR="00BC661C" w:rsidRPr="00FB2BDC">
        <w:t>the assumption that costs always increase by remoteness. However,</w:t>
      </w:r>
      <w:r w:rsidR="006A4F67" w:rsidRPr="00FB2BDC">
        <w:t xml:space="preserve"> the general service delivery scale </w:t>
      </w:r>
      <w:r w:rsidR="00B51182">
        <w:t xml:space="preserve">costs </w:t>
      </w:r>
      <w:r w:rsidR="006A4F67" w:rsidRPr="00FB2BDC">
        <w:t>gradient is already discounted by 25% to account for the use of proxy data.</w:t>
      </w:r>
      <w:r w:rsidR="006A4F67">
        <w:t xml:space="preserve"> The degree of additional uncertainty in the data cannot be quantified. As such, the Commission proposes to not add an additional discount to the</w:t>
      </w:r>
      <w:r w:rsidR="007B1CA5">
        <w:t xml:space="preserve"> general</w:t>
      </w:r>
      <w:r w:rsidR="006A4F67">
        <w:t xml:space="preserve"> service delivery scale</w:t>
      </w:r>
      <w:r w:rsidR="00B51182">
        <w:t xml:space="preserve"> costs</w:t>
      </w:r>
      <w:r w:rsidR="006A4F67">
        <w:t xml:space="preserve"> gradient. </w:t>
      </w:r>
    </w:p>
    <w:p w14:paraId="57156773" w14:textId="17A106E0" w:rsidR="00E63A28" w:rsidRDefault="008B49A3" w:rsidP="0097141D">
      <w:pPr>
        <w:pStyle w:val="Heading4"/>
      </w:pPr>
      <w:bookmarkStart w:id="23" w:name="_Hlk211431561"/>
      <w:r>
        <w:t>Commission decision</w:t>
      </w:r>
    </w:p>
    <w:bookmarkEnd w:id="8"/>
    <w:bookmarkEnd w:id="23"/>
    <w:p w14:paraId="0856FBB5" w14:textId="3021CE86" w:rsidR="00CE7DA2" w:rsidRPr="00CE7DA2" w:rsidRDefault="00CE7DA2" w:rsidP="00CE7DA2">
      <w:pPr>
        <w:pStyle w:val="CGC2025ParaNumbers"/>
      </w:pPr>
      <w:r w:rsidRPr="00CE7DA2">
        <w:t xml:space="preserve">The Commission </w:t>
      </w:r>
      <w:r w:rsidR="00464E89">
        <w:t xml:space="preserve">will </w:t>
      </w:r>
      <w:r w:rsidRPr="00CE7DA2">
        <w:t>apply the</w:t>
      </w:r>
      <w:r w:rsidR="00F26B07">
        <w:t xml:space="preserve"> general</w:t>
      </w:r>
      <w:r w:rsidRPr="00CE7DA2">
        <w:t xml:space="preserve"> service delivery scale </w:t>
      </w:r>
      <w:r w:rsidR="00B51182">
        <w:t xml:space="preserve">costs </w:t>
      </w:r>
      <w:r w:rsidRPr="00CE7DA2">
        <w:t xml:space="preserve">gradient </w:t>
      </w:r>
      <w:r w:rsidR="00C567BD">
        <w:t xml:space="preserve">for </w:t>
      </w:r>
      <w:r w:rsidRPr="00CE7DA2">
        <w:t>prisons</w:t>
      </w:r>
      <w:r w:rsidR="003528B8">
        <w:t xml:space="preserve"> and not assess regional costs in prisons</w:t>
      </w:r>
      <w:r w:rsidRPr="00CE7DA2">
        <w:t xml:space="preserve">. </w:t>
      </w:r>
    </w:p>
    <w:p w14:paraId="317E8239" w14:textId="797674DE" w:rsidR="001F6DE6" w:rsidRPr="00E23631" w:rsidRDefault="001F6DE6" w:rsidP="001F6DE6">
      <w:pPr>
        <w:pStyle w:val="Heading3"/>
        <w:keepNext/>
      </w:pPr>
      <w:r>
        <w:t xml:space="preserve">Prisons assessment – </w:t>
      </w:r>
      <w:r w:rsidR="00F857E6">
        <w:t>juvenile detainees and community corrections</w:t>
      </w:r>
    </w:p>
    <w:p w14:paraId="5D5698B3" w14:textId="77777777" w:rsidR="001F6DE6" w:rsidRDefault="001F6DE6" w:rsidP="00F857E6">
      <w:pPr>
        <w:pStyle w:val="CGC2025ParaNumbers"/>
      </w:pPr>
      <w:r w:rsidRPr="00A53F2E">
        <w:t>The Commission asked states whether it would be appropriate to apply a juvenile detainee cost weight if it is material. It considered that changes to the age of criminal responsibility did not warrant a change in the age groups used in prisons.</w:t>
      </w:r>
    </w:p>
    <w:p w14:paraId="7296F1F6" w14:textId="1965AB04" w:rsidR="007F5277" w:rsidRPr="00A53F2E" w:rsidRDefault="007F5277" w:rsidP="00F857E6">
      <w:pPr>
        <w:pStyle w:val="CGC2025ParaNumbers"/>
      </w:pPr>
      <w:r>
        <w:lastRenderedPageBreak/>
        <w:t xml:space="preserve">In response to state comments, the Commission </w:t>
      </w:r>
      <w:r w:rsidR="00771331">
        <w:t xml:space="preserve">proposed </w:t>
      </w:r>
      <w:r w:rsidR="0086181C">
        <w:t xml:space="preserve">a </w:t>
      </w:r>
      <w:r w:rsidR="00F8566B">
        <w:t>separate assessment for non</w:t>
      </w:r>
      <w:r w:rsidR="00F8566B">
        <w:noBreakHyphen/>
        <w:t>custodial services.</w:t>
      </w:r>
    </w:p>
    <w:p w14:paraId="7EE42152" w14:textId="77777777" w:rsidR="001F6DE6" w:rsidRDefault="001F6DE6" w:rsidP="001F6DE6">
      <w:pPr>
        <w:pStyle w:val="Heading4"/>
      </w:pPr>
      <w:r>
        <w:t>State views</w:t>
      </w:r>
    </w:p>
    <w:p w14:paraId="10DF4486" w14:textId="77777777" w:rsidR="001F6DE6" w:rsidRDefault="001F6DE6" w:rsidP="001F6DE6">
      <w:pPr>
        <w:pStyle w:val="Heading5"/>
      </w:pPr>
      <w:r w:rsidRPr="00BC7D11">
        <w:t>Juvenile cost weight and age group</w:t>
      </w:r>
    </w:p>
    <w:p w14:paraId="6054745C" w14:textId="79DC7F42" w:rsidR="001F6DE6" w:rsidRDefault="001F6DE6" w:rsidP="001F6DE6">
      <w:pPr>
        <w:pStyle w:val="CGC2025ParaNumbers"/>
      </w:pPr>
      <w:r>
        <w:t>Most states supported appl</w:t>
      </w:r>
      <w:r w:rsidR="00C41E91">
        <w:t>ying</w:t>
      </w:r>
      <w:r>
        <w:t xml:space="preserve"> a juvenile detainee cost weight if it is material. </w:t>
      </w:r>
      <w:r w:rsidRPr="003E4F8C">
        <w:t>Queensland proposed an alternat</w:t>
      </w:r>
      <w:r>
        <w:t>ive</w:t>
      </w:r>
      <w:r w:rsidRPr="003E4F8C">
        <w:t xml:space="preserve"> method for calculating cost weights, based on cost per bed night in youth detention</w:t>
      </w:r>
      <w:r>
        <w:t xml:space="preserve">. </w:t>
      </w:r>
    </w:p>
    <w:p w14:paraId="2300E9A8" w14:textId="77777777" w:rsidR="001F6DE6" w:rsidRDefault="001F6DE6" w:rsidP="001F6DE6">
      <w:pPr>
        <w:pStyle w:val="CGC2025ParaNumbers"/>
      </w:pPr>
      <w:r>
        <w:t xml:space="preserve">Victoria said it did not support the application of a cost weight because the </w:t>
      </w:r>
      <w:r w:rsidRPr="000269ED">
        <w:rPr>
          <w:i/>
          <w:iCs/>
        </w:rPr>
        <w:t>Report on Government Services</w:t>
      </w:r>
      <w:r>
        <w:t xml:space="preserve"> juvenile detention expenditure data were not comparable across states.</w:t>
      </w:r>
    </w:p>
    <w:p w14:paraId="070B1288" w14:textId="4C2E325D" w:rsidR="003A1A8D" w:rsidRPr="00FB2BDC" w:rsidRDefault="003A1A8D" w:rsidP="001F6DE6">
      <w:pPr>
        <w:pStyle w:val="CGC2025ParaNumbers"/>
      </w:pPr>
      <w:r w:rsidRPr="00FB2BDC">
        <w:t>T</w:t>
      </w:r>
      <w:r w:rsidR="000B6D4D" w:rsidRPr="00FB2BDC">
        <w:t>he ACT</w:t>
      </w:r>
      <w:r w:rsidR="002E2755" w:rsidRPr="00FB2BDC">
        <w:t xml:space="preserve"> said</w:t>
      </w:r>
      <w:r w:rsidR="00261E2E" w:rsidRPr="00FB2BDC">
        <w:t xml:space="preserve"> it</w:t>
      </w:r>
      <w:r w:rsidR="000B6D4D" w:rsidRPr="00FB2BDC">
        <w:t xml:space="preserve"> </w:t>
      </w:r>
      <w:r w:rsidR="00221517" w:rsidRPr="00FB2BDC">
        <w:t xml:space="preserve">did </w:t>
      </w:r>
      <w:r w:rsidR="00FA4849" w:rsidRPr="00FB2BDC">
        <w:t>not support the proposed assessment of juvenile detainees</w:t>
      </w:r>
      <w:r w:rsidR="00231D38" w:rsidRPr="00FB2BDC">
        <w:t xml:space="preserve"> because</w:t>
      </w:r>
      <w:r w:rsidR="00FB02F9" w:rsidRPr="00FB2BDC">
        <w:t xml:space="preserve"> the</w:t>
      </w:r>
      <w:r w:rsidR="002C7983" w:rsidRPr="00FB2BDC">
        <w:t xml:space="preserve"> application </w:t>
      </w:r>
      <w:r w:rsidR="00FB02F9" w:rsidRPr="00FB2BDC">
        <w:t>of a cost weight</w:t>
      </w:r>
      <w:r w:rsidR="006A4E7C" w:rsidRPr="00FB2BDC">
        <w:t xml:space="preserve"> would</w:t>
      </w:r>
      <w:r w:rsidR="00FF047B" w:rsidRPr="00FB2BDC">
        <w:t xml:space="preserve"> not recognise </w:t>
      </w:r>
      <w:r w:rsidR="00CD29A3" w:rsidRPr="00FB2BDC">
        <w:t xml:space="preserve">other relevant cost drivers </w:t>
      </w:r>
      <w:r w:rsidR="00544CC9" w:rsidRPr="00FB2BDC">
        <w:t>other than population characteristics of young people</w:t>
      </w:r>
      <w:r w:rsidR="00FF047B" w:rsidRPr="00FB2BDC">
        <w:t>.</w:t>
      </w:r>
      <w:r w:rsidR="002301BE" w:rsidRPr="00FB2BDC">
        <w:t xml:space="preserve"> The ACT had the second highest expenditure (approximately double the national average) on youth justice services per young person in the population in 2023</w:t>
      </w:r>
      <w:r w:rsidR="00AC2D07" w:rsidRPr="00FB2BDC">
        <w:t>–</w:t>
      </w:r>
      <w:r w:rsidR="002301BE" w:rsidRPr="00FB2BDC">
        <w:t xml:space="preserve">24. </w:t>
      </w:r>
      <w:r w:rsidR="00B45C44" w:rsidRPr="00FB2BDC">
        <w:t xml:space="preserve">It said this was due </w:t>
      </w:r>
      <w:r w:rsidR="00C77ACD" w:rsidRPr="00FB2BDC">
        <w:t xml:space="preserve">to </w:t>
      </w:r>
      <w:r w:rsidR="001D4EA7" w:rsidRPr="00FB2BDC">
        <w:t xml:space="preserve">other </w:t>
      </w:r>
      <w:r w:rsidR="00D374F2" w:rsidRPr="00FB2BDC">
        <w:t>cost drivers relevant</w:t>
      </w:r>
      <w:r w:rsidR="000914B9" w:rsidRPr="00FB2BDC">
        <w:t xml:space="preserve"> </w:t>
      </w:r>
      <w:r w:rsidR="00D374F2" w:rsidRPr="00FB2BDC">
        <w:t>to</w:t>
      </w:r>
      <w:r w:rsidR="000914B9" w:rsidRPr="00FB2BDC">
        <w:t xml:space="preserve"> providing youth justice services</w:t>
      </w:r>
      <w:r w:rsidR="00A7614D" w:rsidRPr="00FB2BDC">
        <w:t xml:space="preserve"> </w:t>
      </w:r>
      <w:r w:rsidR="00863136" w:rsidRPr="00FB2BDC">
        <w:t xml:space="preserve">that are not accounted for, </w:t>
      </w:r>
      <w:r w:rsidR="00A7614D" w:rsidRPr="00FB2BDC">
        <w:t xml:space="preserve">such as alternative supports, </w:t>
      </w:r>
      <w:r w:rsidR="003B4C31" w:rsidRPr="00FB2BDC">
        <w:t xml:space="preserve">service delivery scale and </w:t>
      </w:r>
      <w:r w:rsidR="00B44D36" w:rsidRPr="00FB2BDC">
        <w:t>human rights</w:t>
      </w:r>
      <w:r w:rsidR="00863136" w:rsidRPr="00FB2BDC">
        <w:t xml:space="preserve"> adjustments.</w:t>
      </w:r>
    </w:p>
    <w:p w14:paraId="44A61263" w14:textId="6ECF433A" w:rsidR="001F6DE6" w:rsidRDefault="001F6DE6" w:rsidP="00E6139A">
      <w:pPr>
        <w:pStyle w:val="CGC2025ParaNumbers"/>
      </w:pPr>
      <w:r w:rsidRPr="003D6478">
        <w:t>All states that responded supported not changing the juvenile detainee age groups in response to changes to the minimum age of criminal responsibility across states.</w:t>
      </w:r>
      <w:r w:rsidR="004F2B05">
        <w:t xml:space="preserve"> </w:t>
      </w:r>
    </w:p>
    <w:p w14:paraId="321C432C" w14:textId="39DFCE3D" w:rsidR="001F6DE6" w:rsidRDefault="00E01551" w:rsidP="001F6DE6">
      <w:pPr>
        <w:pStyle w:val="Heading5"/>
      </w:pPr>
      <w:r>
        <w:t>Community corrections</w:t>
      </w:r>
    </w:p>
    <w:p w14:paraId="0C1FC15F" w14:textId="60E01546" w:rsidR="00FC383F" w:rsidRDefault="00FC383F" w:rsidP="00FC383F">
      <w:pPr>
        <w:pStyle w:val="CGC2025ParaNumbers"/>
      </w:pPr>
      <w:r>
        <w:t xml:space="preserve">New South Wales, Western Australia and the ACT supported the inclusion of a community corrections assessment, if material, in the justice method.  </w:t>
      </w:r>
    </w:p>
    <w:p w14:paraId="40CF260A" w14:textId="77777777" w:rsidR="0006188C" w:rsidRDefault="00FC383F" w:rsidP="0006188C">
      <w:pPr>
        <w:pStyle w:val="CGC2025ParaNumbers"/>
      </w:pPr>
      <w:r>
        <w:t>New South Wales said the use of weighted average service levels across all states ensures that the assessment will be policy neutral.</w:t>
      </w:r>
    </w:p>
    <w:p w14:paraId="48B6ED89" w14:textId="3DB12FAA" w:rsidR="004F0520" w:rsidRDefault="004F0520" w:rsidP="0006188C">
      <w:pPr>
        <w:pStyle w:val="CGC2025ParaNumbers"/>
      </w:pPr>
      <w:r>
        <w:t xml:space="preserve">Queensland did not support the incorporation of a community corrections assessment into the justice method. </w:t>
      </w:r>
      <w:r w:rsidR="00EC14FE">
        <w:t xml:space="preserve">It said </w:t>
      </w:r>
      <w:r>
        <w:t xml:space="preserve">that materiality in this assessment is driven by New South </w:t>
      </w:r>
      <w:proofErr w:type="spellStart"/>
      <w:r w:rsidR="000069EE">
        <w:t>Wales’</w:t>
      </w:r>
      <w:proofErr w:type="spellEnd"/>
      <w:r>
        <w:t xml:space="preserve"> policy to use community corrections orders at a much higher rate than other states. </w:t>
      </w:r>
      <w:r w:rsidR="007974B0">
        <w:t xml:space="preserve">It </w:t>
      </w:r>
      <w:r w:rsidR="00313FFC">
        <w:t>suggested</w:t>
      </w:r>
      <w:r>
        <w:t xml:space="preserve"> there needs to be a consideration of the complexity and policy neutrality of data.  </w:t>
      </w:r>
    </w:p>
    <w:p w14:paraId="547E319D" w14:textId="5FA102FF" w:rsidR="00FC383F" w:rsidRDefault="004F0520" w:rsidP="004F0520">
      <w:pPr>
        <w:pStyle w:val="CGC2025ParaNumbers"/>
      </w:pPr>
      <w:r>
        <w:t>Victoria argued that data on community corrections are not comparable between states due to differences in state classifications of community corrections orders, particularly with New South Wales’ policy choices. I</w:t>
      </w:r>
      <w:r w:rsidR="000726FA">
        <w:t>t said i</w:t>
      </w:r>
      <w:r>
        <w:t>f an assessment is material, an adjustment to account for differences in state classifications should be considered and the method be consulted on further with states.</w:t>
      </w:r>
    </w:p>
    <w:p w14:paraId="11EA9680" w14:textId="77777777" w:rsidR="001F6DE6" w:rsidRPr="00F120D9" w:rsidRDefault="001F6DE6" w:rsidP="001F6DE6">
      <w:pPr>
        <w:pStyle w:val="Heading4"/>
      </w:pPr>
      <w:r>
        <w:lastRenderedPageBreak/>
        <w:t>Commission response</w:t>
      </w:r>
    </w:p>
    <w:p w14:paraId="6F9C7A33" w14:textId="77777777" w:rsidR="001F6DE6" w:rsidRDefault="001F6DE6" w:rsidP="001F6DE6">
      <w:pPr>
        <w:pStyle w:val="Heading5"/>
      </w:pPr>
      <w:r>
        <w:t>Juvenile cost weight and age group</w:t>
      </w:r>
    </w:p>
    <w:p w14:paraId="6108DE3A" w14:textId="77777777" w:rsidR="001F6DE6" w:rsidRDefault="001F6DE6" w:rsidP="001F6DE6">
      <w:pPr>
        <w:pStyle w:val="CGC2025ParaNumbers"/>
      </w:pPr>
      <w:r w:rsidRPr="00AD513F">
        <w:t xml:space="preserve">The Commission notes the Productivity Commission’s </w:t>
      </w:r>
      <w:r w:rsidRPr="00C8365B">
        <w:rPr>
          <w:i/>
          <w:iCs/>
        </w:rPr>
        <w:t>Report on Government Services 2024</w:t>
      </w:r>
      <w:r w:rsidRPr="00AD513F">
        <w:t xml:space="preserve"> juvenile detention expenditure data are published with a qualifier say</w:t>
      </w:r>
      <w:r>
        <w:t>ing</w:t>
      </w:r>
      <w:r w:rsidRPr="00AD513F">
        <w:t xml:space="preserve"> the </w:t>
      </w:r>
      <w:r>
        <w:t xml:space="preserve">data </w:t>
      </w:r>
      <w:r w:rsidRPr="00AD513F">
        <w:t>are not comparable across states</w:t>
      </w:r>
      <w:r>
        <w:t>.</w:t>
      </w:r>
      <w:r>
        <w:rPr>
          <w:rStyle w:val="FootnoteReference"/>
        </w:rPr>
        <w:footnoteReference w:id="15"/>
      </w:r>
      <w:r w:rsidRPr="00E55933">
        <w:rPr>
          <w:rFonts w:ascii="Open Sans Light" w:hAnsi="Open Sans Light"/>
          <w:szCs w:val="22"/>
        </w:rPr>
        <w:t xml:space="preserve"> </w:t>
      </w:r>
      <w:r w:rsidRPr="00E55933">
        <w:t>The Productivity Commission advised that data are not comparable because states have different funding structures for their youth justice services.</w:t>
      </w:r>
    </w:p>
    <w:p w14:paraId="2C423FE6" w14:textId="693B36D0" w:rsidR="001F6DE6" w:rsidRDefault="001F6DE6" w:rsidP="001F6DE6">
      <w:pPr>
        <w:pStyle w:val="CGC2025ParaNumbers"/>
      </w:pPr>
      <w:r>
        <w:t xml:space="preserve">Despite the </w:t>
      </w:r>
      <w:r w:rsidRPr="00F20D8E">
        <w:t>Productivity</w:t>
      </w:r>
      <w:r>
        <w:t xml:space="preserve"> Commission’s caveat, the </w:t>
      </w:r>
      <w:r w:rsidRPr="59980C50">
        <w:rPr>
          <w:i/>
          <w:iCs/>
        </w:rPr>
        <w:t xml:space="preserve">Report on Government Services </w:t>
      </w:r>
      <w:r>
        <w:t xml:space="preserve">juvenile detention expenditure data are currently the best available for determining </w:t>
      </w:r>
      <w:r w:rsidR="00EE6DBE">
        <w:t xml:space="preserve">the cost differences between </w:t>
      </w:r>
      <w:r>
        <w:t>adult prisoner</w:t>
      </w:r>
      <w:r w:rsidR="00EE6DBE">
        <w:t>s</w:t>
      </w:r>
      <w:r w:rsidDel="00EE6DBE">
        <w:t xml:space="preserve"> </w:t>
      </w:r>
      <w:r w:rsidR="00EE6DBE">
        <w:t>and</w:t>
      </w:r>
      <w:r>
        <w:t xml:space="preserve"> juvenile detainee</w:t>
      </w:r>
      <w:r w:rsidR="006944D5">
        <w:t>s</w:t>
      </w:r>
      <w:r>
        <w:t xml:space="preserve">. The Commission considers that using national average data from the </w:t>
      </w:r>
      <w:r w:rsidRPr="59980C50">
        <w:rPr>
          <w:i/>
          <w:iCs/>
        </w:rPr>
        <w:t>Report on Government Services</w:t>
      </w:r>
      <w:r>
        <w:t xml:space="preserve"> to calculate juvenile detainee cost weights is appropriate and will reduce the impact of state policy influences.</w:t>
      </w:r>
    </w:p>
    <w:p w14:paraId="7D07A309" w14:textId="4465B919" w:rsidR="00B55B1E" w:rsidRDefault="00B55B1E" w:rsidP="001F6DE6">
      <w:pPr>
        <w:pStyle w:val="CGC2025ParaNumbers"/>
      </w:pPr>
      <w:r>
        <w:t xml:space="preserve">The Commission tested the </w:t>
      </w:r>
      <w:r w:rsidR="00012D8C">
        <w:t>impact of adding a</w:t>
      </w:r>
      <w:r w:rsidR="001C0076">
        <w:t xml:space="preserve"> juvenile detainee cost weight and found it to be material</w:t>
      </w:r>
      <w:r w:rsidR="00AC5F24">
        <w:t xml:space="preserve">, moving </w:t>
      </w:r>
      <w:r w:rsidR="00183513">
        <w:t xml:space="preserve">$47 per capita for </w:t>
      </w:r>
      <w:r w:rsidR="00E76731">
        <w:t>the Northern Territory</w:t>
      </w:r>
      <w:r w:rsidR="001C0076">
        <w:t>.</w:t>
      </w:r>
      <w:r w:rsidR="00B324A5">
        <w:t xml:space="preserve"> It will therefore </w:t>
      </w:r>
      <w:r w:rsidR="001C136E">
        <w:t>introduce</w:t>
      </w:r>
      <w:r w:rsidR="00A14AC9">
        <w:t xml:space="preserve"> the cost weight in the </w:t>
      </w:r>
      <w:r w:rsidR="001C136E">
        <w:t>assessment.</w:t>
      </w:r>
      <w:r>
        <w:t xml:space="preserve"> </w:t>
      </w:r>
    </w:p>
    <w:p w14:paraId="049A1275" w14:textId="23CD4469" w:rsidR="001F6DE6" w:rsidRDefault="001F6DE6" w:rsidP="001F6DE6">
      <w:pPr>
        <w:pStyle w:val="CGC2025ParaNumbers"/>
      </w:pPr>
      <w:r w:rsidRPr="00E735FD">
        <w:t>The Commission consider</w:t>
      </w:r>
      <w:r w:rsidR="00310EA5">
        <w:t>ed</w:t>
      </w:r>
      <w:r w:rsidRPr="00E735FD">
        <w:t xml:space="preserve"> Queensland’s proposed method of using cost per bed night </w:t>
      </w:r>
      <w:r w:rsidR="006051CE" w:rsidRPr="00E735FD">
        <w:t xml:space="preserve">but found that </w:t>
      </w:r>
      <w:r w:rsidR="00DF2090">
        <w:t>this method would</w:t>
      </w:r>
      <w:r w:rsidR="00E735FD" w:rsidRPr="00E735FD">
        <w:t xml:space="preserve"> overstate juvenile detainee costs when applied to the daily average number of juvenile detainees</w:t>
      </w:r>
      <w:r w:rsidRPr="00E735FD">
        <w:t xml:space="preserve">. </w:t>
      </w:r>
      <w:r w:rsidR="00FA1631">
        <w:t xml:space="preserve">The </w:t>
      </w:r>
      <w:r w:rsidR="00755B79">
        <w:t xml:space="preserve">cost weight used in the assessment will be calculated </w:t>
      </w:r>
      <w:r w:rsidR="00461CF8">
        <w:t>using the difference in average daily costs between juvenile detainees and adult prisoners.</w:t>
      </w:r>
    </w:p>
    <w:p w14:paraId="3C0ABA1A" w14:textId="326860BB" w:rsidR="00B524EA" w:rsidRPr="000069EE" w:rsidRDefault="000C34B4" w:rsidP="000C34B4">
      <w:pPr>
        <w:pStyle w:val="CGC2025ParaNumbers"/>
      </w:pPr>
      <w:r w:rsidRPr="000069EE">
        <w:t xml:space="preserve">The Commission accepts that, in addition to the population characteristics of young people, factors such as geographic characteristics and service delivery scale may influence the cost of providing youth justice services. However, the Commission considers </w:t>
      </w:r>
      <w:r w:rsidR="001243EA" w:rsidRPr="000069EE">
        <w:t>age</w:t>
      </w:r>
      <w:r w:rsidRPr="000069EE">
        <w:t xml:space="preserve"> to be the primary policy-neutral driver of costs in this area. As the assessment of this driver results in only a small effect on the GST distribution, the Commission considers that any additional cost drivers, if present, are unlikely to be material</w:t>
      </w:r>
      <w:r w:rsidR="00D40C11" w:rsidRPr="000069EE">
        <w:t xml:space="preserve">. </w:t>
      </w:r>
    </w:p>
    <w:p w14:paraId="176147C3" w14:textId="1D683FA1" w:rsidR="00461CF8" w:rsidRPr="00E735FD" w:rsidRDefault="00E90A01" w:rsidP="00900F6E">
      <w:pPr>
        <w:pStyle w:val="CGC2025ParaNumbers"/>
      </w:pPr>
      <w:r>
        <w:t>To facilitate the introduction of the juvenile detainee cost weight, the Commission will use new age groups across the justice assessment. The new age groups will be 0–17, 18–24, 25–44, 45–64 and 65+. The juvenile detainee cost weight will be</w:t>
      </w:r>
      <w:r w:rsidR="00900F6E">
        <w:t xml:space="preserve"> </w:t>
      </w:r>
      <w:r>
        <w:t>applied to all assessed prisoners in the 0–17 age group.</w:t>
      </w:r>
    </w:p>
    <w:p w14:paraId="28FB064A" w14:textId="08923829" w:rsidR="00FE01CE" w:rsidRDefault="009E7A68" w:rsidP="00FE01CE">
      <w:pPr>
        <w:pStyle w:val="Heading5"/>
      </w:pPr>
      <w:r w:rsidRPr="009E7A68">
        <w:t>Community corrections</w:t>
      </w:r>
    </w:p>
    <w:p w14:paraId="78E9C8EE" w14:textId="627B0366" w:rsidR="00FE01CE" w:rsidRPr="00B67E41" w:rsidRDefault="00FE01CE" w:rsidP="001F5958">
      <w:pPr>
        <w:pStyle w:val="CGC2025ParaNumbers"/>
      </w:pPr>
      <w:r w:rsidRPr="007C7D67">
        <w:t>The Commission considers there is a conceptual case for community corrections orders to be assessed in the prisons assessment.</w:t>
      </w:r>
      <w:r>
        <w:t xml:space="preserve"> </w:t>
      </w:r>
      <w:r w:rsidR="003A73DB">
        <w:t xml:space="preserve">However, </w:t>
      </w:r>
      <w:r w:rsidR="009435DA" w:rsidRPr="00C521F1">
        <w:t>t</w:t>
      </w:r>
      <w:r w:rsidRPr="00C521F1">
        <w:t xml:space="preserve">he Commission </w:t>
      </w:r>
      <w:r w:rsidR="009435DA" w:rsidRPr="00C521F1">
        <w:t xml:space="preserve">found an </w:t>
      </w:r>
      <w:r w:rsidR="009435DA" w:rsidRPr="00C521F1">
        <w:lastRenderedPageBreak/>
        <w:t>assessment of</w:t>
      </w:r>
      <w:r w:rsidR="00B82B87" w:rsidRPr="00C521F1">
        <w:t xml:space="preserve"> </w:t>
      </w:r>
      <w:r w:rsidR="009435DA" w:rsidRPr="00C521F1">
        <w:t>community correction orders using 2022–23 and 2023–24 data</w:t>
      </w:r>
      <w:r w:rsidR="00B82B87" w:rsidRPr="00C521F1">
        <w:t xml:space="preserve"> </w:t>
      </w:r>
      <w:r w:rsidR="00F30749">
        <w:t xml:space="preserve">was </w:t>
      </w:r>
      <w:r w:rsidR="001A0E7C" w:rsidRPr="00C521F1">
        <w:t>not material</w:t>
      </w:r>
      <w:r w:rsidR="0075678B">
        <w:t>, moving $21 per capita for one state</w:t>
      </w:r>
      <w:r w:rsidRPr="00C521F1">
        <w:t xml:space="preserve">. </w:t>
      </w:r>
    </w:p>
    <w:p w14:paraId="3BCE5177" w14:textId="77777777" w:rsidR="00FE01CE" w:rsidRDefault="00FE01CE" w:rsidP="00FE01CE">
      <w:pPr>
        <w:pStyle w:val="Heading4"/>
      </w:pPr>
      <w:bookmarkStart w:id="24" w:name="_Hlk212127997"/>
      <w:r>
        <w:t>Commission decision</w:t>
      </w:r>
    </w:p>
    <w:bookmarkEnd w:id="24"/>
    <w:p w14:paraId="260F0BE9" w14:textId="44336B5B" w:rsidR="001F6DE6" w:rsidRDefault="00FE01CE" w:rsidP="00FE01CE">
      <w:pPr>
        <w:pStyle w:val="CGC2025ParaNumbers"/>
      </w:pPr>
      <w:r w:rsidRPr="00F1406C">
        <w:t xml:space="preserve">The Commission will </w:t>
      </w:r>
      <w:r w:rsidR="001002FE">
        <w:t>apply</w:t>
      </w:r>
      <w:r w:rsidRPr="00F1406C">
        <w:t xml:space="preserve"> a</w:t>
      </w:r>
      <w:r w:rsidR="003541A6" w:rsidRPr="00F1406C">
        <w:t xml:space="preserve"> </w:t>
      </w:r>
      <w:r w:rsidR="00ED6998" w:rsidRPr="00F1406C">
        <w:t>juvenile detainee cost weight in the prisons assessment</w:t>
      </w:r>
      <w:r w:rsidR="00980BE7">
        <w:t xml:space="preserve"> and </w:t>
      </w:r>
      <w:r w:rsidR="0052019A">
        <w:t xml:space="preserve">adjust the age </w:t>
      </w:r>
      <w:r w:rsidR="00D52433">
        <w:t>groups</w:t>
      </w:r>
      <w:r w:rsidR="0052019A">
        <w:t xml:space="preserve"> used </w:t>
      </w:r>
      <w:r w:rsidR="001002FE">
        <w:t>in the justice assessment</w:t>
      </w:r>
      <w:r w:rsidR="00BE64F3" w:rsidRPr="00F1406C">
        <w:t xml:space="preserve">. It will not include a separate assessment for </w:t>
      </w:r>
      <w:r w:rsidR="00F1406C" w:rsidRPr="00F1406C">
        <w:t>community corrections.</w:t>
      </w:r>
    </w:p>
    <w:p w14:paraId="15AB68F8" w14:textId="5185E5B6" w:rsidR="00A670D3" w:rsidRDefault="00A670D3" w:rsidP="00A670D3">
      <w:pPr>
        <w:pStyle w:val="Heading3"/>
        <w:keepNext/>
      </w:pPr>
      <w:r>
        <w:t xml:space="preserve">Prisons assessment – </w:t>
      </w:r>
      <w:r w:rsidR="0068270B">
        <w:t>other issues</w:t>
      </w:r>
    </w:p>
    <w:p w14:paraId="156BAA76" w14:textId="63447850" w:rsidR="00243950" w:rsidRDefault="00243950" w:rsidP="00243950">
      <w:pPr>
        <w:pStyle w:val="CGC2025ParaNumbers"/>
      </w:pPr>
      <w:r w:rsidRPr="000069EE">
        <w:t>In response to state comments, the Commission considered the appropriateness of its assessed prisoners model</w:t>
      </w:r>
      <w:r w:rsidR="005F50E3" w:rsidRPr="000069EE">
        <w:t xml:space="preserve"> and other potential</w:t>
      </w:r>
      <w:r w:rsidR="00463998" w:rsidRPr="000069EE">
        <w:t xml:space="preserve"> drivers of costs in prisons</w:t>
      </w:r>
      <w:r w:rsidRPr="000069EE">
        <w:t>.</w:t>
      </w:r>
    </w:p>
    <w:p w14:paraId="21E468DB" w14:textId="43E31BD3" w:rsidR="00FE1F56" w:rsidRPr="000069EE" w:rsidRDefault="00FE1F56" w:rsidP="00FE1F56">
      <w:pPr>
        <w:pStyle w:val="Heading4"/>
      </w:pPr>
      <w:r>
        <w:t>State views</w:t>
      </w:r>
    </w:p>
    <w:p w14:paraId="56B8849E" w14:textId="58E6482C" w:rsidR="000A7479" w:rsidRPr="000A7479" w:rsidRDefault="00252E14" w:rsidP="000A7479">
      <w:pPr>
        <w:pStyle w:val="Heading5"/>
      </w:pPr>
      <w:r>
        <w:t>Assessed prisoners model</w:t>
      </w:r>
    </w:p>
    <w:p w14:paraId="1D1F2836" w14:textId="1F536A67" w:rsidR="00A670D3" w:rsidRPr="000069EE" w:rsidRDefault="009D76BE" w:rsidP="00CC0862">
      <w:pPr>
        <w:pStyle w:val="CGC2025ParaNumbers"/>
      </w:pPr>
      <w:r w:rsidRPr="000069EE">
        <w:t xml:space="preserve">The </w:t>
      </w:r>
      <w:r w:rsidR="00CC0862" w:rsidRPr="000069EE">
        <w:t>ACT stated that the Commission’s assessed prisoners model substantially underestimates the number of First Nations people held in its custody. It noted that the model produces a share of First Nations detainees, relative to total detainees in the ACT, that is lower than the national average. The ACT said this is inconsistent with actual data and indicates that the model may not be appropriate</w:t>
      </w:r>
      <w:r w:rsidR="00986D31" w:rsidRPr="000069EE">
        <w:t xml:space="preserve">. </w:t>
      </w:r>
    </w:p>
    <w:p w14:paraId="0FF12A2D" w14:textId="3C728F16" w:rsidR="00C616B0" w:rsidRPr="00C616B0" w:rsidRDefault="00844CB7" w:rsidP="00C616B0">
      <w:pPr>
        <w:pStyle w:val="Heading5"/>
      </w:pPr>
      <w:r>
        <w:t>Prisoner welfare</w:t>
      </w:r>
    </w:p>
    <w:p w14:paraId="7745279B" w14:textId="4CE770B5" w:rsidR="00E54213" w:rsidRPr="000069EE" w:rsidRDefault="00B42407" w:rsidP="008F54E8">
      <w:pPr>
        <w:pStyle w:val="CGC2025ParaNumbers"/>
      </w:pPr>
      <w:r w:rsidRPr="000069EE">
        <w:t>The ACT also said the Commission should explore other relevant cost drivers beyond remoteness and service delivery scale. It identified detainee health, welfare and educational opportunities as areas that significantly impact the cost of prison services. The ACT had the highest cost per prisoner per day in 2023</w:t>
      </w:r>
      <w:r w:rsidR="00012AE2" w:rsidRPr="00B35557">
        <w:rPr>
          <w:rFonts w:cs="Times New Roman"/>
          <w:szCs w:val="20"/>
          <w:rtl/>
        </w:rPr>
        <w:t>‍</w:t>
      </w:r>
      <w:r w:rsidR="00B35557" w:rsidRPr="00B35557">
        <w:rPr>
          <w:rFonts w:cs="Times New Roman"/>
          <w:szCs w:val="20"/>
          <w:lang w:val="en-US"/>
        </w:rPr>
        <w:t>–</w:t>
      </w:r>
      <w:r w:rsidRPr="000069EE">
        <w:t>24, at close to twice the national average. It said that</w:t>
      </w:r>
      <w:r w:rsidR="001A2916" w:rsidRPr="000069EE">
        <w:t xml:space="preserve"> </w:t>
      </w:r>
      <w:r w:rsidR="0044409C" w:rsidRPr="008B7491">
        <w:t>diseconomies</w:t>
      </w:r>
      <w:r w:rsidR="001A2916" w:rsidRPr="008B7491">
        <w:t xml:space="preserve"> of scale</w:t>
      </w:r>
      <w:r w:rsidR="001A2916" w:rsidRPr="000069EE">
        <w:t>, alongside</w:t>
      </w:r>
      <w:r w:rsidRPr="000069EE">
        <w:t xml:space="preserve"> investments made over</w:t>
      </w:r>
      <w:r w:rsidR="00C75DB0" w:rsidRPr="000069EE">
        <w:t xml:space="preserve"> time</w:t>
      </w:r>
      <w:r w:rsidRPr="000069EE">
        <w:t xml:space="preserve"> to ensure a human-rights compliant prison</w:t>
      </w:r>
      <w:r w:rsidR="00116A72" w:rsidRPr="000069EE">
        <w:t>,</w:t>
      </w:r>
      <w:r w:rsidRPr="000069EE">
        <w:t xml:space="preserve"> contributed to its </w:t>
      </w:r>
      <w:r w:rsidR="00116A72" w:rsidRPr="000069EE">
        <w:t xml:space="preserve">relatively </w:t>
      </w:r>
      <w:r w:rsidRPr="000069EE">
        <w:t>high cost</w:t>
      </w:r>
      <w:r w:rsidR="00116A72" w:rsidRPr="000069EE">
        <w:t>.</w:t>
      </w:r>
    </w:p>
    <w:p w14:paraId="51487FC3" w14:textId="067EB66F" w:rsidR="00B42407" w:rsidRPr="000069EE" w:rsidRDefault="006E4D1A" w:rsidP="0062369A">
      <w:pPr>
        <w:pStyle w:val="CGC2025ParaNumbers"/>
      </w:pPr>
      <w:r w:rsidRPr="000069EE">
        <w:t>The ACT also said that these factors impact</w:t>
      </w:r>
      <w:r w:rsidR="009E031F" w:rsidRPr="000069EE">
        <w:t xml:space="preserve">ed </w:t>
      </w:r>
      <w:r w:rsidR="00BE489D" w:rsidRPr="000069EE">
        <w:t>the cost of providing</w:t>
      </w:r>
      <w:r w:rsidR="009E031F" w:rsidRPr="000069EE">
        <w:t xml:space="preserve"> youth justice</w:t>
      </w:r>
      <w:r w:rsidR="00BE489D" w:rsidRPr="000069EE">
        <w:t xml:space="preserve"> services and recommended that th</w:t>
      </w:r>
      <w:r w:rsidR="00E56E37" w:rsidRPr="000069EE">
        <w:t xml:space="preserve">e Commission update </w:t>
      </w:r>
      <w:r w:rsidR="007023FF" w:rsidRPr="000069EE">
        <w:t>the</w:t>
      </w:r>
      <w:r w:rsidR="00E56E37" w:rsidRPr="000069EE">
        <w:t xml:space="preserve"> conceptual framewor</w:t>
      </w:r>
      <w:r w:rsidR="00E54213" w:rsidRPr="000069EE">
        <w:t xml:space="preserve">k for the prisons </w:t>
      </w:r>
      <w:r w:rsidR="00556437" w:rsidRPr="000069EE">
        <w:t xml:space="preserve">assessment to reflect </w:t>
      </w:r>
      <w:r w:rsidR="00101D45" w:rsidRPr="000069EE">
        <w:t xml:space="preserve">the implications of the ratification of the </w:t>
      </w:r>
      <w:r w:rsidR="00101D45" w:rsidRPr="000069EE">
        <w:rPr>
          <w:i/>
          <w:iCs/>
        </w:rPr>
        <w:t xml:space="preserve">Optional Protocol to the </w:t>
      </w:r>
      <w:r w:rsidR="00C764D4" w:rsidRPr="000069EE">
        <w:rPr>
          <w:i/>
          <w:iCs/>
        </w:rPr>
        <w:t>Convention</w:t>
      </w:r>
      <w:r w:rsidR="00101D45" w:rsidRPr="000069EE">
        <w:rPr>
          <w:i/>
          <w:iCs/>
        </w:rPr>
        <w:t xml:space="preserve"> Against Torture and Other Cruel, Inhuman or </w:t>
      </w:r>
      <w:r w:rsidR="00C764D4" w:rsidRPr="000069EE">
        <w:rPr>
          <w:i/>
          <w:iCs/>
        </w:rPr>
        <w:t>Degrading</w:t>
      </w:r>
      <w:r w:rsidR="00101D45" w:rsidRPr="000069EE">
        <w:rPr>
          <w:i/>
          <w:iCs/>
        </w:rPr>
        <w:t xml:space="preserve"> Treatment or Punishment</w:t>
      </w:r>
      <w:r w:rsidR="00C764D4" w:rsidRPr="000069EE">
        <w:rPr>
          <w:i/>
          <w:iCs/>
        </w:rPr>
        <w:t xml:space="preserve">, </w:t>
      </w:r>
      <w:r w:rsidR="00C764D4" w:rsidRPr="000069EE">
        <w:t>2017.</w:t>
      </w:r>
    </w:p>
    <w:p w14:paraId="0721C4B6" w14:textId="77777777" w:rsidR="002115CA" w:rsidRPr="00F120D9" w:rsidRDefault="002115CA" w:rsidP="002115CA">
      <w:pPr>
        <w:pStyle w:val="Heading4"/>
      </w:pPr>
      <w:r>
        <w:t>Commission response</w:t>
      </w:r>
    </w:p>
    <w:p w14:paraId="358434C9" w14:textId="1C93AE2F" w:rsidR="002115CA" w:rsidRDefault="002115CA" w:rsidP="002115CA">
      <w:pPr>
        <w:pStyle w:val="Heading5"/>
      </w:pPr>
      <w:r>
        <w:t>Assessed prisoners model</w:t>
      </w:r>
    </w:p>
    <w:p w14:paraId="0E7A5BD5" w14:textId="001E10AD" w:rsidR="002115CA" w:rsidRPr="000069EE" w:rsidRDefault="002115CA" w:rsidP="002115CA">
      <w:pPr>
        <w:pStyle w:val="CGC2025ParaNumbers"/>
      </w:pPr>
      <w:r w:rsidRPr="000069EE">
        <w:t>The Com</w:t>
      </w:r>
      <w:r w:rsidR="008636FC" w:rsidRPr="000069EE">
        <w:t xml:space="preserve">mission assesses the ACT to </w:t>
      </w:r>
      <w:r w:rsidR="00355C1B" w:rsidRPr="000069EE">
        <w:t xml:space="preserve">have a </w:t>
      </w:r>
      <w:r w:rsidR="00631664" w:rsidRPr="000069EE">
        <w:t>ratio</w:t>
      </w:r>
      <w:r w:rsidR="00554006" w:rsidRPr="000069EE">
        <w:t xml:space="preserve"> of First Nations prisoners to total prisoners </w:t>
      </w:r>
      <w:r w:rsidR="00631664" w:rsidRPr="000069EE">
        <w:t>of</w:t>
      </w:r>
      <w:r w:rsidR="00554006" w:rsidRPr="000069EE">
        <w:t xml:space="preserve"> </w:t>
      </w:r>
      <w:r w:rsidR="00A46AAA" w:rsidRPr="000069EE">
        <w:t>27%. This</w:t>
      </w:r>
      <w:r w:rsidR="00554006" w:rsidRPr="000069EE">
        <w:t xml:space="preserve"> is below the national average</w:t>
      </w:r>
      <w:r w:rsidR="00B61333" w:rsidRPr="000069EE">
        <w:t xml:space="preserve"> </w:t>
      </w:r>
      <w:r w:rsidR="00A46AAA" w:rsidRPr="000069EE">
        <w:t xml:space="preserve">of </w:t>
      </w:r>
      <w:r w:rsidR="008003A9" w:rsidRPr="000069EE">
        <w:t>3</w:t>
      </w:r>
      <w:r w:rsidR="00200D5C">
        <w:t>6</w:t>
      </w:r>
      <w:r w:rsidR="003512DE" w:rsidRPr="000069EE">
        <w:t>%</w:t>
      </w:r>
      <w:r w:rsidR="00554006" w:rsidRPr="000069EE">
        <w:t>.</w:t>
      </w:r>
      <w:r w:rsidR="003512DE" w:rsidRPr="000069EE">
        <w:t xml:space="preserve"> </w:t>
      </w:r>
      <w:r w:rsidR="00837655" w:rsidRPr="000069EE">
        <w:t xml:space="preserve">ABS </w:t>
      </w:r>
      <w:r w:rsidR="00BC6FAA" w:rsidRPr="000069EE">
        <w:t xml:space="preserve">data reported the actual </w:t>
      </w:r>
      <w:r w:rsidR="00857BB7" w:rsidRPr="000069EE">
        <w:t>ratio</w:t>
      </w:r>
      <w:r w:rsidR="00BC6FAA" w:rsidRPr="000069EE">
        <w:t xml:space="preserve"> of First Nations prisoners to total prisoners in the ACT in 2023</w:t>
      </w:r>
      <w:r w:rsidR="00E717BA" w:rsidRPr="000069EE">
        <w:t>–</w:t>
      </w:r>
      <w:r w:rsidR="00BC6FAA" w:rsidRPr="000069EE">
        <w:t>24 to be about 32%</w:t>
      </w:r>
      <w:r w:rsidR="00A95267" w:rsidRPr="000069EE">
        <w:t>.</w:t>
      </w:r>
      <w:r w:rsidR="00C22C79" w:rsidRPr="000069EE">
        <w:t xml:space="preserve"> </w:t>
      </w:r>
      <w:r w:rsidR="00EE508D" w:rsidRPr="000069EE">
        <w:t>D</w:t>
      </w:r>
      <w:r w:rsidR="009F6FA3" w:rsidRPr="000069EE">
        <w:t xml:space="preserve">ifferences </w:t>
      </w:r>
      <w:r w:rsidR="000A72DD" w:rsidRPr="000069EE">
        <w:t>between actual and assessed</w:t>
      </w:r>
      <w:r w:rsidR="0093603C" w:rsidRPr="000069EE">
        <w:t xml:space="preserve"> </w:t>
      </w:r>
      <w:r w:rsidR="006C7277" w:rsidRPr="000069EE">
        <w:t xml:space="preserve">prisoners </w:t>
      </w:r>
      <w:r w:rsidR="00886A87" w:rsidRPr="000069EE">
        <w:t>are</w:t>
      </w:r>
      <w:r w:rsidR="006C7277" w:rsidRPr="000069EE">
        <w:t xml:space="preserve"> expected.</w:t>
      </w:r>
      <w:r w:rsidR="0093603C" w:rsidRPr="000069EE">
        <w:t xml:space="preserve"> This is because </w:t>
      </w:r>
      <w:r w:rsidR="00FF43B9" w:rsidRPr="000069EE">
        <w:t xml:space="preserve">assessed </w:t>
      </w:r>
      <w:r w:rsidR="009738F2" w:rsidRPr="000069EE">
        <w:t xml:space="preserve">prisoners are </w:t>
      </w:r>
      <w:r w:rsidR="0093603C" w:rsidRPr="000069EE">
        <w:t xml:space="preserve">derived in a way that removes the influence of individual state policies such as incarceration rates, sentencing </w:t>
      </w:r>
      <w:r w:rsidR="00313277" w:rsidRPr="000069EE">
        <w:t xml:space="preserve">and </w:t>
      </w:r>
      <w:r w:rsidR="008E28B0" w:rsidRPr="000069EE">
        <w:t xml:space="preserve">remedial </w:t>
      </w:r>
      <w:r w:rsidR="008E28B0" w:rsidRPr="000069EE">
        <w:lastRenderedPageBreak/>
        <w:t>programs in prisons</w:t>
      </w:r>
      <w:r w:rsidR="0093603C" w:rsidRPr="000069EE">
        <w:t xml:space="preserve">. </w:t>
      </w:r>
      <w:r w:rsidR="00007FB7" w:rsidRPr="000069EE">
        <w:t>This is not</w:t>
      </w:r>
      <w:r w:rsidR="00EC59AD" w:rsidRPr="000069EE">
        <w:t xml:space="preserve"> an indication that the model </w:t>
      </w:r>
      <w:r w:rsidR="00952B15" w:rsidRPr="000069EE">
        <w:t>is inappropriate</w:t>
      </w:r>
      <w:r w:rsidR="006C3014" w:rsidRPr="000069EE">
        <w:t xml:space="preserve">. </w:t>
      </w:r>
      <w:r w:rsidR="0086153A" w:rsidRPr="000069EE">
        <w:t>The Commission</w:t>
      </w:r>
      <w:r w:rsidR="001179D8" w:rsidRPr="000069EE">
        <w:t xml:space="preserve"> will continue to apply national average incarceration rates to</w:t>
      </w:r>
      <w:r w:rsidR="00F51614" w:rsidRPr="000069EE">
        <w:t xml:space="preserve"> </w:t>
      </w:r>
      <w:r w:rsidR="00561080" w:rsidRPr="000069EE">
        <w:t xml:space="preserve">maintain policy neutrality in the assessment. </w:t>
      </w:r>
    </w:p>
    <w:p w14:paraId="6A65E8C2" w14:textId="77777777" w:rsidR="00A34417" w:rsidRPr="00C616B0" w:rsidRDefault="00A34417" w:rsidP="00A34417">
      <w:pPr>
        <w:pStyle w:val="Heading5"/>
      </w:pPr>
      <w:r>
        <w:t>Prisoner welfare</w:t>
      </w:r>
    </w:p>
    <w:p w14:paraId="049C60B4" w14:textId="41555847" w:rsidR="00A34417" w:rsidRPr="000069EE" w:rsidRDefault="00970A5C" w:rsidP="004D012F">
      <w:pPr>
        <w:pStyle w:val="CGC2025ParaNumbers"/>
      </w:pPr>
      <w:r w:rsidRPr="000069EE">
        <w:t xml:space="preserve">The Commission </w:t>
      </w:r>
      <w:r w:rsidR="00D31F7E" w:rsidRPr="000069EE">
        <w:t xml:space="preserve">notes that </w:t>
      </w:r>
      <w:r w:rsidR="002C3674" w:rsidRPr="000069EE">
        <w:t>complying with human-rights requirements,</w:t>
      </w:r>
      <w:r w:rsidR="006F4AFA" w:rsidRPr="000069EE">
        <w:t xml:space="preserve"> </w:t>
      </w:r>
      <w:r w:rsidR="00275054" w:rsidRPr="000069EE">
        <w:t xml:space="preserve">providing educational services and attending to prisoner welfare and health would </w:t>
      </w:r>
      <w:r w:rsidR="00620F1E" w:rsidRPr="000069EE">
        <w:t xml:space="preserve">contribute to the costs of operating prisons. </w:t>
      </w:r>
      <w:r w:rsidR="009914B1" w:rsidRPr="000069EE">
        <w:t>It</w:t>
      </w:r>
      <w:r w:rsidR="00CE7DAC" w:rsidRPr="000069EE">
        <w:t xml:space="preserve"> also note</w:t>
      </w:r>
      <w:r w:rsidR="004B7CFC" w:rsidRPr="000069EE">
        <w:t>s</w:t>
      </w:r>
      <w:r w:rsidR="00CE7DAC" w:rsidRPr="000069EE">
        <w:t xml:space="preserve"> that all states undertake activities </w:t>
      </w:r>
      <w:r w:rsidR="00751E5B" w:rsidRPr="000069EE">
        <w:t xml:space="preserve">within their provision of correctional services that </w:t>
      </w:r>
      <w:r w:rsidR="0008685A" w:rsidRPr="000069EE">
        <w:t xml:space="preserve">promote prisoner </w:t>
      </w:r>
      <w:r w:rsidR="00D07C33" w:rsidRPr="000069EE">
        <w:t>welfare, health and reintegration</w:t>
      </w:r>
      <w:r w:rsidR="00D328B8" w:rsidRPr="000069EE">
        <w:t xml:space="preserve">. </w:t>
      </w:r>
      <w:r w:rsidR="00313D65" w:rsidRPr="000069EE">
        <w:t xml:space="preserve">Currently, the Commission considers there </w:t>
      </w:r>
      <w:r w:rsidR="00FE0665" w:rsidRPr="000069EE">
        <w:t>are</w:t>
      </w:r>
      <w:r w:rsidR="00313D65" w:rsidRPr="000069EE">
        <w:t xml:space="preserve"> no available data to quantify </w:t>
      </w:r>
      <w:r w:rsidR="007D4BA8" w:rsidRPr="000069EE">
        <w:t>state needs in meeting such obligations</w:t>
      </w:r>
      <w:r w:rsidR="00313D65" w:rsidRPr="000069EE">
        <w:t>, nor a</w:t>
      </w:r>
      <w:r w:rsidR="0016157E" w:rsidRPr="000069EE">
        <w:t xml:space="preserve"> conceptual basis for why </w:t>
      </w:r>
      <w:r w:rsidR="008B3247" w:rsidRPr="000069EE">
        <w:t>a particular state</w:t>
      </w:r>
      <w:r w:rsidR="009D44D7" w:rsidRPr="000069EE">
        <w:t xml:space="preserve">’s need to meet </w:t>
      </w:r>
      <w:r w:rsidR="003F12AC" w:rsidRPr="000069EE">
        <w:t xml:space="preserve">them would differ from the national average. </w:t>
      </w:r>
    </w:p>
    <w:p w14:paraId="7B5CB0C0" w14:textId="77777777" w:rsidR="00D8004C" w:rsidRDefault="00D8004C" w:rsidP="00D8004C">
      <w:pPr>
        <w:pStyle w:val="Heading4"/>
      </w:pPr>
      <w:r>
        <w:t>Commission decision</w:t>
      </w:r>
    </w:p>
    <w:p w14:paraId="250C19DE" w14:textId="1D6003D8" w:rsidR="00D8004C" w:rsidRPr="000069EE" w:rsidRDefault="00266FB0" w:rsidP="00F8375A">
      <w:pPr>
        <w:pStyle w:val="CGC2025ParaNumbers"/>
      </w:pPr>
      <w:r w:rsidRPr="000069EE">
        <w:t xml:space="preserve">The Commission will continue to use national average imprisonment rates, disaggregated by First Nations status, age and socio-economic status, to assess </w:t>
      </w:r>
      <w:r w:rsidR="0018179C" w:rsidRPr="000069EE">
        <w:t xml:space="preserve">numbers of </w:t>
      </w:r>
      <w:r w:rsidRPr="000069EE">
        <w:t xml:space="preserve">prisoners. </w:t>
      </w:r>
      <w:r w:rsidR="00F8375A" w:rsidRPr="000069EE">
        <w:t>It will not</w:t>
      </w:r>
      <w:r w:rsidRPr="000069EE">
        <w:t xml:space="preserve"> change the conceptual framework for the assessment to reflect </w:t>
      </w:r>
      <w:r w:rsidR="0018179C" w:rsidRPr="000069EE">
        <w:t>state</w:t>
      </w:r>
      <w:r w:rsidRPr="000069EE">
        <w:t xml:space="preserve"> objectives relating to prisoner welfare, health or reintegration</w:t>
      </w:r>
      <w:r w:rsidR="00F62783" w:rsidRPr="000069EE">
        <w:t xml:space="preserve">. </w:t>
      </w:r>
    </w:p>
    <w:p w14:paraId="140F9C26" w14:textId="65E41447" w:rsidR="00E168DA" w:rsidRDefault="00E00F84" w:rsidP="00E168DA">
      <w:pPr>
        <w:pStyle w:val="Heading3"/>
      </w:pPr>
      <w:r>
        <w:t>Discounting</w:t>
      </w:r>
    </w:p>
    <w:p w14:paraId="36BA0206" w14:textId="4DB8D0AE" w:rsidR="00624AAF" w:rsidRDefault="002B5378" w:rsidP="00624AAF">
      <w:pPr>
        <w:pStyle w:val="CGC2025ParaNumbers"/>
      </w:pPr>
      <w:r>
        <w:t>S</w:t>
      </w:r>
      <w:r w:rsidR="00E168DA">
        <w:t>tates</w:t>
      </w:r>
      <w:r>
        <w:t xml:space="preserve"> proposed a number of discounts</w:t>
      </w:r>
      <w:r w:rsidR="00E168DA">
        <w:t xml:space="preserve"> throughout the 2025 Review process.</w:t>
      </w:r>
      <w:r w:rsidR="007212B9">
        <w:t xml:space="preserve"> </w:t>
      </w:r>
      <w:r w:rsidR="007212B9" w:rsidRPr="000069EE">
        <w:t>A full li</w:t>
      </w:r>
      <w:r w:rsidR="00FB7B3F" w:rsidRPr="000069EE">
        <w:t xml:space="preserve">st of </w:t>
      </w:r>
      <w:r w:rsidR="001C21A8" w:rsidRPr="000069EE">
        <w:t>state-</w:t>
      </w:r>
      <w:r w:rsidR="00FB7B3F" w:rsidRPr="000069EE">
        <w:t>proposed discounts</w:t>
      </w:r>
      <w:r w:rsidR="00115645" w:rsidRPr="000069EE">
        <w:t xml:space="preserve"> and Commission responses</w:t>
      </w:r>
      <w:r w:rsidR="00FB7B3F" w:rsidRPr="000069EE">
        <w:t xml:space="preserve"> can be seen in the Overview of the final draft justice assessment.</w:t>
      </w:r>
    </w:p>
    <w:p w14:paraId="3FB122E7" w14:textId="2626D4D4" w:rsidR="00E168DA" w:rsidRDefault="00E168DA" w:rsidP="00624AAF">
      <w:pPr>
        <w:pStyle w:val="CGC2025ParaNumbers"/>
      </w:pPr>
      <w:r>
        <w:t xml:space="preserve">The Commission does not </w:t>
      </w:r>
      <w:r w:rsidR="00EE4FBF">
        <w:t>consider</w:t>
      </w:r>
      <w:r>
        <w:t xml:space="preserve"> that further discounting the justice assessment is warranted, except for the discount applied to the general service delivery scale </w:t>
      </w:r>
      <w:r w:rsidR="001D24F6">
        <w:t xml:space="preserve">costs </w:t>
      </w:r>
      <w:r>
        <w:t>gradient.</w:t>
      </w:r>
    </w:p>
    <w:p w14:paraId="3C795174" w14:textId="7E0C488F" w:rsidR="00BB72C6" w:rsidRDefault="00BB72C6" w:rsidP="00BB72C6">
      <w:pPr>
        <w:pStyle w:val="Heading4"/>
      </w:pPr>
      <w:r>
        <w:t>Commission decision</w:t>
      </w:r>
    </w:p>
    <w:p w14:paraId="778D6663" w14:textId="60D7515E" w:rsidR="00C56B20" w:rsidRDefault="00885BED" w:rsidP="00885BED">
      <w:pPr>
        <w:pStyle w:val="CGC2025ParaNumbers"/>
      </w:pPr>
      <w:r>
        <w:t xml:space="preserve">The Commission </w:t>
      </w:r>
      <w:r w:rsidR="00BB72C6">
        <w:t>will</w:t>
      </w:r>
      <w:r>
        <w:t xml:space="preserve"> </w:t>
      </w:r>
      <w:bookmarkStart w:id="25" w:name="_Hlk212190711"/>
      <w:r>
        <w:t xml:space="preserve">not apply any discounts to the updated justice assessment method outside of the already discounted </w:t>
      </w:r>
      <w:r w:rsidR="0041556E">
        <w:t xml:space="preserve">general </w:t>
      </w:r>
      <w:r>
        <w:t xml:space="preserve">service delivery scale </w:t>
      </w:r>
      <w:r w:rsidR="001D24F6">
        <w:t xml:space="preserve">costs </w:t>
      </w:r>
      <w:r>
        <w:t>gradient</w:t>
      </w:r>
      <w:bookmarkEnd w:id="25"/>
      <w:r>
        <w:t xml:space="preserve">. </w:t>
      </w:r>
    </w:p>
    <w:p w14:paraId="077DC4DD" w14:textId="28C25D73" w:rsidR="00BF3B6F" w:rsidRPr="005A7A28" w:rsidRDefault="00BF3B6F" w:rsidP="007D25E6">
      <w:pPr>
        <w:pStyle w:val="Heading2"/>
        <w:keepNext/>
        <w:keepLines/>
      </w:pPr>
      <w:r w:rsidRPr="005A7A28">
        <w:lastRenderedPageBreak/>
        <w:t xml:space="preserve">GST impacts of method changes </w:t>
      </w:r>
    </w:p>
    <w:p w14:paraId="4D9D08B9" w14:textId="1020DC73" w:rsidR="0054699C" w:rsidRDefault="0054699C" w:rsidP="0054699C">
      <w:pPr>
        <w:pStyle w:val="CGC2025ParaNumbers"/>
        <w:keepNext/>
        <w:keepLines/>
      </w:pPr>
      <w:r w:rsidRPr="008F3F08">
        <w:t xml:space="preserve">The impact on the GST distribution from method </w:t>
      </w:r>
      <w:r>
        <w:t>and data</w:t>
      </w:r>
      <w:r w:rsidRPr="008F3F08">
        <w:t xml:space="preserve"> changes is shown in Table</w:t>
      </w:r>
      <w:r w:rsidR="00014768">
        <w:t> </w:t>
      </w:r>
      <w:r w:rsidRPr="008B7491">
        <w:t>1</w:t>
      </w:r>
      <w:r w:rsidR="006E230F">
        <w:t>.</w:t>
      </w:r>
    </w:p>
    <w:p w14:paraId="7DC8A6BD" w14:textId="2E91886B" w:rsidR="00F27198" w:rsidRDefault="00F27198" w:rsidP="00E2501D">
      <w:pPr>
        <w:pStyle w:val="CGC2025Caption"/>
        <w:keepNext/>
        <w:keepLines/>
        <w:tabs>
          <w:tab w:val="clear" w:pos="567"/>
          <w:tab w:val="left" w:pos="1134"/>
        </w:tabs>
        <w:ind w:left="1134" w:hanging="1134"/>
      </w:pPr>
      <w:bookmarkStart w:id="26" w:name="_Ref142638597"/>
      <w:r>
        <w:t>Table 1</w:t>
      </w:r>
      <w:r>
        <w:tab/>
        <w:t>Impact on GST distribution of data and method changes to the recurrent justice assessment, 2025–26</w:t>
      </w:r>
      <w:r w:rsidR="0090201D">
        <w:t xml:space="preserve"> to 2026-27</w:t>
      </w:r>
    </w:p>
    <w:tbl>
      <w:tblPr>
        <w:tblW w:w="8942" w:type="dxa"/>
        <w:tblLook w:val="04A0" w:firstRow="1" w:lastRow="0" w:firstColumn="1" w:lastColumn="0" w:noHBand="0" w:noVBand="1"/>
      </w:tblPr>
      <w:tblGrid>
        <w:gridCol w:w="2079"/>
        <w:gridCol w:w="326"/>
        <w:gridCol w:w="701"/>
        <w:gridCol w:w="694"/>
        <w:gridCol w:w="694"/>
        <w:gridCol w:w="693"/>
        <w:gridCol w:w="688"/>
        <w:gridCol w:w="693"/>
        <w:gridCol w:w="696"/>
        <w:gridCol w:w="690"/>
        <w:gridCol w:w="988"/>
      </w:tblGrid>
      <w:tr w:rsidR="00F27198" w14:paraId="463BCF46" w14:textId="77777777" w:rsidTr="00E870DE">
        <w:trPr>
          <w:trHeight w:val="381"/>
        </w:trPr>
        <w:tc>
          <w:tcPr>
            <w:tcW w:w="2079" w:type="dxa"/>
            <w:shd w:val="clear" w:color="auto" w:fill="006991"/>
            <w:vAlign w:val="center"/>
            <w:hideMark/>
          </w:tcPr>
          <w:p w14:paraId="15B18FDB" w14:textId="77777777" w:rsidR="00F27198" w:rsidRDefault="00F27198" w:rsidP="00E2501D">
            <w:pPr>
              <w:keepNext/>
              <w:spacing w:line="240" w:lineRule="auto"/>
              <w:rPr>
                <w:rFonts w:ascii="Open Sans Semibold" w:eastAsia="Times New Roman" w:hAnsi="Open Sans Semibold" w:cs="Open Sans Semibold"/>
                <w:color w:val="FFFFFF"/>
                <w:sz w:val="16"/>
                <w:szCs w:val="16"/>
                <w:lang w:eastAsia="en-AU"/>
              </w:rPr>
            </w:pPr>
            <w:r>
              <w:rPr>
                <w:rFonts w:ascii="Open Sans Semibold" w:eastAsia="Times New Roman" w:hAnsi="Open Sans Semibold" w:cs="Open Sans Semibold"/>
                <w:color w:val="FFFFFF"/>
                <w:sz w:val="16"/>
                <w:szCs w:val="16"/>
                <w:lang w:eastAsia="en-AU"/>
              </w:rPr>
              <w:t> </w:t>
            </w:r>
          </w:p>
        </w:tc>
        <w:tc>
          <w:tcPr>
            <w:tcW w:w="326" w:type="dxa"/>
            <w:shd w:val="clear" w:color="auto" w:fill="006991"/>
            <w:vAlign w:val="center"/>
            <w:hideMark/>
          </w:tcPr>
          <w:p w14:paraId="57E88D50" w14:textId="77777777" w:rsidR="00F27198" w:rsidRDefault="00F27198" w:rsidP="00E2501D">
            <w:pPr>
              <w:keepNext/>
              <w:spacing w:line="240" w:lineRule="auto"/>
              <w:jc w:val="right"/>
              <w:rPr>
                <w:rFonts w:ascii="Open Sans Semibold" w:eastAsia="Times New Roman" w:hAnsi="Open Sans Semibold" w:cs="Open Sans Semibold"/>
                <w:color w:val="FFFFFF"/>
                <w:sz w:val="16"/>
                <w:szCs w:val="16"/>
                <w:lang w:eastAsia="en-AU"/>
              </w:rPr>
            </w:pPr>
            <w:r>
              <w:rPr>
                <w:rFonts w:ascii="Open Sans Semibold" w:eastAsia="Times New Roman" w:hAnsi="Open Sans Semibold" w:cs="Open Sans Semibold"/>
                <w:color w:val="FFFFFF"/>
                <w:sz w:val="16"/>
                <w:szCs w:val="16"/>
                <w:lang w:eastAsia="en-AU"/>
              </w:rPr>
              <w:t> </w:t>
            </w:r>
          </w:p>
        </w:tc>
        <w:tc>
          <w:tcPr>
            <w:tcW w:w="701" w:type="dxa"/>
            <w:shd w:val="clear" w:color="auto" w:fill="006991"/>
            <w:vAlign w:val="center"/>
            <w:hideMark/>
          </w:tcPr>
          <w:p w14:paraId="0F821E37" w14:textId="77777777" w:rsidR="00F27198" w:rsidRDefault="00F27198" w:rsidP="00E2501D">
            <w:pPr>
              <w:keepNext/>
              <w:spacing w:line="240" w:lineRule="auto"/>
              <w:jc w:val="right"/>
              <w:rPr>
                <w:rFonts w:ascii="Open Sans Semibold" w:eastAsia="Times New Roman" w:hAnsi="Open Sans Semibold" w:cs="Open Sans Semibold"/>
                <w:color w:val="FFFFFF"/>
                <w:sz w:val="16"/>
                <w:szCs w:val="16"/>
                <w:lang w:eastAsia="en-AU"/>
              </w:rPr>
            </w:pPr>
            <w:r>
              <w:rPr>
                <w:rFonts w:ascii="Open Sans Semibold" w:eastAsia="Times New Roman" w:hAnsi="Open Sans Semibold" w:cs="Open Sans Semibold"/>
                <w:color w:val="FFFFFF"/>
                <w:sz w:val="16"/>
                <w:szCs w:val="16"/>
                <w:lang w:eastAsia="en-AU"/>
              </w:rPr>
              <w:t>NSW</w:t>
            </w:r>
          </w:p>
        </w:tc>
        <w:tc>
          <w:tcPr>
            <w:tcW w:w="694" w:type="dxa"/>
            <w:shd w:val="clear" w:color="auto" w:fill="006991"/>
            <w:vAlign w:val="center"/>
            <w:hideMark/>
          </w:tcPr>
          <w:p w14:paraId="0DCDE9E4" w14:textId="77777777" w:rsidR="00F27198" w:rsidRDefault="00F27198" w:rsidP="00E2501D">
            <w:pPr>
              <w:keepNext/>
              <w:spacing w:line="240" w:lineRule="auto"/>
              <w:jc w:val="right"/>
              <w:rPr>
                <w:rFonts w:ascii="Open Sans Semibold" w:eastAsia="Times New Roman" w:hAnsi="Open Sans Semibold" w:cs="Open Sans Semibold"/>
                <w:color w:val="FFFFFF"/>
                <w:sz w:val="16"/>
                <w:szCs w:val="16"/>
                <w:lang w:eastAsia="en-AU"/>
              </w:rPr>
            </w:pPr>
            <w:r>
              <w:rPr>
                <w:rFonts w:ascii="Open Sans Semibold" w:eastAsia="Times New Roman" w:hAnsi="Open Sans Semibold" w:cs="Open Sans Semibold"/>
                <w:color w:val="FFFFFF"/>
                <w:sz w:val="16"/>
                <w:szCs w:val="16"/>
                <w:lang w:eastAsia="en-AU"/>
              </w:rPr>
              <w:t>Vic</w:t>
            </w:r>
          </w:p>
        </w:tc>
        <w:tc>
          <w:tcPr>
            <w:tcW w:w="694" w:type="dxa"/>
            <w:shd w:val="clear" w:color="auto" w:fill="006991"/>
            <w:vAlign w:val="center"/>
            <w:hideMark/>
          </w:tcPr>
          <w:p w14:paraId="2F92955D" w14:textId="77777777" w:rsidR="00F27198" w:rsidRDefault="00F27198" w:rsidP="00E2501D">
            <w:pPr>
              <w:keepNext/>
              <w:spacing w:line="240" w:lineRule="auto"/>
              <w:jc w:val="right"/>
              <w:rPr>
                <w:rFonts w:ascii="Open Sans Semibold" w:eastAsia="Times New Roman" w:hAnsi="Open Sans Semibold" w:cs="Open Sans Semibold"/>
                <w:color w:val="FFFFFF"/>
                <w:sz w:val="16"/>
                <w:szCs w:val="16"/>
                <w:lang w:eastAsia="en-AU"/>
              </w:rPr>
            </w:pPr>
            <w:r>
              <w:rPr>
                <w:rFonts w:ascii="Open Sans Semibold" w:eastAsia="Times New Roman" w:hAnsi="Open Sans Semibold" w:cs="Open Sans Semibold"/>
                <w:color w:val="FFFFFF"/>
                <w:sz w:val="16"/>
                <w:szCs w:val="16"/>
                <w:lang w:eastAsia="en-AU"/>
              </w:rPr>
              <w:t>Qld</w:t>
            </w:r>
          </w:p>
        </w:tc>
        <w:tc>
          <w:tcPr>
            <w:tcW w:w="693" w:type="dxa"/>
            <w:shd w:val="clear" w:color="auto" w:fill="006991"/>
            <w:vAlign w:val="center"/>
            <w:hideMark/>
          </w:tcPr>
          <w:p w14:paraId="2578D9D8" w14:textId="77777777" w:rsidR="00F27198" w:rsidRDefault="00F27198" w:rsidP="00E2501D">
            <w:pPr>
              <w:keepNext/>
              <w:spacing w:line="240" w:lineRule="auto"/>
              <w:jc w:val="right"/>
              <w:rPr>
                <w:rFonts w:ascii="Open Sans Semibold" w:eastAsia="Times New Roman" w:hAnsi="Open Sans Semibold" w:cs="Open Sans Semibold"/>
                <w:color w:val="FFFFFF"/>
                <w:sz w:val="16"/>
                <w:szCs w:val="16"/>
                <w:lang w:eastAsia="en-AU"/>
              </w:rPr>
            </w:pPr>
            <w:r>
              <w:rPr>
                <w:rFonts w:ascii="Open Sans Semibold" w:eastAsia="Times New Roman" w:hAnsi="Open Sans Semibold" w:cs="Open Sans Semibold"/>
                <w:color w:val="FFFFFF"/>
                <w:sz w:val="16"/>
                <w:szCs w:val="16"/>
                <w:lang w:eastAsia="en-AU"/>
              </w:rPr>
              <w:t>WA</w:t>
            </w:r>
          </w:p>
        </w:tc>
        <w:tc>
          <w:tcPr>
            <w:tcW w:w="688" w:type="dxa"/>
            <w:shd w:val="clear" w:color="auto" w:fill="006991"/>
            <w:vAlign w:val="center"/>
            <w:hideMark/>
          </w:tcPr>
          <w:p w14:paraId="2849EAC5" w14:textId="77777777" w:rsidR="00F27198" w:rsidRDefault="00F27198" w:rsidP="00E2501D">
            <w:pPr>
              <w:keepNext/>
              <w:spacing w:line="240" w:lineRule="auto"/>
              <w:jc w:val="right"/>
              <w:rPr>
                <w:rFonts w:ascii="Open Sans Semibold" w:eastAsia="Times New Roman" w:hAnsi="Open Sans Semibold" w:cs="Open Sans Semibold"/>
                <w:color w:val="FFFFFF"/>
                <w:sz w:val="16"/>
                <w:szCs w:val="16"/>
                <w:lang w:eastAsia="en-AU"/>
              </w:rPr>
            </w:pPr>
            <w:r>
              <w:rPr>
                <w:rFonts w:ascii="Open Sans Semibold" w:eastAsia="Times New Roman" w:hAnsi="Open Sans Semibold" w:cs="Open Sans Semibold"/>
                <w:color w:val="FFFFFF"/>
                <w:sz w:val="16"/>
                <w:szCs w:val="16"/>
                <w:lang w:eastAsia="en-AU"/>
              </w:rPr>
              <w:t>SA</w:t>
            </w:r>
          </w:p>
        </w:tc>
        <w:tc>
          <w:tcPr>
            <w:tcW w:w="693" w:type="dxa"/>
            <w:shd w:val="clear" w:color="auto" w:fill="006991"/>
            <w:vAlign w:val="center"/>
            <w:hideMark/>
          </w:tcPr>
          <w:p w14:paraId="36C03CFE" w14:textId="77777777" w:rsidR="00F27198" w:rsidRDefault="00F27198" w:rsidP="00E2501D">
            <w:pPr>
              <w:keepNext/>
              <w:spacing w:line="240" w:lineRule="auto"/>
              <w:jc w:val="right"/>
              <w:rPr>
                <w:rFonts w:ascii="Open Sans Semibold" w:eastAsia="Times New Roman" w:hAnsi="Open Sans Semibold" w:cs="Open Sans Semibold"/>
                <w:color w:val="FFFFFF"/>
                <w:sz w:val="16"/>
                <w:szCs w:val="16"/>
                <w:lang w:eastAsia="en-AU"/>
              </w:rPr>
            </w:pPr>
            <w:r>
              <w:rPr>
                <w:rFonts w:ascii="Open Sans Semibold" w:eastAsia="Times New Roman" w:hAnsi="Open Sans Semibold" w:cs="Open Sans Semibold"/>
                <w:color w:val="FFFFFF"/>
                <w:sz w:val="16"/>
                <w:szCs w:val="16"/>
                <w:lang w:eastAsia="en-AU"/>
              </w:rPr>
              <w:t>Tas</w:t>
            </w:r>
          </w:p>
        </w:tc>
        <w:tc>
          <w:tcPr>
            <w:tcW w:w="696" w:type="dxa"/>
            <w:shd w:val="clear" w:color="auto" w:fill="006991"/>
            <w:vAlign w:val="center"/>
            <w:hideMark/>
          </w:tcPr>
          <w:p w14:paraId="07F0A34F" w14:textId="77777777" w:rsidR="00F27198" w:rsidRDefault="00F27198" w:rsidP="00E2501D">
            <w:pPr>
              <w:keepNext/>
              <w:spacing w:line="240" w:lineRule="auto"/>
              <w:jc w:val="right"/>
              <w:rPr>
                <w:rFonts w:ascii="Open Sans Semibold" w:eastAsia="Times New Roman" w:hAnsi="Open Sans Semibold" w:cs="Open Sans Semibold"/>
                <w:color w:val="FFFFFF"/>
                <w:sz w:val="16"/>
                <w:szCs w:val="16"/>
                <w:lang w:eastAsia="en-AU"/>
              </w:rPr>
            </w:pPr>
            <w:r>
              <w:rPr>
                <w:rFonts w:ascii="Open Sans Semibold" w:eastAsia="Times New Roman" w:hAnsi="Open Sans Semibold" w:cs="Open Sans Semibold"/>
                <w:color w:val="FFFFFF"/>
                <w:sz w:val="16"/>
                <w:szCs w:val="16"/>
                <w:lang w:eastAsia="en-AU"/>
              </w:rPr>
              <w:t>ACT</w:t>
            </w:r>
          </w:p>
        </w:tc>
        <w:tc>
          <w:tcPr>
            <w:tcW w:w="690" w:type="dxa"/>
            <w:shd w:val="clear" w:color="auto" w:fill="006991"/>
            <w:vAlign w:val="center"/>
            <w:hideMark/>
          </w:tcPr>
          <w:p w14:paraId="35B5C8AB" w14:textId="77777777" w:rsidR="00F27198" w:rsidRDefault="00F27198" w:rsidP="00E2501D">
            <w:pPr>
              <w:keepNext/>
              <w:spacing w:line="240" w:lineRule="auto"/>
              <w:jc w:val="right"/>
              <w:rPr>
                <w:rFonts w:ascii="Open Sans Semibold" w:eastAsia="Times New Roman" w:hAnsi="Open Sans Semibold" w:cs="Open Sans Semibold"/>
                <w:color w:val="FFFFFF"/>
                <w:sz w:val="16"/>
                <w:szCs w:val="16"/>
                <w:lang w:eastAsia="en-AU"/>
              </w:rPr>
            </w:pPr>
            <w:r>
              <w:rPr>
                <w:rFonts w:ascii="Open Sans Semibold" w:eastAsia="Times New Roman" w:hAnsi="Open Sans Semibold" w:cs="Open Sans Semibold"/>
                <w:color w:val="FFFFFF"/>
                <w:sz w:val="16"/>
                <w:szCs w:val="16"/>
                <w:lang w:eastAsia="en-AU"/>
              </w:rPr>
              <w:t>NT</w:t>
            </w:r>
          </w:p>
        </w:tc>
        <w:tc>
          <w:tcPr>
            <w:tcW w:w="988" w:type="dxa"/>
            <w:shd w:val="clear" w:color="auto" w:fill="006991"/>
            <w:vAlign w:val="center"/>
            <w:hideMark/>
          </w:tcPr>
          <w:p w14:paraId="19E02017" w14:textId="77777777" w:rsidR="00F27198" w:rsidRDefault="00F27198" w:rsidP="00E2501D">
            <w:pPr>
              <w:keepNext/>
              <w:spacing w:line="240" w:lineRule="auto"/>
              <w:jc w:val="right"/>
              <w:rPr>
                <w:rFonts w:ascii="Open Sans Semibold" w:eastAsia="Times New Roman" w:hAnsi="Open Sans Semibold" w:cs="Open Sans Semibold"/>
                <w:color w:val="FFFFFF"/>
                <w:sz w:val="16"/>
                <w:szCs w:val="16"/>
                <w:lang w:eastAsia="en-AU"/>
              </w:rPr>
            </w:pPr>
            <w:r>
              <w:rPr>
                <w:rFonts w:ascii="Open Sans Semibold" w:eastAsia="Times New Roman" w:hAnsi="Open Sans Semibold" w:cs="Open Sans Semibold"/>
                <w:color w:val="FFFFFF"/>
                <w:sz w:val="16"/>
                <w:szCs w:val="16"/>
                <w:lang w:eastAsia="en-AU"/>
              </w:rPr>
              <w:t>Total effect</w:t>
            </w:r>
          </w:p>
        </w:tc>
      </w:tr>
      <w:tr w:rsidR="00E85C31" w:rsidRPr="00EF1913" w14:paraId="12F455EA" w14:textId="77777777">
        <w:trPr>
          <w:trHeight w:val="321"/>
        </w:trPr>
        <w:tc>
          <w:tcPr>
            <w:tcW w:w="2405" w:type="dxa"/>
            <w:gridSpan w:val="2"/>
            <w:tcBorders>
              <w:top w:val="single" w:sz="8" w:space="0" w:color="ADD6EA"/>
              <w:left w:val="nil"/>
              <w:bottom w:val="nil"/>
              <w:right w:val="nil"/>
            </w:tcBorders>
            <w:shd w:val="clear" w:color="auto" w:fill="FFFFFF"/>
            <w:vAlign w:val="bottom"/>
            <w:hideMark/>
          </w:tcPr>
          <w:p w14:paraId="7F8B7DC1" w14:textId="77777777" w:rsidR="00E85C31" w:rsidRDefault="00E85C31" w:rsidP="00E2501D">
            <w:pPr>
              <w:keepNext/>
              <w:spacing w:line="240" w:lineRule="auto"/>
              <w:rPr>
                <w:rFonts w:eastAsia="Times New Roman" w:cs="Open Sans Light"/>
                <w:color w:val="000000"/>
                <w:sz w:val="16"/>
                <w:szCs w:val="16"/>
                <w:lang w:eastAsia="en-AU"/>
              </w:rPr>
            </w:pPr>
            <w:r>
              <w:rPr>
                <w:rFonts w:eastAsia="Times New Roman" w:cs="Open Sans Light"/>
                <w:color w:val="000000"/>
                <w:sz w:val="16"/>
                <w:szCs w:val="16"/>
                <w:lang w:eastAsia="en-AU"/>
              </w:rPr>
              <w:t>$m</w:t>
            </w:r>
          </w:p>
        </w:tc>
        <w:tc>
          <w:tcPr>
            <w:tcW w:w="701" w:type="dxa"/>
            <w:tcBorders>
              <w:top w:val="single" w:sz="4" w:space="0" w:color="ADD6EA"/>
              <w:left w:val="nil"/>
              <w:bottom w:val="nil"/>
              <w:right w:val="nil"/>
            </w:tcBorders>
            <w:shd w:val="clear" w:color="000000" w:fill="FFFFFF"/>
            <w:vAlign w:val="bottom"/>
            <w:hideMark/>
          </w:tcPr>
          <w:p w14:paraId="25644056" w14:textId="4B12E693" w:rsidR="00E85C31" w:rsidRPr="00EF1913" w:rsidRDefault="00E85C31" w:rsidP="00E2501D">
            <w:pPr>
              <w:keepNext/>
              <w:spacing w:line="240" w:lineRule="auto"/>
              <w:jc w:val="right"/>
              <w:rPr>
                <w:rFonts w:eastAsia="Times New Roman" w:cs="Open Sans Light"/>
                <w:color w:val="000000"/>
                <w:sz w:val="16"/>
                <w:szCs w:val="16"/>
                <w:highlight w:val="yellow"/>
                <w:lang w:eastAsia="en-AU"/>
              </w:rPr>
            </w:pPr>
            <w:r>
              <w:rPr>
                <w:rFonts w:cs="Open Sans Light"/>
                <w:color w:val="000000"/>
                <w:sz w:val="16"/>
                <w:szCs w:val="16"/>
              </w:rPr>
              <w:t>218</w:t>
            </w:r>
          </w:p>
        </w:tc>
        <w:tc>
          <w:tcPr>
            <w:tcW w:w="694" w:type="dxa"/>
            <w:tcBorders>
              <w:top w:val="single" w:sz="4" w:space="0" w:color="ADD6EA"/>
              <w:left w:val="nil"/>
              <w:bottom w:val="nil"/>
              <w:right w:val="nil"/>
            </w:tcBorders>
            <w:shd w:val="clear" w:color="000000" w:fill="FFFFFF"/>
            <w:vAlign w:val="bottom"/>
            <w:hideMark/>
          </w:tcPr>
          <w:p w14:paraId="1204FA63" w14:textId="21B2E762" w:rsidR="00E85C31" w:rsidRPr="00EF1913" w:rsidRDefault="00E85C31" w:rsidP="00E2501D">
            <w:pPr>
              <w:keepNext/>
              <w:spacing w:line="240" w:lineRule="auto"/>
              <w:jc w:val="right"/>
              <w:rPr>
                <w:rFonts w:eastAsia="Times New Roman" w:cs="Open Sans Light"/>
                <w:color w:val="000000"/>
                <w:sz w:val="16"/>
                <w:szCs w:val="16"/>
                <w:highlight w:val="yellow"/>
                <w:lang w:eastAsia="en-AU"/>
              </w:rPr>
            </w:pPr>
            <w:r>
              <w:rPr>
                <w:rFonts w:cs="Open Sans Light"/>
                <w:color w:val="000000"/>
                <w:sz w:val="16"/>
                <w:szCs w:val="16"/>
              </w:rPr>
              <w:t>-232</w:t>
            </w:r>
          </w:p>
        </w:tc>
        <w:tc>
          <w:tcPr>
            <w:tcW w:w="694" w:type="dxa"/>
            <w:tcBorders>
              <w:top w:val="single" w:sz="4" w:space="0" w:color="ADD6EA"/>
              <w:left w:val="nil"/>
              <w:bottom w:val="nil"/>
              <w:right w:val="nil"/>
            </w:tcBorders>
            <w:shd w:val="clear" w:color="000000" w:fill="FFFFFF"/>
            <w:vAlign w:val="bottom"/>
            <w:hideMark/>
          </w:tcPr>
          <w:p w14:paraId="640664F4" w14:textId="682741E4" w:rsidR="00E85C31" w:rsidRPr="00EF1913" w:rsidRDefault="00E85C31" w:rsidP="00E2501D">
            <w:pPr>
              <w:keepNext/>
              <w:spacing w:line="240" w:lineRule="auto"/>
              <w:jc w:val="right"/>
              <w:rPr>
                <w:rFonts w:eastAsia="Times New Roman" w:cs="Open Sans Light"/>
                <w:color w:val="000000"/>
                <w:sz w:val="16"/>
                <w:szCs w:val="16"/>
                <w:highlight w:val="yellow"/>
                <w:lang w:eastAsia="en-AU"/>
              </w:rPr>
            </w:pPr>
            <w:r>
              <w:rPr>
                <w:rFonts w:cs="Open Sans Light"/>
                <w:color w:val="000000"/>
                <w:sz w:val="16"/>
                <w:szCs w:val="16"/>
              </w:rPr>
              <w:t>97</w:t>
            </w:r>
          </w:p>
        </w:tc>
        <w:tc>
          <w:tcPr>
            <w:tcW w:w="693" w:type="dxa"/>
            <w:tcBorders>
              <w:top w:val="single" w:sz="4" w:space="0" w:color="ADD6EA"/>
              <w:left w:val="nil"/>
              <w:bottom w:val="nil"/>
              <w:right w:val="nil"/>
            </w:tcBorders>
            <w:shd w:val="clear" w:color="000000" w:fill="FFFFFF"/>
            <w:vAlign w:val="bottom"/>
            <w:hideMark/>
          </w:tcPr>
          <w:p w14:paraId="645BDF4C" w14:textId="3B3999E6" w:rsidR="00E85C31" w:rsidRPr="00EF1913" w:rsidRDefault="00E85C31" w:rsidP="00E2501D">
            <w:pPr>
              <w:keepNext/>
              <w:spacing w:line="240" w:lineRule="auto"/>
              <w:jc w:val="right"/>
              <w:rPr>
                <w:rFonts w:eastAsia="Times New Roman" w:cs="Open Sans Light"/>
                <w:color w:val="000000"/>
                <w:sz w:val="16"/>
                <w:szCs w:val="16"/>
                <w:highlight w:val="yellow"/>
                <w:lang w:eastAsia="en-AU"/>
              </w:rPr>
            </w:pPr>
            <w:r>
              <w:rPr>
                <w:rFonts w:cs="Open Sans Light"/>
                <w:color w:val="000000"/>
                <w:sz w:val="16"/>
                <w:szCs w:val="16"/>
              </w:rPr>
              <w:t>-68</w:t>
            </w:r>
          </w:p>
        </w:tc>
        <w:tc>
          <w:tcPr>
            <w:tcW w:w="688" w:type="dxa"/>
            <w:tcBorders>
              <w:top w:val="single" w:sz="4" w:space="0" w:color="ADD6EA"/>
              <w:left w:val="nil"/>
              <w:bottom w:val="nil"/>
              <w:right w:val="nil"/>
            </w:tcBorders>
            <w:shd w:val="clear" w:color="000000" w:fill="FFFFFF"/>
            <w:vAlign w:val="bottom"/>
            <w:hideMark/>
          </w:tcPr>
          <w:p w14:paraId="33924DB6" w14:textId="2ECE1EDF" w:rsidR="00E85C31" w:rsidRPr="00EF1913" w:rsidRDefault="00E85C31" w:rsidP="00E2501D">
            <w:pPr>
              <w:keepNext/>
              <w:spacing w:line="240" w:lineRule="auto"/>
              <w:jc w:val="right"/>
              <w:rPr>
                <w:rFonts w:eastAsia="Times New Roman" w:cs="Open Sans Light"/>
                <w:color w:val="000000"/>
                <w:sz w:val="16"/>
                <w:szCs w:val="16"/>
                <w:highlight w:val="yellow"/>
                <w:lang w:eastAsia="en-AU"/>
              </w:rPr>
            </w:pPr>
            <w:r>
              <w:rPr>
                <w:rFonts w:cs="Open Sans Light"/>
                <w:color w:val="000000"/>
                <w:sz w:val="16"/>
                <w:szCs w:val="16"/>
              </w:rPr>
              <w:t>-40</w:t>
            </w:r>
          </w:p>
        </w:tc>
        <w:tc>
          <w:tcPr>
            <w:tcW w:w="693" w:type="dxa"/>
            <w:tcBorders>
              <w:top w:val="single" w:sz="4" w:space="0" w:color="ADD6EA"/>
              <w:left w:val="nil"/>
              <w:bottom w:val="nil"/>
              <w:right w:val="nil"/>
            </w:tcBorders>
            <w:shd w:val="clear" w:color="000000" w:fill="FFFFFF"/>
            <w:vAlign w:val="bottom"/>
            <w:hideMark/>
          </w:tcPr>
          <w:p w14:paraId="0EBC1690" w14:textId="2791190D" w:rsidR="00E85C31" w:rsidRPr="00EF1913" w:rsidRDefault="00E85C31" w:rsidP="00E2501D">
            <w:pPr>
              <w:keepNext/>
              <w:spacing w:line="240" w:lineRule="auto"/>
              <w:jc w:val="right"/>
              <w:rPr>
                <w:rFonts w:eastAsia="Times New Roman" w:cs="Open Sans Light"/>
                <w:color w:val="000000"/>
                <w:sz w:val="16"/>
                <w:szCs w:val="16"/>
                <w:highlight w:val="yellow"/>
                <w:lang w:eastAsia="en-AU"/>
              </w:rPr>
            </w:pPr>
            <w:r>
              <w:rPr>
                <w:rFonts w:cs="Open Sans Light"/>
                <w:color w:val="000000"/>
                <w:sz w:val="16"/>
                <w:szCs w:val="16"/>
              </w:rPr>
              <w:t>55</w:t>
            </w:r>
          </w:p>
        </w:tc>
        <w:tc>
          <w:tcPr>
            <w:tcW w:w="696" w:type="dxa"/>
            <w:tcBorders>
              <w:top w:val="single" w:sz="4" w:space="0" w:color="ADD6EA"/>
              <w:left w:val="nil"/>
              <w:bottom w:val="nil"/>
              <w:right w:val="nil"/>
            </w:tcBorders>
            <w:shd w:val="clear" w:color="000000" w:fill="FFFFFF"/>
            <w:vAlign w:val="bottom"/>
            <w:hideMark/>
          </w:tcPr>
          <w:p w14:paraId="60BA44D0" w14:textId="744F7AFB" w:rsidR="00E85C31" w:rsidRPr="00EF1913" w:rsidRDefault="00E85C31" w:rsidP="00E2501D">
            <w:pPr>
              <w:keepNext/>
              <w:spacing w:line="240" w:lineRule="auto"/>
              <w:jc w:val="right"/>
              <w:rPr>
                <w:rFonts w:eastAsia="Times New Roman" w:cs="Open Sans Light"/>
                <w:color w:val="000000"/>
                <w:sz w:val="16"/>
                <w:szCs w:val="16"/>
                <w:highlight w:val="yellow"/>
                <w:lang w:eastAsia="en-AU"/>
              </w:rPr>
            </w:pPr>
            <w:r>
              <w:rPr>
                <w:rFonts w:cs="Open Sans Light"/>
                <w:color w:val="000000"/>
                <w:sz w:val="16"/>
                <w:szCs w:val="16"/>
              </w:rPr>
              <w:t>-15</w:t>
            </w:r>
          </w:p>
        </w:tc>
        <w:tc>
          <w:tcPr>
            <w:tcW w:w="690" w:type="dxa"/>
            <w:tcBorders>
              <w:top w:val="single" w:sz="4" w:space="0" w:color="ADD6EA"/>
              <w:left w:val="nil"/>
              <w:bottom w:val="nil"/>
              <w:right w:val="nil"/>
            </w:tcBorders>
            <w:shd w:val="clear" w:color="000000" w:fill="FFFFFF"/>
            <w:vAlign w:val="bottom"/>
            <w:hideMark/>
          </w:tcPr>
          <w:p w14:paraId="64EEC9BC" w14:textId="02687B9E" w:rsidR="00E85C31" w:rsidRPr="00EF1913" w:rsidRDefault="00E85C31" w:rsidP="00E2501D">
            <w:pPr>
              <w:keepNext/>
              <w:spacing w:line="240" w:lineRule="auto"/>
              <w:jc w:val="right"/>
              <w:rPr>
                <w:rFonts w:eastAsia="Times New Roman" w:cs="Open Sans Light"/>
                <w:color w:val="000000"/>
                <w:sz w:val="16"/>
                <w:szCs w:val="16"/>
                <w:highlight w:val="yellow"/>
                <w:lang w:eastAsia="en-AU"/>
              </w:rPr>
            </w:pPr>
            <w:r>
              <w:rPr>
                <w:rFonts w:cs="Open Sans Light"/>
                <w:color w:val="000000"/>
                <w:sz w:val="16"/>
                <w:szCs w:val="16"/>
              </w:rPr>
              <w:t>-15</w:t>
            </w:r>
          </w:p>
        </w:tc>
        <w:tc>
          <w:tcPr>
            <w:tcW w:w="988" w:type="dxa"/>
            <w:tcBorders>
              <w:top w:val="single" w:sz="4" w:space="0" w:color="ADD6EA"/>
              <w:left w:val="nil"/>
              <w:bottom w:val="nil"/>
              <w:right w:val="nil"/>
            </w:tcBorders>
            <w:shd w:val="clear" w:color="000000" w:fill="FFFFFF"/>
            <w:vAlign w:val="bottom"/>
            <w:hideMark/>
          </w:tcPr>
          <w:p w14:paraId="37BE19E6" w14:textId="2BAD5CD5" w:rsidR="00E85C31" w:rsidRPr="00EF1913" w:rsidRDefault="00E85C31" w:rsidP="00E2501D">
            <w:pPr>
              <w:keepNext/>
              <w:spacing w:line="240" w:lineRule="auto"/>
              <w:jc w:val="right"/>
              <w:rPr>
                <w:rFonts w:eastAsia="Times New Roman" w:cs="Open Sans Light"/>
                <w:color w:val="000000"/>
                <w:sz w:val="16"/>
                <w:szCs w:val="16"/>
                <w:highlight w:val="yellow"/>
                <w:lang w:eastAsia="en-AU"/>
              </w:rPr>
            </w:pPr>
            <w:r>
              <w:rPr>
                <w:rFonts w:cs="Open Sans Light"/>
                <w:color w:val="000000"/>
                <w:sz w:val="16"/>
                <w:szCs w:val="16"/>
              </w:rPr>
              <w:t>370</w:t>
            </w:r>
          </w:p>
        </w:tc>
      </w:tr>
      <w:tr w:rsidR="00E85C31" w:rsidRPr="00EF1913" w14:paraId="56237B67" w14:textId="77777777">
        <w:trPr>
          <w:trHeight w:val="321"/>
        </w:trPr>
        <w:tc>
          <w:tcPr>
            <w:tcW w:w="2405" w:type="dxa"/>
            <w:gridSpan w:val="2"/>
            <w:tcBorders>
              <w:top w:val="single" w:sz="4" w:space="0" w:color="ADD6EA"/>
              <w:left w:val="nil"/>
              <w:bottom w:val="single" w:sz="4" w:space="0" w:color="ADD6EA"/>
              <w:right w:val="nil"/>
            </w:tcBorders>
            <w:shd w:val="clear" w:color="auto" w:fill="FFFFFF"/>
            <w:vAlign w:val="bottom"/>
            <w:hideMark/>
          </w:tcPr>
          <w:p w14:paraId="42909ED1" w14:textId="77777777" w:rsidR="00E85C31" w:rsidRDefault="00E85C31" w:rsidP="00E2501D">
            <w:pPr>
              <w:keepNext/>
              <w:spacing w:line="240" w:lineRule="auto"/>
              <w:rPr>
                <w:rFonts w:eastAsia="Times New Roman" w:cs="Open Sans Light"/>
                <w:color w:val="000000"/>
                <w:sz w:val="16"/>
                <w:szCs w:val="16"/>
                <w:lang w:eastAsia="en-AU"/>
              </w:rPr>
            </w:pPr>
            <w:r>
              <w:rPr>
                <w:rFonts w:eastAsia="Times New Roman" w:cs="Open Sans Light"/>
                <w:color w:val="000000"/>
                <w:sz w:val="16"/>
                <w:szCs w:val="16"/>
                <w:lang w:eastAsia="en-AU"/>
              </w:rPr>
              <w:t>$pc</w:t>
            </w:r>
          </w:p>
        </w:tc>
        <w:tc>
          <w:tcPr>
            <w:tcW w:w="701" w:type="dxa"/>
            <w:tcBorders>
              <w:top w:val="single" w:sz="4" w:space="0" w:color="ADD6EA"/>
              <w:left w:val="nil"/>
              <w:bottom w:val="single" w:sz="4" w:space="0" w:color="ADD6EA"/>
              <w:right w:val="nil"/>
            </w:tcBorders>
            <w:shd w:val="clear" w:color="000000" w:fill="FFFFFF"/>
            <w:vAlign w:val="bottom"/>
            <w:hideMark/>
          </w:tcPr>
          <w:p w14:paraId="4129833B" w14:textId="098F1AD1" w:rsidR="00E85C31" w:rsidRPr="00EF1913" w:rsidRDefault="00E85C31" w:rsidP="00E2501D">
            <w:pPr>
              <w:keepNext/>
              <w:spacing w:line="240" w:lineRule="auto"/>
              <w:jc w:val="right"/>
              <w:rPr>
                <w:rFonts w:eastAsia="Times New Roman" w:cs="Open Sans Light"/>
                <w:color w:val="000000"/>
                <w:sz w:val="16"/>
                <w:szCs w:val="16"/>
                <w:highlight w:val="yellow"/>
                <w:lang w:eastAsia="en-AU"/>
              </w:rPr>
            </w:pPr>
            <w:r>
              <w:rPr>
                <w:rFonts w:cs="Open Sans Light"/>
                <w:color w:val="000000"/>
                <w:sz w:val="16"/>
                <w:szCs w:val="16"/>
              </w:rPr>
              <w:t>25</w:t>
            </w:r>
          </w:p>
        </w:tc>
        <w:tc>
          <w:tcPr>
            <w:tcW w:w="694" w:type="dxa"/>
            <w:tcBorders>
              <w:top w:val="single" w:sz="4" w:space="0" w:color="ADD6EA"/>
              <w:left w:val="nil"/>
              <w:bottom w:val="single" w:sz="4" w:space="0" w:color="ADD6EA"/>
              <w:right w:val="nil"/>
            </w:tcBorders>
            <w:shd w:val="clear" w:color="000000" w:fill="FFFFFF"/>
            <w:vAlign w:val="bottom"/>
            <w:hideMark/>
          </w:tcPr>
          <w:p w14:paraId="709C36F6" w14:textId="0EFB4C63" w:rsidR="00E85C31" w:rsidRPr="00EF1913" w:rsidRDefault="00E85C31" w:rsidP="00E2501D">
            <w:pPr>
              <w:keepNext/>
              <w:spacing w:line="240" w:lineRule="auto"/>
              <w:jc w:val="right"/>
              <w:rPr>
                <w:rFonts w:eastAsia="Times New Roman" w:cs="Open Sans Light"/>
                <w:color w:val="000000"/>
                <w:sz w:val="16"/>
                <w:szCs w:val="16"/>
                <w:highlight w:val="yellow"/>
                <w:lang w:eastAsia="en-AU"/>
              </w:rPr>
            </w:pPr>
            <w:r>
              <w:rPr>
                <w:rFonts w:cs="Open Sans Light"/>
                <w:color w:val="000000"/>
                <w:sz w:val="16"/>
                <w:szCs w:val="16"/>
              </w:rPr>
              <w:t>-32</w:t>
            </w:r>
          </w:p>
        </w:tc>
        <w:tc>
          <w:tcPr>
            <w:tcW w:w="694" w:type="dxa"/>
            <w:tcBorders>
              <w:top w:val="single" w:sz="4" w:space="0" w:color="ADD6EA"/>
              <w:left w:val="nil"/>
              <w:bottom w:val="single" w:sz="4" w:space="0" w:color="ADD6EA"/>
              <w:right w:val="nil"/>
            </w:tcBorders>
            <w:shd w:val="clear" w:color="000000" w:fill="FFFFFF"/>
            <w:vAlign w:val="bottom"/>
            <w:hideMark/>
          </w:tcPr>
          <w:p w14:paraId="33F574FA" w14:textId="0BE18F11" w:rsidR="00E85C31" w:rsidRPr="00EF1913" w:rsidRDefault="00E85C31" w:rsidP="00E2501D">
            <w:pPr>
              <w:keepNext/>
              <w:spacing w:line="240" w:lineRule="auto"/>
              <w:jc w:val="right"/>
              <w:rPr>
                <w:rFonts w:eastAsia="Times New Roman" w:cs="Open Sans Light"/>
                <w:color w:val="000000"/>
                <w:sz w:val="16"/>
                <w:szCs w:val="16"/>
                <w:highlight w:val="yellow"/>
                <w:lang w:eastAsia="en-AU"/>
              </w:rPr>
            </w:pPr>
            <w:r>
              <w:rPr>
                <w:rFonts w:cs="Open Sans Light"/>
                <w:color w:val="000000"/>
                <w:sz w:val="16"/>
                <w:szCs w:val="16"/>
              </w:rPr>
              <w:t>17</w:t>
            </w:r>
          </w:p>
        </w:tc>
        <w:tc>
          <w:tcPr>
            <w:tcW w:w="693" w:type="dxa"/>
            <w:tcBorders>
              <w:top w:val="single" w:sz="4" w:space="0" w:color="ADD6EA"/>
              <w:left w:val="nil"/>
              <w:bottom w:val="single" w:sz="4" w:space="0" w:color="ADD6EA"/>
              <w:right w:val="nil"/>
            </w:tcBorders>
            <w:shd w:val="clear" w:color="000000" w:fill="FFFFFF"/>
            <w:vAlign w:val="bottom"/>
            <w:hideMark/>
          </w:tcPr>
          <w:p w14:paraId="6A956D2A" w14:textId="3FDB3526" w:rsidR="00E85C31" w:rsidRPr="00EF1913" w:rsidRDefault="00E85C31" w:rsidP="00E2501D">
            <w:pPr>
              <w:keepNext/>
              <w:spacing w:line="240" w:lineRule="auto"/>
              <w:jc w:val="right"/>
              <w:rPr>
                <w:rFonts w:eastAsia="Times New Roman" w:cs="Open Sans Light"/>
                <w:color w:val="000000"/>
                <w:sz w:val="16"/>
                <w:szCs w:val="16"/>
                <w:highlight w:val="yellow"/>
                <w:lang w:eastAsia="en-AU"/>
              </w:rPr>
            </w:pPr>
            <w:r>
              <w:rPr>
                <w:rFonts w:cs="Open Sans Light"/>
                <w:color w:val="000000"/>
                <w:sz w:val="16"/>
                <w:szCs w:val="16"/>
              </w:rPr>
              <w:t>-22</w:t>
            </w:r>
          </w:p>
        </w:tc>
        <w:tc>
          <w:tcPr>
            <w:tcW w:w="688" w:type="dxa"/>
            <w:tcBorders>
              <w:top w:val="single" w:sz="4" w:space="0" w:color="ADD6EA"/>
              <w:left w:val="nil"/>
              <w:bottom w:val="single" w:sz="4" w:space="0" w:color="ADD6EA"/>
              <w:right w:val="nil"/>
            </w:tcBorders>
            <w:shd w:val="clear" w:color="000000" w:fill="FFFFFF"/>
            <w:vAlign w:val="bottom"/>
            <w:hideMark/>
          </w:tcPr>
          <w:p w14:paraId="0189D601" w14:textId="35EFA58C" w:rsidR="00E85C31" w:rsidRPr="00EF1913" w:rsidRDefault="00E85C31" w:rsidP="00E2501D">
            <w:pPr>
              <w:keepNext/>
              <w:spacing w:line="240" w:lineRule="auto"/>
              <w:jc w:val="right"/>
              <w:rPr>
                <w:rFonts w:eastAsia="Times New Roman" w:cs="Open Sans Light"/>
                <w:color w:val="000000"/>
                <w:sz w:val="16"/>
                <w:szCs w:val="16"/>
                <w:highlight w:val="yellow"/>
                <w:lang w:eastAsia="en-AU"/>
              </w:rPr>
            </w:pPr>
            <w:r>
              <w:rPr>
                <w:rFonts w:cs="Open Sans Light"/>
                <w:color w:val="000000"/>
                <w:sz w:val="16"/>
                <w:szCs w:val="16"/>
              </w:rPr>
              <w:t>-21</w:t>
            </w:r>
          </w:p>
        </w:tc>
        <w:tc>
          <w:tcPr>
            <w:tcW w:w="693" w:type="dxa"/>
            <w:tcBorders>
              <w:top w:val="single" w:sz="4" w:space="0" w:color="ADD6EA"/>
              <w:left w:val="nil"/>
              <w:bottom w:val="single" w:sz="4" w:space="0" w:color="ADD6EA"/>
              <w:right w:val="nil"/>
            </w:tcBorders>
            <w:shd w:val="clear" w:color="000000" w:fill="FFFFFF"/>
            <w:vAlign w:val="bottom"/>
            <w:hideMark/>
          </w:tcPr>
          <w:p w14:paraId="1FE38D80" w14:textId="58B02611" w:rsidR="00E85C31" w:rsidRPr="00EF1913" w:rsidRDefault="00E85C31" w:rsidP="00E2501D">
            <w:pPr>
              <w:keepNext/>
              <w:spacing w:line="240" w:lineRule="auto"/>
              <w:jc w:val="right"/>
              <w:rPr>
                <w:rFonts w:eastAsia="Times New Roman" w:cs="Open Sans Light"/>
                <w:color w:val="000000"/>
                <w:sz w:val="16"/>
                <w:szCs w:val="16"/>
                <w:highlight w:val="yellow"/>
                <w:lang w:eastAsia="en-AU"/>
              </w:rPr>
            </w:pPr>
            <w:r>
              <w:rPr>
                <w:rFonts w:cs="Open Sans Light"/>
                <w:color w:val="000000"/>
                <w:sz w:val="16"/>
                <w:szCs w:val="16"/>
              </w:rPr>
              <w:t>95</w:t>
            </w:r>
          </w:p>
        </w:tc>
        <w:tc>
          <w:tcPr>
            <w:tcW w:w="696" w:type="dxa"/>
            <w:tcBorders>
              <w:top w:val="single" w:sz="4" w:space="0" w:color="ADD6EA"/>
              <w:left w:val="nil"/>
              <w:bottom w:val="single" w:sz="4" w:space="0" w:color="ADD6EA"/>
              <w:right w:val="nil"/>
            </w:tcBorders>
            <w:shd w:val="clear" w:color="000000" w:fill="FFFFFF"/>
            <w:vAlign w:val="bottom"/>
            <w:hideMark/>
          </w:tcPr>
          <w:p w14:paraId="77B8369F" w14:textId="4216C443" w:rsidR="00E85C31" w:rsidRPr="00EF1913" w:rsidRDefault="00E85C31" w:rsidP="00E2501D">
            <w:pPr>
              <w:keepNext/>
              <w:spacing w:line="240" w:lineRule="auto"/>
              <w:jc w:val="right"/>
              <w:rPr>
                <w:rFonts w:eastAsia="Times New Roman" w:cs="Open Sans Light"/>
                <w:color w:val="000000"/>
                <w:sz w:val="16"/>
                <w:szCs w:val="16"/>
                <w:highlight w:val="yellow"/>
                <w:lang w:eastAsia="en-AU"/>
              </w:rPr>
            </w:pPr>
            <w:r>
              <w:rPr>
                <w:rFonts w:cs="Open Sans Light"/>
                <w:color w:val="000000"/>
                <w:sz w:val="16"/>
                <w:szCs w:val="16"/>
              </w:rPr>
              <w:t>-31</w:t>
            </w:r>
          </w:p>
        </w:tc>
        <w:tc>
          <w:tcPr>
            <w:tcW w:w="690" w:type="dxa"/>
            <w:tcBorders>
              <w:top w:val="single" w:sz="4" w:space="0" w:color="ADD6EA"/>
              <w:left w:val="nil"/>
              <w:bottom w:val="single" w:sz="4" w:space="0" w:color="ADD6EA"/>
              <w:right w:val="nil"/>
            </w:tcBorders>
            <w:shd w:val="clear" w:color="000000" w:fill="FFFFFF"/>
            <w:vAlign w:val="bottom"/>
            <w:hideMark/>
          </w:tcPr>
          <w:p w14:paraId="71147645" w14:textId="46A27074" w:rsidR="00E85C31" w:rsidRPr="00EF1913" w:rsidRDefault="00E85C31" w:rsidP="00E2501D">
            <w:pPr>
              <w:keepNext/>
              <w:spacing w:line="240" w:lineRule="auto"/>
              <w:jc w:val="right"/>
              <w:rPr>
                <w:rFonts w:eastAsia="Times New Roman" w:cs="Open Sans Light"/>
                <w:color w:val="000000"/>
                <w:sz w:val="16"/>
                <w:szCs w:val="16"/>
                <w:highlight w:val="yellow"/>
                <w:lang w:eastAsia="en-AU"/>
              </w:rPr>
            </w:pPr>
            <w:r>
              <w:rPr>
                <w:rFonts w:cs="Open Sans Light"/>
                <w:color w:val="000000"/>
                <w:sz w:val="16"/>
                <w:szCs w:val="16"/>
              </w:rPr>
              <w:t>-55</w:t>
            </w:r>
          </w:p>
        </w:tc>
        <w:tc>
          <w:tcPr>
            <w:tcW w:w="988" w:type="dxa"/>
            <w:tcBorders>
              <w:top w:val="single" w:sz="4" w:space="0" w:color="ADD6EA"/>
              <w:left w:val="nil"/>
              <w:bottom w:val="single" w:sz="4" w:space="0" w:color="ADD6EA"/>
              <w:right w:val="nil"/>
            </w:tcBorders>
            <w:shd w:val="clear" w:color="000000" w:fill="FFFFFF"/>
            <w:vAlign w:val="bottom"/>
            <w:hideMark/>
          </w:tcPr>
          <w:p w14:paraId="390A2B14" w14:textId="628060FE" w:rsidR="00E85C31" w:rsidRPr="00EF1913" w:rsidRDefault="00E85C31" w:rsidP="00E2501D">
            <w:pPr>
              <w:keepNext/>
              <w:spacing w:line="240" w:lineRule="auto"/>
              <w:jc w:val="right"/>
              <w:rPr>
                <w:rFonts w:eastAsia="Times New Roman" w:cs="Open Sans Light"/>
                <w:color w:val="000000"/>
                <w:sz w:val="16"/>
                <w:szCs w:val="16"/>
                <w:highlight w:val="yellow"/>
                <w:lang w:eastAsia="en-AU"/>
              </w:rPr>
            </w:pPr>
            <w:r>
              <w:rPr>
                <w:rFonts w:cs="Open Sans Light"/>
                <w:color w:val="000000"/>
                <w:sz w:val="16"/>
                <w:szCs w:val="16"/>
              </w:rPr>
              <w:t>13</w:t>
            </w:r>
          </w:p>
        </w:tc>
      </w:tr>
    </w:tbl>
    <w:p w14:paraId="17B389F3" w14:textId="09AC2904" w:rsidR="00282D59" w:rsidRPr="00282D59" w:rsidRDefault="00A07A93" w:rsidP="00E2501D">
      <w:pPr>
        <w:pStyle w:val="CGC2025TableNote"/>
        <w:keepNext/>
        <w:ind w:left="532" w:hanging="419"/>
      </w:pPr>
      <w:r>
        <w:t xml:space="preserve">Note: </w:t>
      </w:r>
      <w:r w:rsidR="00282D59" w:rsidRPr="00282D59">
        <w:t xml:space="preserve">The sum of the total impact of data and method changes shown in Tables </w:t>
      </w:r>
      <w:r w:rsidR="00951888" w:rsidRPr="008B7491">
        <w:t>2</w:t>
      </w:r>
      <w:r w:rsidR="00282D59" w:rsidRPr="008B7491">
        <w:t xml:space="preserve"> and </w:t>
      </w:r>
      <w:r w:rsidR="00951888" w:rsidRPr="008B7491">
        <w:t>3</w:t>
      </w:r>
      <w:r w:rsidR="00282D59" w:rsidRPr="00282D59">
        <w:t xml:space="preserve"> differ slightly from the total in this table due to rounding. </w:t>
      </w:r>
    </w:p>
    <w:p w14:paraId="2BC722B0" w14:textId="0ECFD847" w:rsidR="00E314F2" w:rsidRDefault="00E314F2" w:rsidP="00E314F2">
      <w:pPr>
        <w:pStyle w:val="Heading3"/>
      </w:pPr>
      <w:r>
        <w:t>Data changes</w:t>
      </w:r>
    </w:p>
    <w:p w14:paraId="08C8BA2C" w14:textId="07B035B4" w:rsidR="00E314F2" w:rsidRDefault="00315DA5" w:rsidP="00976A7F">
      <w:pPr>
        <w:pStyle w:val="CGC2025ParaNumbers"/>
        <w:keepNext/>
        <w:keepLines/>
      </w:pPr>
      <w:r w:rsidRPr="00315DA5">
        <w:t xml:space="preserve">The impact of updates to data on GST distribution in 2025–26 is shown in Table </w:t>
      </w:r>
      <w:r w:rsidR="00F27198">
        <w:t>2</w:t>
      </w:r>
      <w:r w:rsidRPr="00315DA5">
        <w:t xml:space="preserve">. </w:t>
      </w:r>
      <w:bookmarkEnd w:id="26"/>
    </w:p>
    <w:p w14:paraId="01E2F742" w14:textId="303576A5" w:rsidR="00976A7F" w:rsidRDefault="00976A7F" w:rsidP="00363964">
      <w:pPr>
        <w:pStyle w:val="CGC2025Caption"/>
        <w:keepNext/>
        <w:keepLines/>
        <w:ind w:left="1134" w:hanging="1134"/>
      </w:pPr>
      <w:r>
        <w:t xml:space="preserve">Table </w:t>
      </w:r>
      <w:r w:rsidR="00951888">
        <w:t>2</w:t>
      </w:r>
      <w:r>
        <w:t xml:space="preserve"> </w:t>
      </w:r>
      <w:r>
        <w:tab/>
        <w:t>Impact on GST distribution of data changes</w:t>
      </w:r>
      <w:r w:rsidR="00E45020">
        <w:t>,</w:t>
      </w:r>
      <w:r>
        <w:t xml:space="preserve"> justice, 2025–26 to </w:t>
      </w:r>
      <w:r w:rsidR="00D468D4">
        <w:br/>
      </w:r>
      <w:r>
        <w:t>2026–27</w:t>
      </w:r>
    </w:p>
    <w:tbl>
      <w:tblPr>
        <w:tblW w:w="8960" w:type="dxa"/>
        <w:tblLook w:val="04A0" w:firstRow="1" w:lastRow="0" w:firstColumn="1" w:lastColumn="0" w:noHBand="0" w:noVBand="1"/>
      </w:tblPr>
      <w:tblGrid>
        <w:gridCol w:w="2880"/>
        <w:gridCol w:w="640"/>
        <w:gridCol w:w="680"/>
        <w:gridCol w:w="680"/>
        <w:gridCol w:w="680"/>
        <w:gridCol w:w="680"/>
        <w:gridCol w:w="680"/>
        <w:gridCol w:w="680"/>
        <w:gridCol w:w="680"/>
        <w:gridCol w:w="680"/>
      </w:tblGrid>
      <w:tr w:rsidR="00976A7F" w:rsidRPr="006C2465" w14:paraId="799C7A31" w14:textId="77777777" w:rsidTr="00B06022">
        <w:trPr>
          <w:cantSplit/>
          <w:trHeight w:val="381"/>
        </w:trPr>
        <w:tc>
          <w:tcPr>
            <w:tcW w:w="2880" w:type="dxa"/>
            <w:shd w:val="clear" w:color="auto" w:fill="006991"/>
            <w:vAlign w:val="center"/>
            <w:hideMark/>
          </w:tcPr>
          <w:p w14:paraId="7B34530C" w14:textId="77777777" w:rsidR="00976A7F" w:rsidRPr="006C2465" w:rsidRDefault="00976A7F" w:rsidP="00B06022">
            <w:pPr>
              <w:tabs>
                <w:tab w:val="clear" w:pos="567"/>
              </w:tabs>
              <w:spacing w:before="0" w:line="240" w:lineRule="auto"/>
              <w:rPr>
                <w:rFonts w:ascii="Open Sans Semibold" w:eastAsia="Times New Roman" w:hAnsi="Open Sans Semibold" w:cs="Open Sans Semibold"/>
                <w:color w:val="FFFFFF"/>
                <w:sz w:val="16"/>
                <w:szCs w:val="16"/>
                <w:lang w:eastAsia="en-AU"/>
              </w:rPr>
            </w:pPr>
            <w:r w:rsidRPr="006C2465">
              <w:rPr>
                <w:rFonts w:ascii="Open Sans Semibold" w:eastAsia="Times New Roman" w:hAnsi="Open Sans Semibold" w:cs="Open Sans Semibold"/>
                <w:color w:val="FFFFFF"/>
                <w:sz w:val="16"/>
                <w:szCs w:val="16"/>
                <w:lang w:eastAsia="en-AU"/>
              </w:rPr>
              <w:t> </w:t>
            </w:r>
          </w:p>
        </w:tc>
        <w:tc>
          <w:tcPr>
            <w:tcW w:w="640" w:type="dxa"/>
            <w:shd w:val="clear" w:color="auto" w:fill="006991"/>
            <w:vAlign w:val="center"/>
            <w:hideMark/>
          </w:tcPr>
          <w:p w14:paraId="2162FCC8" w14:textId="77777777" w:rsidR="00976A7F" w:rsidRPr="006C2465" w:rsidRDefault="00976A7F" w:rsidP="00B06022">
            <w:pPr>
              <w:tabs>
                <w:tab w:val="clear" w:pos="567"/>
              </w:tabs>
              <w:spacing w:before="0" w:line="240" w:lineRule="auto"/>
              <w:jc w:val="right"/>
              <w:rPr>
                <w:rFonts w:ascii="Open Sans Semibold" w:eastAsia="Times New Roman" w:hAnsi="Open Sans Semibold" w:cs="Open Sans Semibold"/>
                <w:color w:val="FFFFFF"/>
                <w:sz w:val="16"/>
                <w:szCs w:val="16"/>
                <w:lang w:eastAsia="en-AU"/>
              </w:rPr>
            </w:pPr>
            <w:r w:rsidRPr="006C2465">
              <w:rPr>
                <w:rFonts w:ascii="Open Sans Semibold" w:eastAsia="Times New Roman" w:hAnsi="Open Sans Semibold" w:cs="Open Sans Semibold"/>
                <w:color w:val="FFFFFF"/>
                <w:sz w:val="16"/>
                <w:szCs w:val="16"/>
                <w:lang w:eastAsia="en-AU"/>
              </w:rPr>
              <w:t>NSW</w:t>
            </w:r>
          </w:p>
        </w:tc>
        <w:tc>
          <w:tcPr>
            <w:tcW w:w="680" w:type="dxa"/>
            <w:shd w:val="clear" w:color="auto" w:fill="006991"/>
            <w:vAlign w:val="center"/>
            <w:hideMark/>
          </w:tcPr>
          <w:p w14:paraId="6D885427" w14:textId="77777777" w:rsidR="00976A7F" w:rsidRPr="006C2465" w:rsidRDefault="00976A7F" w:rsidP="00B06022">
            <w:pPr>
              <w:tabs>
                <w:tab w:val="clear" w:pos="567"/>
              </w:tabs>
              <w:spacing w:before="0" w:line="240" w:lineRule="auto"/>
              <w:jc w:val="right"/>
              <w:rPr>
                <w:rFonts w:ascii="Open Sans Semibold" w:eastAsia="Times New Roman" w:hAnsi="Open Sans Semibold" w:cs="Open Sans Semibold"/>
                <w:color w:val="FFFFFF"/>
                <w:sz w:val="16"/>
                <w:szCs w:val="16"/>
                <w:lang w:eastAsia="en-AU"/>
              </w:rPr>
            </w:pPr>
            <w:r w:rsidRPr="006C2465">
              <w:rPr>
                <w:rFonts w:ascii="Open Sans Semibold" w:eastAsia="Times New Roman" w:hAnsi="Open Sans Semibold" w:cs="Open Sans Semibold"/>
                <w:color w:val="FFFFFF"/>
                <w:sz w:val="16"/>
                <w:szCs w:val="16"/>
                <w:lang w:eastAsia="en-AU"/>
              </w:rPr>
              <w:t>Vic</w:t>
            </w:r>
          </w:p>
        </w:tc>
        <w:tc>
          <w:tcPr>
            <w:tcW w:w="680" w:type="dxa"/>
            <w:shd w:val="clear" w:color="auto" w:fill="006991"/>
            <w:vAlign w:val="center"/>
            <w:hideMark/>
          </w:tcPr>
          <w:p w14:paraId="221151A8" w14:textId="77777777" w:rsidR="00976A7F" w:rsidRPr="006C2465" w:rsidRDefault="00976A7F" w:rsidP="00B06022">
            <w:pPr>
              <w:tabs>
                <w:tab w:val="clear" w:pos="567"/>
              </w:tabs>
              <w:spacing w:before="0" w:line="240" w:lineRule="auto"/>
              <w:jc w:val="right"/>
              <w:rPr>
                <w:rFonts w:ascii="Open Sans Semibold" w:eastAsia="Times New Roman" w:hAnsi="Open Sans Semibold" w:cs="Open Sans Semibold"/>
                <w:color w:val="FFFFFF"/>
                <w:sz w:val="16"/>
                <w:szCs w:val="16"/>
                <w:lang w:eastAsia="en-AU"/>
              </w:rPr>
            </w:pPr>
            <w:r w:rsidRPr="006C2465">
              <w:rPr>
                <w:rFonts w:ascii="Open Sans Semibold" w:eastAsia="Times New Roman" w:hAnsi="Open Sans Semibold" w:cs="Open Sans Semibold"/>
                <w:color w:val="FFFFFF"/>
                <w:sz w:val="16"/>
                <w:szCs w:val="16"/>
                <w:lang w:eastAsia="en-AU"/>
              </w:rPr>
              <w:t>Qld</w:t>
            </w:r>
          </w:p>
        </w:tc>
        <w:tc>
          <w:tcPr>
            <w:tcW w:w="680" w:type="dxa"/>
            <w:shd w:val="clear" w:color="auto" w:fill="006991"/>
            <w:vAlign w:val="center"/>
            <w:hideMark/>
          </w:tcPr>
          <w:p w14:paraId="0D766CAE" w14:textId="77777777" w:rsidR="00976A7F" w:rsidRPr="006C2465" w:rsidRDefault="00976A7F" w:rsidP="00B06022">
            <w:pPr>
              <w:tabs>
                <w:tab w:val="clear" w:pos="567"/>
              </w:tabs>
              <w:spacing w:before="0" w:line="240" w:lineRule="auto"/>
              <w:jc w:val="right"/>
              <w:rPr>
                <w:rFonts w:ascii="Open Sans Semibold" w:eastAsia="Times New Roman" w:hAnsi="Open Sans Semibold" w:cs="Open Sans Semibold"/>
                <w:color w:val="FFFFFF"/>
                <w:sz w:val="16"/>
                <w:szCs w:val="16"/>
                <w:lang w:eastAsia="en-AU"/>
              </w:rPr>
            </w:pPr>
            <w:r w:rsidRPr="006C2465">
              <w:rPr>
                <w:rFonts w:ascii="Open Sans Semibold" w:eastAsia="Times New Roman" w:hAnsi="Open Sans Semibold" w:cs="Open Sans Semibold"/>
                <w:color w:val="FFFFFF"/>
                <w:sz w:val="16"/>
                <w:szCs w:val="16"/>
                <w:lang w:eastAsia="en-AU"/>
              </w:rPr>
              <w:t>WA</w:t>
            </w:r>
          </w:p>
        </w:tc>
        <w:tc>
          <w:tcPr>
            <w:tcW w:w="680" w:type="dxa"/>
            <w:shd w:val="clear" w:color="auto" w:fill="006991"/>
            <w:vAlign w:val="center"/>
            <w:hideMark/>
          </w:tcPr>
          <w:p w14:paraId="1334101A" w14:textId="77777777" w:rsidR="00976A7F" w:rsidRPr="006C2465" w:rsidRDefault="00976A7F" w:rsidP="00B06022">
            <w:pPr>
              <w:tabs>
                <w:tab w:val="clear" w:pos="567"/>
              </w:tabs>
              <w:spacing w:before="0" w:line="240" w:lineRule="auto"/>
              <w:jc w:val="right"/>
              <w:rPr>
                <w:rFonts w:ascii="Open Sans Semibold" w:eastAsia="Times New Roman" w:hAnsi="Open Sans Semibold" w:cs="Open Sans Semibold"/>
                <w:color w:val="FFFFFF"/>
                <w:sz w:val="16"/>
                <w:szCs w:val="16"/>
                <w:lang w:eastAsia="en-AU"/>
              </w:rPr>
            </w:pPr>
            <w:r w:rsidRPr="006C2465">
              <w:rPr>
                <w:rFonts w:ascii="Open Sans Semibold" w:eastAsia="Times New Roman" w:hAnsi="Open Sans Semibold" w:cs="Open Sans Semibold"/>
                <w:color w:val="FFFFFF"/>
                <w:sz w:val="16"/>
                <w:szCs w:val="16"/>
                <w:lang w:eastAsia="en-AU"/>
              </w:rPr>
              <w:t>SA</w:t>
            </w:r>
          </w:p>
        </w:tc>
        <w:tc>
          <w:tcPr>
            <w:tcW w:w="680" w:type="dxa"/>
            <w:shd w:val="clear" w:color="auto" w:fill="006991"/>
            <w:vAlign w:val="center"/>
            <w:hideMark/>
          </w:tcPr>
          <w:p w14:paraId="4F5A7476" w14:textId="77777777" w:rsidR="00976A7F" w:rsidRPr="006C2465" w:rsidRDefault="00976A7F" w:rsidP="00B06022">
            <w:pPr>
              <w:tabs>
                <w:tab w:val="clear" w:pos="567"/>
              </w:tabs>
              <w:spacing w:before="0" w:line="240" w:lineRule="auto"/>
              <w:jc w:val="right"/>
              <w:rPr>
                <w:rFonts w:ascii="Open Sans Semibold" w:eastAsia="Times New Roman" w:hAnsi="Open Sans Semibold" w:cs="Open Sans Semibold"/>
                <w:color w:val="FFFFFF"/>
                <w:sz w:val="16"/>
                <w:szCs w:val="16"/>
                <w:lang w:eastAsia="en-AU"/>
              </w:rPr>
            </w:pPr>
            <w:r w:rsidRPr="006C2465">
              <w:rPr>
                <w:rFonts w:ascii="Open Sans Semibold" w:eastAsia="Times New Roman" w:hAnsi="Open Sans Semibold" w:cs="Open Sans Semibold"/>
                <w:color w:val="FFFFFF"/>
                <w:sz w:val="16"/>
                <w:szCs w:val="16"/>
                <w:lang w:eastAsia="en-AU"/>
              </w:rPr>
              <w:t>Tas</w:t>
            </w:r>
          </w:p>
        </w:tc>
        <w:tc>
          <w:tcPr>
            <w:tcW w:w="680" w:type="dxa"/>
            <w:shd w:val="clear" w:color="auto" w:fill="006991"/>
            <w:vAlign w:val="center"/>
            <w:hideMark/>
          </w:tcPr>
          <w:p w14:paraId="5C32A37D" w14:textId="77777777" w:rsidR="00976A7F" w:rsidRPr="006C2465" w:rsidRDefault="00976A7F" w:rsidP="00B06022">
            <w:pPr>
              <w:tabs>
                <w:tab w:val="clear" w:pos="567"/>
              </w:tabs>
              <w:spacing w:before="0" w:line="240" w:lineRule="auto"/>
              <w:jc w:val="right"/>
              <w:rPr>
                <w:rFonts w:ascii="Open Sans Semibold" w:eastAsia="Times New Roman" w:hAnsi="Open Sans Semibold" w:cs="Open Sans Semibold"/>
                <w:color w:val="FFFFFF"/>
                <w:sz w:val="16"/>
                <w:szCs w:val="16"/>
                <w:lang w:eastAsia="en-AU"/>
              </w:rPr>
            </w:pPr>
            <w:r w:rsidRPr="006C2465">
              <w:rPr>
                <w:rFonts w:ascii="Open Sans Semibold" w:eastAsia="Times New Roman" w:hAnsi="Open Sans Semibold" w:cs="Open Sans Semibold"/>
                <w:color w:val="FFFFFF"/>
                <w:sz w:val="16"/>
                <w:szCs w:val="16"/>
                <w:lang w:eastAsia="en-AU"/>
              </w:rPr>
              <w:t>ACT</w:t>
            </w:r>
          </w:p>
        </w:tc>
        <w:tc>
          <w:tcPr>
            <w:tcW w:w="680" w:type="dxa"/>
            <w:shd w:val="clear" w:color="auto" w:fill="006991"/>
            <w:vAlign w:val="center"/>
            <w:hideMark/>
          </w:tcPr>
          <w:p w14:paraId="1DB6DD56" w14:textId="77777777" w:rsidR="00976A7F" w:rsidRPr="006C2465" w:rsidRDefault="00976A7F" w:rsidP="00B06022">
            <w:pPr>
              <w:tabs>
                <w:tab w:val="clear" w:pos="567"/>
              </w:tabs>
              <w:spacing w:before="0" w:line="240" w:lineRule="auto"/>
              <w:jc w:val="right"/>
              <w:rPr>
                <w:rFonts w:ascii="Open Sans Semibold" w:eastAsia="Times New Roman" w:hAnsi="Open Sans Semibold" w:cs="Open Sans Semibold"/>
                <w:color w:val="FFFFFF"/>
                <w:sz w:val="16"/>
                <w:szCs w:val="16"/>
                <w:lang w:eastAsia="en-AU"/>
              </w:rPr>
            </w:pPr>
            <w:r w:rsidRPr="006C2465">
              <w:rPr>
                <w:rFonts w:ascii="Open Sans Semibold" w:eastAsia="Times New Roman" w:hAnsi="Open Sans Semibold" w:cs="Open Sans Semibold"/>
                <w:color w:val="FFFFFF"/>
                <w:sz w:val="16"/>
                <w:szCs w:val="16"/>
                <w:lang w:eastAsia="en-AU"/>
              </w:rPr>
              <w:t>NT</w:t>
            </w:r>
          </w:p>
        </w:tc>
        <w:tc>
          <w:tcPr>
            <w:tcW w:w="680" w:type="dxa"/>
            <w:shd w:val="clear" w:color="auto" w:fill="006991"/>
            <w:vAlign w:val="center"/>
            <w:hideMark/>
          </w:tcPr>
          <w:p w14:paraId="0B55E770" w14:textId="77777777" w:rsidR="00976A7F" w:rsidRPr="006C2465" w:rsidRDefault="00976A7F" w:rsidP="00B06022">
            <w:pPr>
              <w:tabs>
                <w:tab w:val="clear" w:pos="567"/>
              </w:tabs>
              <w:spacing w:before="0" w:line="240" w:lineRule="auto"/>
              <w:jc w:val="right"/>
              <w:rPr>
                <w:rFonts w:ascii="Open Sans Semibold" w:eastAsia="Times New Roman" w:hAnsi="Open Sans Semibold" w:cs="Open Sans Semibold"/>
                <w:color w:val="FFFFFF"/>
                <w:sz w:val="16"/>
                <w:szCs w:val="16"/>
                <w:lang w:eastAsia="en-AU"/>
              </w:rPr>
            </w:pPr>
            <w:r w:rsidRPr="006C2465">
              <w:rPr>
                <w:rFonts w:ascii="Open Sans Semibold" w:eastAsia="Times New Roman" w:hAnsi="Open Sans Semibold" w:cs="Open Sans Semibold"/>
                <w:color w:val="FFFFFF"/>
                <w:sz w:val="16"/>
                <w:szCs w:val="16"/>
                <w:lang w:eastAsia="en-AU"/>
              </w:rPr>
              <w:t>Total</w:t>
            </w:r>
          </w:p>
        </w:tc>
      </w:tr>
      <w:tr w:rsidR="00976A7F" w:rsidRPr="006C2465" w14:paraId="5C245CA2" w14:textId="77777777" w:rsidTr="006038BA">
        <w:trPr>
          <w:cantSplit/>
          <w:trHeight w:val="261"/>
        </w:trPr>
        <w:tc>
          <w:tcPr>
            <w:tcW w:w="2880" w:type="dxa"/>
            <w:tcBorders>
              <w:top w:val="single" w:sz="8" w:space="0" w:color="ADD6EA"/>
              <w:left w:val="nil"/>
              <w:bottom w:val="nil"/>
              <w:right w:val="nil"/>
            </w:tcBorders>
            <w:shd w:val="clear" w:color="auto" w:fill="B6D5E4"/>
            <w:vAlign w:val="bottom"/>
            <w:hideMark/>
          </w:tcPr>
          <w:p w14:paraId="0308A716" w14:textId="77777777" w:rsidR="00976A7F" w:rsidRPr="006C2465" w:rsidRDefault="00976A7F" w:rsidP="00B06022">
            <w:pPr>
              <w:tabs>
                <w:tab w:val="clear" w:pos="567"/>
              </w:tabs>
              <w:spacing w:before="0" w:line="240" w:lineRule="auto"/>
              <w:rPr>
                <w:rFonts w:ascii="Open Sans Semibold" w:eastAsia="Times New Roman" w:hAnsi="Open Sans Semibold" w:cs="Open Sans Semibold"/>
                <w:color w:val="000000"/>
                <w:sz w:val="16"/>
                <w:szCs w:val="16"/>
                <w:lang w:eastAsia="en-AU"/>
              </w:rPr>
            </w:pPr>
            <w:r w:rsidRPr="006C2465">
              <w:rPr>
                <w:rFonts w:ascii="Open Sans Semibold" w:eastAsia="Times New Roman" w:hAnsi="Open Sans Semibold" w:cs="Open Sans Semibold"/>
                <w:color w:val="000000"/>
                <w:sz w:val="16"/>
                <w:szCs w:val="16"/>
                <w:lang w:eastAsia="en-AU"/>
              </w:rPr>
              <w:t> </w:t>
            </w:r>
          </w:p>
        </w:tc>
        <w:tc>
          <w:tcPr>
            <w:tcW w:w="640" w:type="dxa"/>
            <w:tcBorders>
              <w:top w:val="single" w:sz="8" w:space="0" w:color="ADD6EA"/>
              <w:left w:val="nil"/>
              <w:bottom w:val="single" w:sz="4" w:space="0" w:color="ADD6EA"/>
              <w:right w:val="nil"/>
            </w:tcBorders>
            <w:shd w:val="clear" w:color="auto" w:fill="B6D5E4"/>
            <w:vAlign w:val="bottom"/>
            <w:hideMark/>
          </w:tcPr>
          <w:p w14:paraId="7DFE9F13" w14:textId="77777777" w:rsidR="00976A7F" w:rsidRPr="006C2465" w:rsidRDefault="00976A7F" w:rsidP="00B06022">
            <w:pPr>
              <w:tabs>
                <w:tab w:val="clear" w:pos="567"/>
              </w:tabs>
              <w:spacing w:before="0" w:line="240" w:lineRule="auto"/>
              <w:jc w:val="right"/>
              <w:rPr>
                <w:rFonts w:ascii="Open Sans Semibold" w:eastAsia="Times New Roman" w:hAnsi="Open Sans Semibold" w:cs="Open Sans Semibold"/>
                <w:color w:val="000000"/>
                <w:sz w:val="16"/>
                <w:szCs w:val="16"/>
                <w:lang w:eastAsia="en-AU"/>
              </w:rPr>
            </w:pPr>
            <w:r w:rsidRPr="006C2465">
              <w:rPr>
                <w:rFonts w:ascii="Open Sans Semibold" w:eastAsia="Times New Roman" w:hAnsi="Open Sans Semibold" w:cs="Open Sans Semibold"/>
                <w:color w:val="000000"/>
                <w:sz w:val="16"/>
                <w:szCs w:val="16"/>
                <w:lang w:eastAsia="en-AU"/>
              </w:rPr>
              <w:t>$m</w:t>
            </w:r>
          </w:p>
        </w:tc>
        <w:tc>
          <w:tcPr>
            <w:tcW w:w="680" w:type="dxa"/>
            <w:tcBorders>
              <w:top w:val="single" w:sz="8" w:space="0" w:color="ADD6EA"/>
              <w:left w:val="nil"/>
              <w:bottom w:val="single" w:sz="4" w:space="0" w:color="ADD6EA"/>
              <w:right w:val="nil"/>
            </w:tcBorders>
            <w:shd w:val="clear" w:color="auto" w:fill="B6D5E4"/>
            <w:vAlign w:val="bottom"/>
            <w:hideMark/>
          </w:tcPr>
          <w:p w14:paraId="2C29A2ED" w14:textId="77777777" w:rsidR="00976A7F" w:rsidRPr="006C2465" w:rsidRDefault="00976A7F" w:rsidP="00B06022">
            <w:pPr>
              <w:tabs>
                <w:tab w:val="clear" w:pos="567"/>
              </w:tabs>
              <w:spacing w:before="0" w:line="240" w:lineRule="auto"/>
              <w:jc w:val="right"/>
              <w:rPr>
                <w:rFonts w:ascii="Open Sans Semibold" w:eastAsia="Times New Roman" w:hAnsi="Open Sans Semibold" w:cs="Open Sans Semibold"/>
                <w:color w:val="000000"/>
                <w:sz w:val="16"/>
                <w:szCs w:val="16"/>
                <w:lang w:eastAsia="en-AU"/>
              </w:rPr>
            </w:pPr>
            <w:r w:rsidRPr="006C2465">
              <w:rPr>
                <w:rFonts w:ascii="Open Sans Semibold" w:eastAsia="Times New Roman" w:hAnsi="Open Sans Semibold" w:cs="Open Sans Semibold"/>
                <w:color w:val="000000"/>
                <w:sz w:val="16"/>
                <w:szCs w:val="16"/>
                <w:lang w:eastAsia="en-AU"/>
              </w:rPr>
              <w:t>$m</w:t>
            </w:r>
          </w:p>
        </w:tc>
        <w:tc>
          <w:tcPr>
            <w:tcW w:w="680" w:type="dxa"/>
            <w:tcBorders>
              <w:top w:val="single" w:sz="8" w:space="0" w:color="ADD6EA"/>
              <w:left w:val="nil"/>
              <w:bottom w:val="single" w:sz="4" w:space="0" w:color="ADD6EA"/>
              <w:right w:val="nil"/>
            </w:tcBorders>
            <w:shd w:val="clear" w:color="auto" w:fill="B6D5E4"/>
            <w:vAlign w:val="bottom"/>
            <w:hideMark/>
          </w:tcPr>
          <w:p w14:paraId="545C34CA" w14:textId="77777777" w:rsidR="00976A7F" w:rsidRPr="006C2465" w:rsidRDefault="00976A7F" w:rsidP="00B06022">
            <w:pPr>
              <w:tabs>
                <w:tab w:val="clear" w:pos="567"/>
              </w:tabs>
              <w:spacing w:before="0" w:line="240" w:lineRule="auto"/>
              <w:jc w:val="right"/>
              <w:rPr>
                <w:rFonts w:ascii="Open Sans Semibold" w:eastAsia="Times New Roman" w:hAnsi="Open Sans Semibold" w:cs="Open Sans Semibold"/>
                <w:color w:val="000000"/>
                <w:sz w:val="16"/>
                <w:szCs w:val="16"/>
                <w:lang w:eastAsia="en-AU"/>
              </w:rPr>
            </w:pPr>
            <w:r w:rsidRPr="006C2465">
              <w:rPr>
                <w:rFonts w:ascii="Open Sans Semibold" w:eastAsia="Times New Roman" w:hAnsi="Open Sans Semibold" w:cs="Open Sans Semibold"/>
                <w:color w:val="000000"/>
                <w:sz w:val="16"/>
                <w:szCs w:val="16"/>
                <w:lang w:eastAsia="en-AU"/>
              </w:rPr>
              <w:t>$m</w:t>
            </w:r>
          </w:p>
        </w:tc>
        <w:tc>
          <w:tcPr>
            <w:tcW w:w="680" w:type="dxa"/>
            <w:tcBorders>
              <w:top w:val="single" w:sz="8" w:space="0" w:color="ADD6EA"/>
              <w:left w:val="nil"/>
              <w:bottom w:val="single" w:sz="4" w:space="0" w:color="ADD6EA"/>
              <w:right w:val="nil"/>
            </w:tcBorders>
            <w:shd w:val="clear" w:color="auto" w:fill="B6D5E4"/>
            <w:vAlign w:val="bottom"/>
            <w:hideMark/>
          </w:tcPr>
          <w:p w14:paraId="7062094A" w14:textId="77777777" w:rsidR="00976A7F" w:rsidRPr="006C2465" w:rsidRDefault="00976A7F" w:rsidP="00B06022">
            <w:pPr>
              <w:tabs>
                <w:tab w:val="clear" w:pos="567"/>
              </w:tabs>
              <w:spacing w:before="0" w:line="240" w:lineRule="auto"/>
              <w:jc w:val="right"/>
              <w:rPr>
                <w:rFonts w:ascii="Open Sans Semibold" w:eastAsia="Times New Roman" w:hAnsi="Open Sans Semibold" w:cs="Open Sans Semibold"/>
                <w:color w:val="000000"/>
                <w:sz w:val="16"/>
                <w:szCs w:val="16"/>
                <w:lang w:eastAsia="en-AU"/>
              </w:rPr>
            </w:pPr>
            <w:r w:rsidRPr="006C2465">
              <w:rPr>
                <w:rFonts w:ascii="Open Sans Semibold" w:eastAsia="Times New Roman" w:hAnsi="Open Sans Semibold" w:cs="Open Sans Semibold"/>
                <w:color w:val="000000"/>
                <w:sz w:val="16"/>
                <w:szCs w:val="16"/>
                <w:lang w:eastAsia="en-AU"/>
              </w:rPr>
              <w:t>$m</w:t>
            </w:r>
          </w:p>
        </w:tc>
        <w:tc>
          <w:tcPr>
            <w:tcW w:w="680" w:type="dxa"/>
            <w:tcBorders>
              <w:top w:val="single" w:sz="8" w:space="0" w:color="ADD6EA"/>
              <w:left w:val="nil"/>
              <w:bottom w:val="single" w:sz="4" w:space="0" w:color="ADD6EA"/>
              <w:right w:val="nil"/>
            </w:tcBorders>
            <w:shd w:val="clear" w:color="auto" w:fill="B6D5E4"/>
            <w:vAlign w:val="bottom"/>
            <w:hideMark/>
          </w:tcPr>
          <w:p w14:paraId="7C0B48E6" w14:textId="77777777" w:rsidR="00976A7F" w:rsidRPr="006C2465" w:rsidRDefault="00976A7F" w:rsidP="00B06022">
            <w:pPr>
              <w:tabs>
                <w:tab w:val="clear" w:pos="567"/>
              </w:tabs>
              <w:spacing w:before="0" w:line="240" w:lineRule="auto"/>
              <w:jc w:val="right"/>
              <w:rPr>
                <w:rFonts w:ascii="Open Sans Semibold" w:eastAsia="Times New Roman" w:hAnsi="Open Sans Semibold" w:cs="Open Sans Semibold"/>
                <w:color w:val="000000"/>
                <w:sz w:val="16"/>
                <w:szCs w:val="16"/>
                <w:lang w:eastAsia="en-AU"/>
              </w:rPr>
            </w:pPr>
            <w:r w:rsidRPr="006C2465">
              <w:rPr>
                <w:rFonts w:ascii="Open Sans Semibold" w:eastAsia="Times New Roman" w:hAnsi="Open Sans Semibold" w:cs="Open Sans Semibold"/>
                <w:color w:val="000000"/>
                <w:sz w:val="16"/>
                <w:szCs w:val="16"/>
                <w:lang w:eastAsia="en-AU"/>
              </w:rPr>
              <w:t>$m</w:t>
            </w:r>
          </w:p>
        </w:tc>
        <w:tc>
          <w:tcPr>
            <w:tcW w:w="680" w:type="dxa"/>
            <w:tcBorders>
              <w:top w:val="single" w:sz="8" w:space="0" w:color="ADD6EA"/>
              <w:left w:val="nil"/>
              <w:bottom w:val="single" w:sz="4" w:space="0" w:color="ADD6EA"/>
              <w:right w:val="nil"/>
            </w:tcBorders>
            <w:shd w:val="clear" w:color="auto" w:fill="B6D5E4"/>
            <w:vAlign w:val="bottom"/>
            <w:hideMark/>
          </w:tcPr>
          <w:p w14:paraId="57F8AAD8" w14:textId="77777777" w:rsidR="00976A7F" w:rsidRPr="006C2465" w:rsidRDefault="00976A7F" w:rsidP="00B06022">
            <w:pPr>
              <w:tabs>
                <w:tab w:val="clear" w:pos="567"/>
              </w:tabs>
              <w:spacing w:before="0" w:line="240" w:lineRule="auto"/>
              <w:jc w:val="right"/>
              <w:rPr>
                <w:rFonts w:ascii="Open Sans Semibold" w:eastAsia="Times New Roman" w:hAnsi="Open Sans Semibold" w:cs="Open Sans Semibold"/>
                <w:color w:val="000000"/>
                <w:sz w:val="16"/>
                <w:szCs w:val="16"/>
                <w:lang w:eastAsia="en-AU"/>
              </w:rPr>
            </w:pPr>
            <w:r w:rsidRPr="006C2465">
              <w:rPr>
                <w:rFonts w:ascii="Open Sans Semibold" w:eastAsia="Times New Roman" w:hAnsi="Open Sans Semibold" w:cs="Open Sans Semibold"/>
                <w:color w:val="000000"/>
                <w:sz w:val="16"/>
                <w:szCs w:val="16"/>
                <w:lang w:eastAsia="en-AU"/>
              </w:rPr>
              <w:t>$m</w:t>
            </w:r>
          </w:p>
        </w:tc>
        <w:tc>
          <w:tcPr>
            <w:tcW w:w="680" w:type="dxa"/>
            <w:tcBorders>
              <w:top w:val="single" w:sz="8" w:space="0" w:color="ADD6EA"/>
              <w:left w:val="nil"/>
              <w:bottom w:val="single" w:sz="4" w:space="0" w:color="ADD6EA"/>
              <w:right w:val="nil"/>
            </w:tcBorders>
            <w:shd w:val="clear" w:color="auto" w:fill="B6D5E4"/>
            <w:vAlign w:val="bottom"/>
            <w:hideMark/>
          </w:tcPr>
          <w:p w14:paraId="79BF1414" w14:textId="77777777" w:rsidR="00976A7F" w:rsidRPr="006C2465" w:rsidRDefault="00976A7F" w:rsidP="00B06022">
            <w:pPr>
              <w:tabs>
                <w:tab w:val="clear" w:pos="567"/>
              </w:tabs>
              <w:spacing w:before="0" w:line="240" w:lineRule="auto"/>
              <w:jc w:val="right"/>
              <w:rPr>
                <w:rFonts w:ascii="Open Sans Semibold" w:eastAsia="Times New Roman" w:hAnsi="Open Sans Semibold" w:cs="Open Sans Semibold"/>
                <w:color w:val="000000"/>
                <w:sz w:val="16"/>
                <w:szCs w:val="16"/>
                <w:lang w:eastAsia="en-AU"/>
              </w:rPr>
            </w:pPr>
            <w:r w:rsidRPr="006C2465">
              <w:rPr>
                <w:rFonts w:ascii="Open Sans Semibold" w:eastAsia="Times New Roman" w:hAnsi="Open Sans Semibold" w:cs="Open Sans Semibold"/>
                <w:color w:val="000000"/>
                <w:sz w:val="16"/>
                <w:szCs w:val="16"/>
                <w:lang w:eastAsia="en-AU"/>
              </w:rPr>
              <w:t>$m</w:t>
            </w:r>
          </w:p>
        </w:tc>
        <w:tc>
          <w:tcPr>
            <w:tcW w:w="680" w:type="dxa"/>
            <w:tcBorders>
              <w:top w:val="single" w:sz="8" w:space="0" w:color="ADD6EA"/>
              <w:left w:val="nil"/>
              <w:bottom w:val="single" w:sz="4" w:space="0" w:color="ADD6EA"/>
              <w:right w:val="nil"/>
            </w:tcBorders>
            <w:shd w:val="clear" w:color="auto" w:fill="B6D5E4"/>
            <w:vAlign w:val="bottom"/>
            <w:hideMark/>
          </w:tcPr>
          <w:p w14:paraId="32724DE2" w14:textId="77777777" w:rsidR="00976A7F" w:rsidRPr="006C2465" w:rsidRDefault="00976A7F" w:rsidP="00B06022">
            <w:pPr>
              <w:tabs>
                <w:tab w:val="clear" w:pos="567"/>
              </w:tabs>
              <w:spacing w:before="0" w:line="240" w:lineRule="auto"/>
              <w:jc w:val="right"/>
              <w:rPr>
                <w:rFonts w:ascii="Open Sans Semibold" w:eastAsia="Times New Roman" w:hAnsi="Open Sans Semibold" w:cs="Open Sans Semibold"/>
                <w:color w:val="000000"/>
                <w:sz w:val="16"/>
                <w:szCs w:val="16"/>
                <w:lang w:eastAsia="en-AU"/>
              </w:rPr>
            </w:pPr>
            <w:r w:rsidRPr="006C2465">
              <w:rPr>
                <w:rFonts w:ascii="Open Sans Semibold" w:eastAsia="Times New Roman" w:hAnsi="Open Sans Semibold" w:cs="Open Sans Semibold"/>
                <w:color w:val="000000"/>
                <w:sz w:val="16"/>
                <w:szCs w:val="16"/>
                <w:lang w:eastAsia="en-AU"/>
              </w:rPr>
              <w:t>$m</w:t>
            </w:r>
          </w:p>
        </w:tc>
        <w:tc>
          <w:tcPr>
            <w:tcW w:w="680" w:type="dxa"/>
            <w:tcBorders>
              <w:top w:val="single" w:sz="8" w:space="0" w:color="ADD6EA"/>
              <w:left w:val="nil"/>
              <w:bottom w:val="single" w:sz="4" w:space="0" w:color="ADD6EA"/>
              <w:right w:val="nil"/>
            </w:tcBorders>
            <w:shd w:val="clear" w:color="auto" w:fill="B6D5E4"/>
            <w:vAlign w:val="bottom"/>
            <w:hideMark/>
          </w:tcPr>
          <w:p w14:paraId="6622B270" w14:textId="77777777" w:rsidR="00976A7F" w:rsidRPr="006C2465" w:rsidRDefault="00976A7F" w:rsidP="00B06022">
            <w:pPr>
              <w:tabs>
                <w:tab w:val="clear" w:pos="567"/>
              </w:tabs>
              <w:spacing w:before="0" w:line="240" w:lineRule="auto"/>
              <w:jc w:val="right"/>
              <w:rPr>
                <w:rFonts w:ascii="Open Sans Semibold" w:eastAsia="Times New Roman" w:hAnsi="Open Sans Semibold" w:cs="Open Sans Semibold"/>
                <w:color w:val="000000"/>
                <w:sz w:val="16"/>
                <w:szCs w:val="16"/>
                <w:lang w:eastAsia="en-AU"/>
              </w:rPr>
            </w:pPr>
            <w:r w:rsidRPr="006C2465">
              <w:rPr>
                <w:rFonts w:ascii="Open Sans Semibold" w:eastAsia="Times New Roman" w:hAnsi="Open Sans Semibold" w:cs="Open Sans Semibold"/>
                <w:color w:val="000000"/>
                <w:sz w:val="16"/>
                <w:szCs w:val="16"/>
                <w:lang w:eastAsia="en-AU"/>
              </w:rPr>
              <w:t>$m</w:t>
            </w:r>
          </w:p>
        </w:tc>
      </w:tr>
      <w:tr w:rsidR="00E85C31" w:rsidRPr="006C2465" w14:paraId="35188099" w14:textId="77777777">
        <w:trPr>
          <w:cantSplit/>
          <w:trHeight w:val="321"/>
        </w:trPr>
        <w:tc>
          <w:tcPr>
            <w:tcW w:w="2880" w:type="dxa"/>
            <w:tcBorders>
              <w:top w:val="single" w:sz="4" w:space="0" w:color="ADD6EA"/>
              <w:left w:val="nil"/>
              <w:bottom w:val="nil"/>
              <w:right w:val="nil"/>
            </w:tcBorders>
            <w:shd w:val="clear" w:color="auto" w:fill="FFFFFF"/>
            <w:vAlign w:val="bottom"/>
            <w:hideMark/>
          </w:tcPr>
          <w:p w14:paraId="7A02ACE8" w14:textId="77777777" w:rsidR="00E85C31" w:rsidRPr="00C24CA0" w:rsidRDefault="00E85C31" w:rsidP="00E85C31">
            <w:pPr>
              <w:tabs>
                <w:tab w:val="clear" w:pos="567"/>
              </w:tabs>
              <w:spacing w:before="0" w:line="240" w:lineRule="auto"/>
              <w:rPr>
                <w:rFonts w:eastAsia="Times New Roman" w:cs="Open Sans Light"/>
                <w:color w:val="000000"/>
                <w:sz w:val="16"/>
                <w:szCs w:val="16"/>
                <w:lang w:eastAsia="en-AU"/>
              </w:rPr>
            </w:pPr>
            <w:r w:rsidRPr="00C24CA0">
              <w:rPr>
                <w:rFonts w:eastAsia="Times New Roman" w:cs="Open Sans Light"/>
                <w:color w:val="000000"/>
                <w:sz w:val="16"/>
                <w:szCs w:val="16"/>
                <w:lang w:eastAsia="en-AU"/>
              </w:rPr>
              <w:t>Police (a)</w:t>
            </w:r>
          </w:p>
        </w:tc>
        <w:tc>
          <w:tcPr>
            <w:tcW w:w="640" w:type="dxa"/>
            <w:tcBorders>
              <w:top w:val="single" w:sz="4" w:space="0" w:color="ADD6EA"/>
              <w:left w:val="nil"/>
              <w:bottom w:val="nil"/>
              <w:right w:val="nil"/>
            </w:tcBorders>
            <w:shd w:val="clear" w:color="000000" w:fill="FFFFFF"/>
            <w:vAlign w:val="bottom"/>
            <w:hideMark/>
          </w:tcPr>
          <w:p w14:paraId="53B03C5D" w14:textId="232404EE" w:rsidR="00E85C31" w:rsidRPr="00E6169D" w:rsidRDefault="00E85C31" w:rsidP="00E85C31">
            <w:pPr>
              <w:tabs>
                <w:tab w:val="clear" w:pos="567"/>
              </w:tabs>
              <w:spacing w:before="0" w:line="240" w:lineRule="auto"/>
              <w:jc w:val="right"/>
              <w:rPr>
                <w:rFonts w:eastAsia="Times New Roman" w:cs="Open Sans Light"/>
                <w:color w:val="000000"/>
                <w:sz w:val="16"/>
                <w:szCs w:val="16"/>
                <w:highlight w:val="yellow"/>
                <w:lang w:eastAsia="en-AU"/>
              </w:rPr>
            </w:pPr>
            <w:r>
              <w:rPr>
                <w:rFonts w:cs="Open Sans Light"/>
                <w:color w:val="000000"/>
                <w:sz w:val="16"/>
                <w:szCs w:val="16"/>
              </w:rPr>
              <w:t>59</w:t>
            </w:r>
          </w:p>
        </w:tc>
        <w:tc>
          <w:tcPr>
            <w:tcW w:w="680" w:type="dxa"/>
            <w:tcBorders>
              <w:top w:val="single" w:sz="4" w:space="0" w:color="ADD6EA"/>
              <w:left w:val="nil"/>
              <w:bottom w:val="nil"/>
              <w:right w:val="nil"/>
            </w:tcBorders>
            <w:shd w:val="clear" w:color="000000" w:fill="FFFFFF"/>
            <w:vAlign w:val="bottom"/>
            <w:hideMark/>
          </w:tcPr>
          <w:p w14:paraId="2B088DD5" w14:textId="58F31A7F" w:rsidR="00E85C31" w:rsidRPr="00E6169D" w:rsidRDefault="00E85C31" w:rsidP="00E85C31">
            <w:pPr>
              <w:tabs>
                <w:tab w:val="clear" w:pos="567"/>
              </w:tabs>
              <w:spacing w:before="0" w:line="240" w:lineRule="auto"/>
              <w:jc w:val="right"/>
              <w:rPr>
                <w:rFonts w:eastAsia="Times New Roman" w:cs="Open Sans Light"/>
                <w:color w:val="000000"/>
                <w:sz w:val="16"/>
                <w:szCs w:val="16"/>
                <w:highlight w:val="yellow"/>
                <w:lang w:eastAsia="en-AU"/>
              </w:rPr>
            </w:pPr>
            <w:r>
              <w:rPr>
                <w:rFonts w:cs="Open Sans Light"/>
                <w:color w:val="000000"/>
                <w:sz w:val="16"/>
                <w:szCs w:val="16"/>
              </w:rPr>
              <w:t>-141</w:t>
            </w:r>
          </w:p>
        </w:tc>
        <w:tc>
          <w:tcPr>
            <w:tcW w:w="680" w:type="dxa"/>
            <w:tcBorders>
              <w:top w:val="single" w:sz="4" w:space="0" w:color="ADD6EA"/>
              <w:left w:val="nil"/>
              <w:bottom w:val="nil"/>
              <w:right w:val="nil"/>
            </w:tcBorders>
            <w:shd w:val="clear" w:color="000000" w:fill="FFFFFF"/>
            <w:vAlign w:val="bottom"/>
            <w:hideMark/>
          </w:tcPr>
          <w:p w14:paraId="0235FA40" w14:textId="6C29A25B" w:rsidR="00E85C31" w:rsidRPr="00E6169D" w:rsidRDefault="00E85C31" w:rsidP="00E85C31">
            <w:pPr>
              <w:tabs>
                <w:tab w:val="clear" w:pos="567"/>
              </w:tabs>
              <w:spacing w:before="0" w:line="240" w:lineRule="auto"/>
              <w:jc w:val="right"/>
              <w:rPr>
                <w:rFonts w:eastAsia="Times New Roman" w:cs="Open Sans Light"/>
                <w:color w:val="000000"/>
                <w:sz w:val="16"/>
                <w:szCs w:val="16"/>
                <w:highlight w:val="yellow"/>
                <w:lang w:eastAsia="en-AU"/>
              </w:rPr>
            </w:pPr>
            <w:r>
              <w:rPr>
                <w:rFonts w:cs="Open Sans Light"/>
                <w:color w:val="000000"/>
                <w:sz w:val="16"/>
                <w:szCs w:val="16"/>
              </w:rPr>
              <w:t>71</w:t>
            </w:r>
          </w:p>
        </w:tc>
        <w:tc>
          <w:tcPr>
            <w:tcW w:w="680" w:type="dxa"/>
            <w:tcBorders>
              <w:top w:val="single" w:sz="4" w:space="0" w:color="ADD6EA"/>
              <w:left w:val="nil"/>
              <w:bottom w:val="nil"/>
              <w:right w:val="nil"/>
            </w:tcBorders>
            <w:shd w:val="clear" w:color="000000" w:fill="FFFFFF"/>
            <w:vAlign w:val="bottom"/>
            <w:hideMark/>
          </w:tcPr>
          <w:p w14:paraId="6BCE22DE" w14:textId="6C5D91C9" w:rsidR="00E85C31" w:rsidRPr="00E6169D" w:rsidRDefault="00E85C31" w:rsidP="00E85C31">
            <w:pPr>
              <w:tabs>
                <w:tab w:val="clear" w:pos="567"/>
              </w:tabs>
              <w:spacing w:before="0" w:line="240" w:lineRule="auto"/>
              <w:jc w:val="right"/>
              <w:rPr>
                <w:rFonts w:eastAsia="Times New Roman" w:cs="Open Sans Light"/>
                <w:color w:val="000000"/>
                <w:sz w:val="16"/>
                <w:szCs w:val="16"/>
                <w:highlight w:val="yellow"/>
                <w:lang w:eastAsia="en-AU"/>
              </w:rPr>
            </w:pPr>
            <w:r>
              <w:rPr>
                <w:rFonts w:cs="Open Sans Light"/>
                <w:color w:val="000000"/>
                <w:sz w:val="16"/>
                <w:szCs w:val="16"/>
              </w:rPr>
              <w:t>-21</w:t>
            </w:r>
          </w:p>
        </w:tc>
        <w:tc>
          <w:tcPr>
            <w:tcW w:w="680" w:type="dxa"/>
            <w:tcBorders>
              <w:top w:val="single" w:sz="4" w:space="0" w:color="ADD6EA"/>
              <w:left w:val="nil"/>
              <w:bottom w:val="nil"/>
              <w:right w:val="nil"/>
            </w:tcBorders>
            <w:shd w:val="clear" w:color="000000" w:fill="FFFFFF"/>
            <w:vAlign w:val="bottom"/>
            <w:hideMark/>
          </w:tcPr>
          <w:p w14:paraId="5E1C92A3" w14:textId="3662351C" w:rsidR="00E85C31" w:rsidRPr="00E6169D" w:rsidRDefault="00E85C31" w:rsidP="00E85C31">
            <w:pPr>
              <w:tabs>
                <w:tab w:val="clear" w:pos="567"/>
              </w:tabs>
              <w:spacing w:before="0" w:line="240" w:lineRule="auto"/>
              <w:jc w:val="right"/>
              <w:rPr>
                <w:rFonts w:eastAsia="Times New Roman" w:cs="Open Sans Light"/>
                <w:color w:val="000000"/>
                <w:sz w:val="16"/>
                <w:szCs w:val="16"/>
                <w:highlight w:val="yellow"/>
                <w:lang w:eastAsia="en-AU"/>
              </w:rPr>
            </w:pPr>
            <w:r>
              <w:rPr>
                <w:rFonts w:cs="Open Sans Light"/>
                <w:color w:val="000000"/>
                <w:sz w:val="16"/>
                <w:szCs w:val="16"/>
              </w:rPr>
              <w:t>-21</w:t>
            </w:r>
          </w:p>
        </w:tc>
        <w:tc>
          <w:tcPr>
            <w:tcW w:w="680" w:type="dxa"/>
            <w:tcBorders>
              <w:top w:val="single" w:sz="4" w:space="0" w:color="ADD6EA"/>
              <w:left w:val="nil"/>
              <w:bottom w:val="nil"/>
              <w:right w:val="nil"/>
            </w:tcBorders>
            <w:shd w:val="clear" w:color="000000" w:fill="FFFFFF"/>
            <w:vAlign w:val="bottom"/>
            <w:hideMark/>
          </w:tcPr>
          <w:p w14:paraId="09326F07" w14:textId="37CA57AF" w:rsidR="00E85C31" w:rsidRPr="00E6169D" w:rsidRDefault="00E85C31" w:rsidP="00E85C31">
            <w:pPr>
              <w:tabs>
                <w:tab w:val="clear" w:pos="567"/>
              </w:tabs>
              <w:spacing w:before="0" w:line="240" w:lineRule="auto"/>
              <w:jc w:val="right"/>
              <w:rPr>
                <w:rFonts w:eastAsia="Times New Roman" w:cs="Open Sans Light"/>
                <w:color w:val="000000"/>
                <w:sz w:val="16"/>
                <w:szCs w:val="16"/>
                <w:highlight w:val="yellow"/>
                <w:lang w:eastAsia="en-AU"/>
              </w:rPr>
            </w:pPr>
            <w:r>
              <w:rPr>
                <w:rFonts w:cs="Open Sans Light"/>
                <w:color w:val="000000"/>
                <w:sz w:val="16"/>
                <w:szCs w:val="16"/>
              </w:rPr>
              <w:t>29</w:t>
            </w:r>
          </w:p>
        </w:tc>
        <w:tc>
          <w:tcPr>
            <w:tcW w:w="680" w:type="dxa"/>
            <w:tcBorders>
              <w:top w:val="single" w:sz="4" w:space="0" w:color="ADD6EA"/>
              <w:left w:val="nil"/>
              <w:bottom w:val="nil"/>
              <w:right w:val="nil"/>
            </w:tcBorders>
            <w:shd w:val="clear" w:color="000000" w:fill="FFFFFF"/>
            <w:vAlign w:val="bottom"/>
            <w:hideMark/>
          </w:tcPr>
          <w:p w14:paraId="6EDA2406" w14:textId="5DE3AE0F" w:rsidR="00E85C31" w:rsidRPr="00E6169D" w:rsidRDefault="00E85C31" w:rsidP="00E85C31">
            <w:pPr>
              <w:tabs>
                <w:tab w:val="clear" w:pos="567"/>
              </w:tabs>
              <w:spacing w:before="0" w:line="240" w:lineRule="auto"/>
              <w:jc w:val="right"/>
              <w:rPr>
                <w:rFonts w:eastAsia="Times New Roman" w:cs="Open Sans Light"/>
                <w:color w:val="000000"/>
                <w:sz w:val="16"/>
                <w:szCs w:val="16"/>
                <w:highlight w:val="yellow"/>
                <w:lang w:eastAsia="en-AU"/>
              </w:rPr>
            </w:pPr>
            <w:r>
              <w:rPr>
                <w:rFonts w:cs="Open Sans Light"/>
                <w:color w:val="000000"/>
                <w:sz w:val="16"/>
                <w:szCs w:val="16"/>
              </w:rPr>
              <w:t>-11</w:t>
            </w:r>
          </w:p>
        </w:tc>
        <w:tc>
          <w:tcPr>
            <w:tcW w:w="680" w:type="dxa"/>
            <w:tcBorders>
              <w:top w:val="single" w:sz="4" w:space="0" w:color="ADD6EA"/>
              <w:left w:val="nil"/>
              <w:bottom w:val="nil"/>
              <w:right w:val="nil"/>
            </w:tcBorders>
            <w:shd w:val="clear" w:color="000000" w:fill="FFFFFF"/>
            <w:vAlign w:val="bottom"/>
            <w:hideMark/>
          </w:tcPr>
          <w:p w14:paraId="41A4FB22" w14:textId="4FBA0D96" w:rsidR="00E85C31" w:rsidRPr="00E6169D" w:rsidRDefault="00E85C31" w:rsidP="00E85C31">
            <w:pPr>
              <w:tabs>
                <w:tab w:val="clear" w:pos="567"/>
              </w:tabs>
              <w:spacing w:before="0" w:line="240" w:lineRule="auto"/>
              <w:jc w:val="right"/>
              <w:rPr>
                <w:rFonts w:eastAsia="Times New Roman" w:cs="Open Sans Light"/>
                <w:color w:val="000000"/>
                <w:sz w:val="16"/>
                <w:szCs w:val="16"/>
                <w:highlight w:val="yellow"/>
                <w:lang w:eastAsia="en-AU"/>
              </w:rPr>
            </w:pPr>
            <w:r>
              <w:rPr>
                <w:rFonts w:cs="Open Sans Light"/>
                <w:color w:val="000000"/>
                <w:sz w:val="16"/>
                <w:szCs w:val="16"/>
              </w:rPr>
              <w:t>35</w:t>
            </w:r>
          </w:p>
        </w:tc>
        <w:tc>
          <w:tcPr>
            <w:tcW w:w="680" w:type="dxa"/>
            <w:tcBorders>
              <w:top w:val="single" w:sz="4" w:space="0" w:color="ADD6EA"/>
              <w:left w:val="nil"/>
              <w:bottom w:val="nil"/>
              <w:right w:val="nil"/>
            </w:tcBorders>
            <w:shd w:val="clear" w:color="000000" w:fill="FFFFFF"/>
            <w:vAlign w:val="bottom"/>
            <w:hideMark/>
          </w:tcPr>
          <w:p w14:paraId="7143120D" w14:textId="5F4D84F2" w:rsidR="00E85C31" w:rsidRPr="00E6169D" w:rsidRDefault="00E85C31" w:rsidP="00E85C31">
            <w:pPr>
              <w:tabs>
                <w:tab w:val="clear" w:pos="567"/>
              </w:tabs>
              <w:spacing w:before="0" w:line="240" w:lineRule="auto"/>
              <w:jc w:val="right"/>
              <w:rPr>
                <w:rFonts w:eastAsia="Times New Roman" w:cs="Open Sans Light"/>
                <w:color w:val="000000"/>
                <w:sz w:val="16"/>
                <w:szCs w:val="16"/>
                <w:highlight w:val="yellow"/>
                <w:lang w:eastAsia="en-AU"/>
              </w:rPr>
            </w:pPr>
            <w:r>
              <w:rPr>
                <w:rFonts w:cs="Open Sans Light"/>
                <w:color w:val="000000"/>
                <w:sz w:val="16"/>
                <w:szCs w:val="16"/>
              </w:rPr>
              <w:t>195</w:t>
            </w:r>
          </w:p>
        </w:tc>
      </w:tr>
      <w:tr w:rsidR="00E85C31" w:rsidRPr="006C2465" w14:paraId="13F027E4" w14:textId="77777777">
        <w:trPr>
          <w:cantSplit/>
          <w:trHeight w:val="321"/>
        </w:trPr>
        <w:tc>
          <w:tcPr>
            <w:tcW w:w="2880" w:type="dxa"/>
            <w:tcBorders>
              <w:top w:val="single" w:sz="8" w:space="0" w:color="ADD6EA"/>
              <w:left w:val="nil"/>
              <w:bottom w:val="nil"/>
              <w:right w:val="nil"/>
            </w:tcBorders>
            <w:shd w:val="clear" w:color="auto" w:fill="FFFFFF"/>
            <w:vAlign w:val="bottom"/>
            <w:hideMark/>
          </w:tcPr>
          <w:p w14:paraId="080A3B70" w14:textId="16E64585" w:rsidR="00E85C31" w:rsidRPr="00C24CA0" w:rsidRDefault="00E85C31" w:rsidP="00E85C31">
            <w:pPr>
              <w:tabs>
                <w:tab w:val="clear" w:pos="567"/>
              </w:tabs>
              <w:spacing w:before="0" w:line="240" w:lineRule="auto"/>
              <w:rPr>
                <w:rFonts w:eastAsia="Times New Roman" w:cs="Open Sans Light"/>
                <w:color w:val="000000"/>
                <w:sz w:val="16"/>
                <w:szCs w:val="16"/>
                <w:lang w:eastAsia="en-AU"/>
              </w:rPr>
            </w:pPr>
            <w:r w:rsidRPr="00C24CA0">
              <w:rPr>
                <w:rFonts w:eastAsia="Times New Roman" w:cs="Open Sans Light"/>
                <w:color w:val="000000"/>
                <w:sz w:val="16"/>
                <w:szCs w:val="16"/>
                <w:lang w:eastAsia="en-AU"/>
              </w:rPr>
              <w:t xml:space="preserve">Criminal </w:t>
            </w:r>
            <w:r w:rsidR="00B67E86">
              <w:rPr>
                <w:rFonts w:eastAsia="Times New Roman" w:cs="Open Sans Light"/>
                <w:color w:val="000000"/>
                <w:sz w:val="16"/>
                <w:szCs w:val="16"/>
                <w:lang w:eastAsia="en-AU"/>
              </w:rPr>
              <w:t>c</w:t>
            </w:r>
            <w:r w:rsidRPr="00C24CA0">
              <w:rPr>
                <w:rFonts w:eastAsia="Times New Roman" w:cs="Open Sans Light"/>
                <w:color w:val="000000"/>
                <w:sz w:val="16"/>
                <w:szCs w:val="16"/>
                <w:lang w:eastAsia="en-AU"/>
              </w:rPr>
              <w:t>ourts (b)</w:t>
            </w:r>
          </w:p>
        </w:tc>
        <w:tc>
          <w:tcPr>
            <w:tcW w:w="640" w:type="dxa"/>
            <w:tcBorders>
              <w:top w:val="single" w:sz="4" w:space="0" w:color="ADD6EA"/>
              <w:left w:val="nil"/>
              <w:bottom w:val="nil"/>
              <w:right w:val="nil"/>
            </w:tcBorders>
            <w:shd w:val="clear" w:color="000000" w:fill="FFFFFF"/>
            <w:vAlign w:val="bottom"/>
            <w:hideMark/>
          </w:tcPr>
          <w:p w14:paraId="0B96E09A" w14:textId="5365EAD7" w:rsidR="00E85C31" w:rsidRPr="00E6169D" w:rsidRDefault="00E85C31" w:rsidP="00E85C31">
            <w:pPr>
              <w:tabs>
                <w:tab w:val="clear" w:pos="567"/>
              </w:tabs>
              <w:spacing w:before="0" w:line="240" w:lineRule="auto"/>
              <w:jc w:val="right"/>
              <w:rPr>
                <w:rFonts w:eastAsia="Times New Roman" w:cs="Open Sans Light"/>
                <w:color w:val="000000"/>
                <w:sz w:val="16"/>
                <w:szCs w:val="16"/>
                <w:highlight w:val="yellow"/>
                <w:lang w:eastAsia="en-AU"/>
              </w:rPr>
            </w:pPr>
            <w:r>
              <w:rPr>
                <w:rFonts w:cs="Open Sans Light"/>
                <w:color w:val="000000"/>
                <w:sz w:val="16"/>
                <w:szCs w:val="16"/>
              </w:rPr>
              <w:t>19</w:t>
            </w:r>
          </w:p>
        </w:tc>
        <w:tc>
          <w:tcPr>
            <w:tcW w:w="680" w:type="dxa"/>
            <w:tcBorders>
              <w:top w:val="single" w:sz="4" w:space="0" w:color="ADD6EA"/>
              <w:left w:val="nil"/>
              <w:bottom w:val="nil"/>
              <w:right w:val="nil"/>
            </w:tcBorders>
            <w:shd w:val="clear" w:color="000000" w:fill="FFFFFF"/>
            <w:vAlign w:val="bottom"/>
            <w:hideMark/>
          </w:tcPr>
          <w:p w14:paraId="36332E2A" w14:textId="7C7ABE73" w:rsidR="00E85C31" w:rsidRPr="00E6169D" w:rsidRDefault="00E85C31" w:rsidP="00E85C31">
            <w:pPr>
              <w:tabs>
                <w:tab w:val="clear" w:pos="567"/>
              </w:tabs>
              <w:spacing w:before="0" w:line="240" w:lineRule="auto"/>
              <w:jc w:val="right"/>
              <w:rPr>
                <w:rFonts w:eastAsia="Times New Roman" w:cs="Open Sans Light"/>
                <w:color w:val="000000"/>
                <w:sz w:val="16"/>
                <w:szCs w:val="16"/>
                <w:highlight w:val="yellow"/>
                <w:lang w:eastAsia="en-AU"/>
              </w:rPr>
            </w:pPr>
            <w:r>
              <w:rPr>
                <w:rFonts w:cs="Open Sans Light"/>
                <w:color w:val="000000"/>
                <w:sz w:val="16"/>
                <w:szCs w:val="16"/>
              </w:rPr>
              <w:t>-68</w:t>
            </w:r>
          </w:p>
        </w:tc>
        <w:tc>
          <w:tcPr>
            <w:tcW w:w="680" w:type="dxa"/>
            <w:tcBorders>
              <w:top w:val="single" w:sz="4" w:space="0" w:color="ADD6EA"/>
              <w:left w:val="nil"/>
              <w:bottom w:val="nil"/>
              <w:right w:val="nil"/>
            </w:tcBorders>
            <w:shd w:val="clear" w:color="000000" w:fill="FFFFFF"/>
            <w:vAlign w:val="bottom"/>
            <w:hideMark/>
          </w:tcPr>
          <w:p w14:paraId="647EE044" w14:textId="0E58AEB9" w:rsidR="00E85C31" w:rsidRPr="00E6169D" w:rsidRDefault="00E85C31" w:rsidP="00E85C31">
            <w:pPr>
              <w:tabs>
                <w:tab w:val="clear" w:pos="567"/>
              </w:tabs>
              <w:spacing w:before="0" w:line="240" w:lineRule="auto"/>
              <w:jc w:val="right"/>
              <w:rPr>
                <w:rFonts w:eastAsia="Times New Roman" w:cs="Open Sans Light"/>
                <w:color w:val="000000"/>
                <w:sz w:val="16"/>
                <w:szCs w:val="16"/>
                <w:highlight w:val="yellow"/>
                <w:lang w:eastAsia="en-AU"/>
              </w:rPr>
            </w:pPr>
            <w:r>
              <w:rPr>
                <w:rFonts w:cs="Open Sans Light"/>
                <w:color w:val="000000"/>
                <w:sz w:val="16"/>
                <w:szCs w:val="16"/>
              </w:rPr>
              <w:t>17</w:t>
            </w:r>
          </w:p>
        </w:tc>
        <w:tc>
          <w:tcPr>
            <w:tcW w:w="680" w:type="dxa"/>
            <w:tcBorders>
              <w:top w:val="single" w:sz="4" w:space="0" w:color="ADD6EA"/>
              <w:left w:val="nil"/>
              <w:bottom w:val="nil"/>
              <w:right w:val="nil"/>
            </w:tcBorders>
            <w:shd w:val="clear" w:color="000000" w:fill="FFFFFF"/>
            <w:vAlign w:val="bottom"/>
            <w:hideMark/>
          </w:tcPr>
          <w:p w14:paraId="726E76D4" w14:textId="0A72DD08" w:rsidR="00E85C31" w:rsidRPr="00E6169D" w:rsidRDefault="00E85C31" w:rsidP="00E85C31">
            <w:pPr>
              <w:tabs>
                <w:tab w:val="clear" w:pos="567"/>
              </w:tabs>
              <w:spacing w:before="0" w:line="240" w:lineRule="auto"/>
              <w:jc w:val="right"/>
              <w:rPr>
                <w:rFonts w:eastAsia="Times New Roman" w:cs="Open Sans Light"/>
                <w:color w:val="000000"/>
                <w:sz w:val="16"/>
                <w:szCs w:val="16"/>
                <w:highlight w:val="yellow"/>
                <w:lang w:eastAsia="en-AU"/>
              </w:rPr>
            </w:pPr>
            <w:r>
              <w:rPr>
                <w:rFonts w:cs="Open Sans Light"/>
                <w:color w:val="000000"/>
                <w:sz w:val="16"/>
                <w:szCs w:val="16"/>
              </w:rPr>
              <w:t>12</w:t>
            </w:r>
          </w:p>
        </w:tc>
        <w:tc>
          <w:tcPr>
            <w:tcW w:w="680" w:type="dxa"/>
            <w:tcBorders>
              <w:top w:val="single" w:sz="4" w:space="0" w:color="ADD6EA"/>
              <w:left w:val="nil"/>
              <w:bottom w:val="nil"/>
              <w:right w:val="nil"/>
            </w:tcBorders>
            <w:shd w:val="clear" w:color="000000" w:fill="FFFFFF"/>
            <w:vAlign w:val="bottom"/>
            <w:hideMark/>
          </w:tcPr>
          <w:p w14:paraId="12D192F6" w14:textId="613D6FF3" w:rsidR="00E85C31" w:rsidRPr="00E6169D" w:rsidRDefault="00E85C31" w:rsidP="00E85C31">
            <w:pPr>
              <w:tabs>
                <w:tab w:val="clear" w:pos="567"/>
              </w:tabs>
              <w:spacing w:before="0" w:line="240" w:lineRule="auto"/>
              <w:jc w:val="right"/>
              <w:rPr>
                <w:rFonts w:eastAsia="Times New Roman" w:cs="Open Sans Light"/>
                <w:color w:val="000000"/>
                <w:sz w:val="16"/>
                <w:szCs w:val="16"/>
                <w:highlight w:val="yellow"/>
                <w:lang w:eastAsia="en-AU"/>
              </w:rPr>
            </w:pPr>
            <w:r>
              <w:rPr>
                <w:rFonts w:cs="Open Sans Light"/>
                <w:color w:val="000000"/>
                <w:sz w:val="16"/>
                <w:szCs w:val="16"/>
              </w:rPr>
              <w:t>-9</w:t>
            </w:r>
          </w:p>
        </w:tc>
        <w:tc>
          <w:tcPr>
            <w:tcW w:w="680" w:type="dxa"/>
            <w:tcBorders>
              <w:top w:val="single" w:sz="4" w:space="0" w:color="ADD6EA"/>
              <w:left w:val="nil"/>
              <w:bottom w:val="nil"/>
              <w:right w:val="nil"/>
            </w:tcBorders>
            <w:shd w:val="clear" w:color="000000" w:fill="FFFFFF"/>
            <w:vAlign w:val="bottom"/>
            <w:hideMark/>
          </w:tcPr>
          <w:p w14:paraId="0CFFA93C" w14:textId="511BAD1F" w:rsidR="00E85C31" w:rsidRPr="00E6169D" w:rsidRDefault="00E85C31" w:rsidP="00E85C31">
            <w:pPr>
              <w:tabs>
                <w:tab w:val="clear" w:pos="567"/>
              </w:tabs>
              <w:spacing w:before="0" w:line="240" w:lineRule="auto"/>
              <w:jc w:val="right"/>
              <w:rPr>
                <w:rFonts w:eastAsia="Times New Roman" w:cs="Open Sans Light"/>
                <w:color w:val="000000"/>
                <w:sz w:val="16"/>
                <w:szCs w:val="16"/>
                <w:highlight w:val="yellow"/>
                <w:lang w:eastAsia="en-AU"/>
              </w:rPr>
            </w:pPr>
            <w:r>
              <w:rPr>
                <w:rFonts w:cs="Open Sans Light"/>
                <w:color w:val="000000"/>
                <w:sz w:val="16"/>
                <w:szCs w:val="16"/>
              </w:rPr>
              <w:t>4</w:t>
            </w:r>
          </w:p>
        </w:tc>
        <w:tc>
          <w:tcPr>
            <w:tcW w:w="680" w:type="dxa"/>
            <w:tcBorders>
              <w:top w:val="single" w:sz="4" w:space="0" w:color="ADD6EA"/>
              <w:left w:val="nil"/>
              <w:bottom w:val="nil"/>
              <w:right w:val="nil"/>
            </w:tcBorders>
            <w:shd w:val="clear" w:color="000000" w:fill="FFFFFF"/>
            <w:vAlign w:val="bottom"/>
            <w:hideMark/>
          </w:tcPr>
          <w:p w14:paraId="470C094F" w14:textId="3B51DCC1" w:rsidR="00E85C31" w:rsidRPr="00E6169D" w:rsidRDefault="00E85C31" w:rsidP="00E85C31">
            <w:pPr>
              <w:tabs>
                <w:tab w:val="clear" w:pos="567"/>
              </w:tabs>
              <w:spacing w:before="0" w:line="240" w:lineRule="auto"/>
              <w:jc w:val="right"/>
              <w:rPr>
                <w:rFonts w:eastAsia="Times New Roman" w:cs="Open Sans Light"/>
                <w:color w:val="000000"/>
                <w:sz w:val="16"/>
                <w:szCs w:val="16"/>
                <w:highlight w:val="yellow"/>
                <w:lang w:eastAsia="en-AU"/>
              </w:rPr>
            </w:pPr>
            <w:r>
              <w:rPr>
                <w:rFonts w:cs="Open Sans Light"/>
                <w:color w:val="000000"/>
                <w:sz w:val="16"/>
                <w:szCs w:val="16"/>
              </w:rPr>
              <w:t>-3</w:t>
            </w:r>
          </w:p>
        </w:tc>
        <w:tc>
          <w:tcPr>
            <w:tcW w:w="680" w:type="dxa"/>
            <w:tcBorders>
              <w:top w:val="single" w:sz="4" w:space="0" w:color="ADD6EA"/>
              <w:left w:val="nil"/>
              <w:bottom w:val="nil"/>
              <w:right w:val="nil"/>
            </w:tcBorders>
            <w:shd w:val="clear" w:color="000000" w:fill="FFFFFF"/>
            <w:vAlign w:val="bottom"/>
            <w:hideMark/>
          </w:tcPr>
          <w:p w14:paraId="33CE037A" w14:textId="51C6C0E6" w:rsidR="00E85C31" w:rsidRPr="00E6169D" w:rsidRDefault="00E85C31" w:rsidP="00E85C31">
            <w:pPr>
              <w:tabs>
                <w:tab w:val="clear" w:pos="567"/>
              </w:tabs>
              <w:spacing w:before="0" w:line="240" w:lineRule="auto"/>
              <w:jc w:val="right"/>
              <w:rPr>
                <w:rFonts w:eastAsia="Times New Roman" w:cs="Open Sans Light"/>
                <w:color w:val="000000"/>
                <w:sz w:val="16"/>
                <w:szCs w:val="16"/>
                <w:highlight w:val="yellow"/>
                <w:lang w:eastAsia="en-AU"/>
              </w:rPr>
            </w:pPr>
            <w:r>
              <w:rPr>
                <w:rFonts w:cs="Open Sans Light"/>
                <w:color w:val="000000"/>
                <w:sz w:val="16"/>
                <w:szCs w:val="16"/>
              </w:rPr>
              <w:t>28</w:t>
            </w:r>
          </w:p>
        </w:tc>
        <w:tc>
          <w:tcPr>
            <w:tcW w:w="680" w:type="dxa"/>
            <w:tcBorders>
              <w:top w:val="single" w:sz="4" w:space="0" w:color="ADD6EA"/>
              <w:left w:val="nil"/>
              <w:bottom w:val="nil"/>
              <w:right w:val="nil"/>
            </w:tcBorders>
            <w:shd w:val="clear" w:color="000000" w:fill="FFFFFF"/>
            <w:vAlign w:val="bottom"/>
            <w:hideMark/>
          </w:tcPr>
          <w:p w14:paraId="016828C1" w14:textId="358EB9CA" w:rsidR="00E85C31" w:rsidRPr="00E6169D" w:rsidRDefault="00E85C31" w:rsidP="00E85C31">
            <w:pPr>
              <w:tabs>
                <w:tab w:val="clear" w:pos="567"/>
              </w:tabs>
              <w:spacing w:before="0" w:line="240" w:lineRule="auto"/>
              <w:jc w:val="right"/>
              <w:rPr>
                <w:rFonts w:eastAsia="Times New Roman" w:cs="Open Sans Light"/>
                <w:color w:val="000000"/>
                <w:sz w:val="16"/>
                <w:szCs w:val="16"/>
                <w:highlight w:val="yellow"/>
                <w:lang w:eastAsia="en-AU"/>
              </w:rPr>
            </w:pPr>
            <w:r>
              <w:rPr>
                <w:rFonts w:cs="Open Sans Light"/>
                <w:color w:val="000000"/>
                <w:sz w:val="16"/>
                <w:szCs w:val="16"/>
              </w:rPr>
              <w:t>80</w:t>
            </w:r>
          </w:p>
        </w:tc>
      </w:tr>
      <w:tr w:rsidR="00E85C31" w:rsidRPr="006C2465" w14:paraId="17C3D683" w14:textId="77777777">
        <w:trPr>
          <w:cantSplit/>
          <w:trHeight w:val="321"/>
        </w:trPr>
        <w:tc>
          <w:tcPr>
            <w:tcW w:w="2880" w:type="dxa"/>
            <w:tcBorders>
              <w:top w:val="single" w:sz="8" w:space="0" w:color="ADD6EA"/>
              <w:left w:val="nil"/>
              <w:bottom w:val="nil"/>
              <w:right w:val="nil"/>
            </w:tcBorders>
            <w:shd w:val="clear" w:color="auto" w:fill="FFFFFF"/>
            <w:vAlign w:val="bottom"/>
            <w:hideMark/>
          </w:tcPr>
          <w:p w14:paraId="7F371D02" w14:textId="77777777" w:rsidR="00E85C31" w:rsidRPr="00C24CA0" w:rsidRDefault="00E85C31" w:rsidP="00E85C31">
            <w:pPr>
              <w:tabs>
                <w:tab w:val="clear" w:pos="567"/>
              </w:tabs>
              <w:spacing w:before="0" w:line="240" w:lineRule="auto"/>
              <w:rPr>
                <w:rFonts w:eastAsia="Times New Roman" w:cs="Open Sans Light"/>
                <w:color w:val="000000"/>
                <w:sz w:val="16"/>
                <w:szCs w:val="16"/>
                <w:lang w:eastAsia="en-AU"/>
              </w:rPr>
            </w:pPr>
            <w:r w:rsidRPr="00C24CA0">
              <w:rPr>
                <w:rFonts w:eastAsia="Times New Roman" w:cs="Open Sans Light"/>
                <w:color w:val="000000"/>
                <w:sz w:val="16"/>
                <w:szCs w:val="16"/>
                <w:lang w:eastAsia="en-AU"/>
              </w:rPr>
              <w:t>Prisons (c)</w:t>
            </w:r>
          </w:p>
        </w:tc>
        <w:tc>
          <w:tcPr>
            <w:tcW w:w="640" w:type="dxa"/>
            <w:tcBorders>
              <w:top w:val="single" w:sz="4" w:space="0" w:color="ADD6EA"/>
              <w:left w:val="nil"/>
              <w:bottom w:val="nil"/>
              <w:right w:val="nil"/>
            </w:tcBorders>
            <w:shd w:val="clear" w:color="000000" w:fill="FFFFFF"/>
            <w:vAlign w:val="bottom"/>
            <w:hideMark/>
          </w:tcPr>
          <w:p w14:paraId="0060D080" w14:textId="53AA589E" w:rsidR="00E85C31" w:rsidRPr="00E6169D" w:rsidRDefault="00E85C31" w:rsidP="00E85C31">
            <w:pPr>
              <w:tabs>
                <w:tab w:val="clear" w:pos="567"/>
              </w:tabs>
              <w:spacing w:before="0" w:line="240" w:lineRule="auto"/>
              <w:jc w:val="right"/>
              <w:rPr>
                <w:rFonts w:eastAsia="Times New Roman" w:cs="Open Sans Light"/>
                <w:color w:val="000000"/>
                <w:sz w:val="16"/>
                <w:szCs w:val="16"/>
                <w:highlight w:val="yellow"/>
                <w:lang w:eastAsia="en-AU"/>
              </w:rPr>
            </w:pPr>
            <w:r>
              <w:rPr>
                <w:rFonts w:cs="Open Sans Light"/>
                <w:color w:val="000000"/>
                <w:sz w:val="16"/>
                <w:szCs w:val="16"/>
              </w:rPr>
              <w:t>88</w:t>
            </w:r>
          </w:p>
        </w:tc>
        <w:tc>
          <w:tcPr>
            <w:tcW w:w="680" w:type="dxa"/>
            <w:tcBorders>
              <w:top w:val="single" w:sz="4" w:space="0" w:color="ADD6EA"/>
              <w:left w:val="nil"/>
              <w:bottom w:val="nil"/>
              <w:right w:val="nil"/>
            </w:tcBorders>
            <w:shd w:val="clear" w:color="000000" w:fill="FFFFFF"/>
            <w:vAlign w:val="bottom"/>
            <w:hideMark/>
          </w:tcPr>
          <w:p w14:paraId="1D2B76A0" w14:textId="023B34E2" w:rsidR="00E85C31" w:rsidRPr="00E6169D" w:rsidRDefault="00E85C31" w:rsidP="00E85C31">
            <w:pPr>
              <w:tabs>
                <w:tab w:val="clear" w:pos="567"/>
              </w:tabs>
              <w:spacing w:before="0" w:line="240" w:lineRule="auto"/>
              <w:jc w:val="right"/>
              <w:rPr>
                <w:rFonts w:eastAsia="Times New Roman" w:cs="Open Sans Light"/>
                <w:color w:val="000000"/>
                <w:sz w:val="16"/>
                <w:szCs w:val="16"/>
                <w:highlight w:val="yellow"/>
                <w:lang w:eastAsia="en-AU"/>
              </w:rPr>
            </w:pPr>
            <w:r>
              <w:rPr>
                <w:rFonts w:cs="Open Sans Light"/>
                <w:color w:val="000000"/>
                <w:sz w:val="16"/>
                <w:szCs w:val="16"/>
              </w:rPr>
              <w:t>36</w:t>
            </w:r>
          </w:p>
        </w:tc>
        <w:tc>
          <w:tcPr>
            <w:tcW w:w="680" w:type="dxa"/>
            <w:tcBorders>
              <w:top w:val="single" w:sz="4" w:space="0" w:color="ADD6EA"/>
              <w:left w:val="nil"/>
              <w:bottom w:val="nil"/>
              <w:right w:val="nil"/>
            </w:tcBorders>
            <w:shd w:val="clear" w:color="000000" w:fill="FFFFFF"/>
            <w:vAlign w:val="bottom"/>
            <w:hideMark/>
          </w:tcPr>
          <w:p w14:paraId="27728D7A" w14:textId="272B782A" w:rsidR="00E85C31" w:rsidRPr="00E6169D" w:rsidRDefault="00E85C31" w:rsidP="00E85C31">
            <w:pPr>
              <w:tabs>
                <w:tab w:val="clear" w:pos="567"/>
              </w:tabs>
              <w:spacing w:before="0" w:line="240" w:lineRule="auto"/>
              <w:jc w:val="right"/>
              <w:rPr>
                <w:rFonts w:eastAsia="Times New Roman" w:cs="Open Sans Light"/>
                <w:color w:val="000000"/>
                <w:sz w:val="16"/>
                <w:szCs w:val="16"/>
                <w:highlight w:val="yellow"/>
                <w:lang w:eastAsia="en-AU"/>
              </w:rPr>
            </w:pPr>
            <w:r>
              <w:rPr>
                <w:rFonts w:cs="Open Sans Light"/>
                <w:color w:val="000000"/>
                <w:sz w:val="16"/>
                <w:szCs w:val="16"/>
              </w:rPr>
              <w:t>-25</w:t>
            </w:r>
          </w:p>
        </w:tc>
        <w:tc>
          <w:tcPr>
            <w:tcW w:w="680" w:type="dxa"/>
            <w:tcBorders>
              <w:top w:val="single" w:sz="4" w:space="0" w:color="ADD6EA"/>
              <w:left w:val="nil"/>
              <w:bottom w:val="nil"/>
              <w:right w:val="nil"/>
            </w:tcBorders>
            <w:shd w:val="clear" w:color="000000" w:fill="FFFFFF"/>
            <w:vAlign w:val="bottom"/>
            <w:hideMark/>
          </w:tcPr>
          <w:p w14:paraId="70AA4FC5" w14:textId="2795ACC4" w:rsidR="00E85C31" w:rsidRPr="00E6169D" w:rsidRDefault="00E85C31" w:rsidP="00E85C31">
            <w:pPr>
              <w:tabs>
                <w:tab w:val="clear" w:pos="567"/>
              </w:tabs>
              <w:spacing w:before="0" w:line="240" w:lineRule="auto"/>
              <w:jc w:val="right"/>
              <w:rPr>
                <w:rFonts w:eastAsia="Times New Roman" w:cs="Open Sans Light"/>
                <w:color w:val="000000"/>
                <w:sz w:val="16"/>
                <w:szCs w:val="16"/>
                <w:highlight w:val="yellow"/>
                <w:lang w:eastAsia="en-AU"/>
              </w:rPr>
            </w:pPr>
            <w:r>
              <w:rPr>
                <w:rFonts w:cs="Open Sans Light"/>
                <w:color w:val="000000"/>
                <w:sz w:val="16"/>
                <w:szCs w:val="16"/>
              </w:rPr>
              <w:t>-42</w:t>
            </w:r>
          </w:p>
        </w:tc>
        <w:tc>
          <w:tcPr>
            <w:tcW w:w="680" w:type="dxa"/>
            <w:tcBorders>
              <w:top w:val="single" w:sz="4" w:space="0" w:color="ADD6EA"/>
              <w:left w:val="nil"/>
              <w:bottom w:val="nil"/>
              <w:right w:val="nil"/>
            </w:tcBorders>
            <w:shd w:val="clear" w:color="000000" w:fill="FFFFFF"/>
            <w:vAlign w:val="bottom"/>
            <w:hideMark/>
          </w:tcPr>
          <w:p w14:paraId="50C31939" w14:textId="25166749" w:rsidR="00E85C31" w:rsidRPr="00E6169D" w:rsidRDefault="00E85C31" w:rsidP="00E85C31">
            <w:pPr>
              <w:tabs>
                <w:tab w:val="clear" w:pos="567"/>
              </w:tabs>
              <w:spacing w:before="0" w:line="240" w:lineRule="auto"/>
              <w:jc w:val="right"/>
              <w:rPr>
                <w:rFonts w:eastAsia="Times New Roman" w:cs="Open Sans Light"/>
                <w:color w:val="000000"/>
                <w:sz w:val="16"/>
                <w:szCs w:val="16"/>
                <w:highlight w:val="yellow"/>
                <w:lang w:eastAsia="en-AU"/>
              </w:rPr>
            </w:pPr>
            <w:r>
              <w:rPr>
                <w:rFonts w:cs="Open Sans Light"/>
                <w:color w:val="000000"/>
                <w:sz w:val="16"/>
                <w:szCs w:val="16"/>
              </w:rPr>
              <w:t>2</w:t>
            </w:r>
          </w:p>
        </w:tc>
        <w:tc>
          <w:tcPr>
            <w:tcW w:w="680" w:type="dxa"/>
            <w:tcBorders>
              <w:top w:val="single" w:sz="4" w:space="0" w:color="ADD6EA"/>
              <w:left w:val="nil"/>
              <w:bottom w:val="nil"/>
              <w:right w:val="nil"/>
            </w:tcBorders>
            <w:shd w:val="clear" w:color="000000" w:fill="FFFFFF"/>
            <w:vAlign w:val="bottom"/>
            <w:hideMark/>
          </w:tcPr>
          <w:p w14:paraId="67AB85D5" w14:textId="7757F5E6" w:rsidR="00E85C31" w:rsidRPr="00E6169D" w:rsidRDefault="00E85C31" w:rsidP="00E85C31">
            <w:pPr>
              <w:tabs>
                <w:tab w:val="clear" w:pos="567"/>
              </w:tabs>
              <w:spacing w:before="0" w:line="240" w:lineRule="auto"/>
              <w:jc w:val="right"/>
              <w:rPr>
                <w:rFonts w:eastAsia="Times New Roman" w:cs="Open Sans Light"/>
                <w:color w:val="000000"/>
                <w:sz w:val="16"/>
                <w:szCs w:val="16"/>
                <w:highlight w:val="yellow"/>
                <w:lang w:eastAsia="en-AU"/>
              </w:rPr>
            </w:pPr>
            <w:r>
              <w:rPr>
                <w:rFonts w:cs="Open Sans Light"/>
                <w:color w:val="000000"/>
                <w:sz w:val="16"/>
                <w:szCs w:val="16"/>
              </w:rPr>
              <w:t>13</w:t>
            </w:r>
          </w:p>
        </w:tc>
        <w:tc>
          <w:tcPr>
            <w:tcW w:w="680" w:type="dxa"/>
            <w:tcBorders>
              <w:top w:val="single" w:sz="4" w:space="0" w:color="ADD6EA"/>
              <w:left w:val="nil"/>
              <w:bottom w:val="nil"/>
              <w:right w:val="nil"/>
            </w:tcBorders>
            <w:shd w:val="clear" w:color="000000" w:fill="FFFFFF"/>
            <w:vAlign w:val="bottom"/>
            <w:hideMark/>
          </w:tcPr>
          <w:p w14:paraId="3A3A2C53" w14:textId="760B1BE8" w:rsidR="00E85C31" w:rsidRPr="00E6169D" w:rsidRDefault="00E85C31" w:rsidP="00E85C31">
            <w:pPr>
              <w:tabs>
                <w:tab w:val="clear" w:pos="567"/>
              </w:tabs>
              <w:spacing w:before="0" w:line="240" w:lineRule="auto"/>
              <w:jc w:val="right"/>
              <w:rPr>
                <w:rFonts w:eastAsia="Times New Roman" w:cs="Open Sans Light"/>
                <w:color w:val="000000"/>
                <w:sz w:val="16"/>
                <w:szCs w:val="16"/>
                <w:highlight w:val="yellow"/>
                <w:lang w:eastAsia="en-AU"/>
              </w:rPr>
            </w:pPr>
            <w:r>
              <w:rPr>
                <w:rFonts w:cs="Open Sans Light"/>
                <w:color w:val="000000"/>
                <w:sz w:val="16"/>
                <w:szCs w:val="16"/>
              </w:rPr>
              <w:t>2</w:t>
            </w:r>
          </w:p>
        </w:tc>
        <w:tc>
          <w:tcPr>
            <w:tcW w:w="680" w:type="dxa"/>
            <w:tcBorders>
              <w:top w:val="single" w:sz="4" w:space="0" w:color="ADD6EA"/>
              <w:left w:val="nil"/>
              <w:bottom w:val="nil"/>
              <w:right w:val="nil"/>
            </w:tcBorders>
            <w:shd w:val="clear" w:color="000000" w:fill="FFFFFF"/>
            <w:vAlign w:val="bottom"/>
            <w:hideMark/>
          </w:tcPr>
          <w:p w14:paraId="64C32DDD" w14:textId="1963EBEE" w:rsidR="00E85C31" w:rsidRPr="00E6169D" w:rsidRDefault="00E85C31" w:rsidP="00E85C31">
            <w:pPr>
              <w:tabs>
                <w:tab w:val="clear" w:pos="567"/>
              </w:tabs>
              <w:spacing w:before="0" w:line="240" w:lineRule="auto"/>
              <w:jc w:val="right"/>
              <w:rPr>
                <w:rFonts w:eastAsia="Times New Roman" w:cs="Open Sans Light"/>
                <w:color w:val="000000"/>
                <w:sz w:val="16"/>
                <w:szCs w:val="16"/>
                <w:highlight w:val="yellow"/>
                <w:lang w:eastAsia="en-AU"/>
              </w:rPr>
            </w:pPr>
            <w:r>
              <w:rPr>
                <w:rFonts w:cs="Open Sans Light"/>
                <w:color w:val="000000"/>
                <w:sz w:val="16"/>
                <w:szCs w:val="16"/>
              </w:rPr>
              <w:t>-75</w:t>
            </w:r>
          </w:p>
        </w:tc>
        <w:tc>
          <w:tcPr>
            <w:tcW w:w="680" w:type="dxa"/>
            <w:tcBorders>
              <w:top w:val="single" w:sz="4" w:space="0" w:color="ADD6EA"/>
              <w:left w:val="nil"/>
              <w:bottom w:val="nil"/>
              <w:right w:val="nil"/>
            </w:tcBorders>
            <w:shd w:val="clear" w:color="000000" w:fill="FFFFFF"/>
            <w:vAlign w:val="bottom"/>
            <w:hideMark/>
          </w:tcPr>
          <w:p w14:paraId="2EC35C97" w14:textId="36C483D9" w:rsidR="00E85C31" w:rsidRPr="00E6169D" w:rsidRDefault="00E85C31" w:rsidP="00E85C31">
            <w:pPr>
              <w:tabs>
                <w:tab w:val="clear" w:pos="567"/>
              </w:tabs>
              <w:spacing w:before="0" w:line="240" w:lineRule="auto"/>
              <w:jc w:val="right"/>
              <w:rPr>
                <w:rFonts w:eastAsia="Times New Roman" w:cs="Open Sans Light"/>
                <w:color w:val="000000"/>
                <w:sz w:val="16"/>
                <w:szCs w:val="16"/>
                <w:highlight w:val="yellow"/>
                <w:lang w:eastAsia="en-AU"/>
              </w:rPr>
            </w:pPr>
            <w:r>
              <w:rPr>
                <w:rFonts w:cs="Open Sans Light"/>
                <w:color w:val="000000"/>
                <w:sz w:val="16"/>
                <w:szCs w:val="16"/>
              </w:rPr>
              <w:t>142</w:t>
            </w:r>
          </w:p>
        </w:tc>
      </w:tr>
      <w:tr w:rsidR="00E85C31" w:rsidRPr="006C2465" w14:paraId="71C1A0FA" w14:textId="77777777">
        <w:trPr>
          <w:cantSplit/>
          <w:trHeight w:val="321"/>
        </w:trPr>
        <w:tc>
          <w:tcPr>
            <w:tcW w:w="2880" w:type="dxa"/>
            <w:tcBorders>
              <w:top w:val="single" w:sz="8" w:space="0" w:color="ADD6EA"/>
              <w:left w:val="nil"/>
              <w:bottom w:val="nil"/>
              <w:right w:val="nil"/>
            </w:tcBorders>
            <w:shd w:val="clear" w:color="auto" w:fill="D6E7F0"/>
            <w:vAlign w:val="bottom"/>
            <w:hideMark/>
          </w:tcPr>
          <w:p w14:paraId="4F092845" w14:textId="77777777" w:rsidR="00E85C31" w:rsidRPr="006C2465" w:rsidRDefault="00E85C31" w:rsidP="00E85C31">
            <w:pPr>
              <w:tabs>
                <w:tab w:val="clear" w:pos="567"/>
              </w:tabs>
              <w:spacing w:before="0" w:line="240" w:lineRule="auto"/>
              <w:rPr>
                <w:rFonts w:ascii="Open Sans Semibold" w:eastAsia="Times New Roman" w:hAnsi="Open Sans Semibold" w:cs="Open Sans Semibold"/>
                <w:color w:val="000000"/>
                <w:sz w:val="16"/>
                <w:szCs w:val="16"/>
                <w:lang w:eastAsia="en-AU"/>
              </w:rPr>
            </w:pPr>
            <w:r w:rsidRPr="006C2465">
              <w:rPr>
                <w:rFonts w:ascii="Open Sans Semibold" w:eastAsia="Times New Roman" w:hAnsi="Open Sans Semibold" w:cs="Open Sans Semibold"/>
                <w:color w:val="000000"/>
                <w:sz w:val="16"/>
                <w:szCs w:val="16"/>
                <w:lang w:eastAsia="en-AU"/>
              </w:rPr>
              <w:t xml:space="preserve">Total </w:t>
            </w:r>
          </w:p>
        </w:tc>
        <w:tc>
          <w:tcPr>
            <w:tcW w:w="640" w:type="dxa"/>
            <w:tcBorders>
              <w:top w:val="single" w:sz="4" w:space="0" w:color="ADD6EA"/>
              <w:left w:val="nil"/>
              <w:bottom w:val="nil"/>
              <w:right w:val="nil"/>
            </w:tcBorders>
            <w:shd w:val="clear" w:color="000000" w:fill="D6E7F0"/>
            <w:vAlign w:val="bottom"/>
            <w:hideMark/>
          </w:tcPr>
          <w:p w14:paraId="2D5AC040" w14:textId="046D2924" w:rsidR="00E85C31" w:rsidRPr="00E6169D" w:rsidRDefault="00E85C31" w:rsidP="00E85C31">
            <w:pPr>
              <w:tabs>
                <w:tab w:val="clear" w:pos="567"/>
              </w:tabs>
              <w:spacing w:before="0" w:line="240" w:lineRule="auto"/>
              <w:jc w:val="right"/>
              <w:rPr>
                <w:rFonts w:ascii="Open Sans Semibold" w:eastAsia="Times New Roman" w:hAnsi="Open Sans Semibold" w:cs="Open Sans Semibold"/>
                <w:color w:val="000000"/>
                <w:sz w:val="16"/>
                <w:szCs w:val="16"/>
                <w:highlight w:val="yellow"/>
                <w:lang w:eastAsia="en-AU"/>
              </w:rPr>
            </w:pPr>
            <w:r>
              <w:rPr>
                <w:rFonts w:ascii="Open Sans Semibold" w:hAnsi="Open Sans Semibold" w:cs="Open Sans Semibold"/>
                <w:color w:val="000000"/>
                <w:sz w:val="16"/>
                <w:szCs w:val="16"/>
              </w:rPr>
              <w:t>166</w:t>
            </w:r>
          </w:p>
        </w:tc>
        <w:tc>
          <w:tcPr>
            <w:tcW w:w="680" w:type="dxa"/>
            <w:tcBorders>
              <w:top w:val="single" w:sz="4" w:space="0" w:color="ADD6EA"/>
              <w:left w:val="nil"/>
              <w:bottom w:val="nil"/>
              <w:right w:val="nil"/>
            </w:tcBorders>
            <w:shd w:val="clear" w:color="000000" w:fill="D6E7F0"/>
            <w:vAlign w:val="bottom"/>
            <w:hideMark/>
          </w:tcPr>
          <w:p w14:paraId="0D8E2148" w14:textId="47562CBC" w:rsidR="00E85C31" w:rsidRPr="00E6169D" w:rsidRDefault="00E85C31" w:rsidP="00E85C31">
            <w:pPr>
              <w:tabs>
                <w:tab w:val="clear" w:pos="567"/>
              </w:tabs>
              <w:spacing w:before="0" w:line="240" w:lineRule="auto"/>
              <w:jc w:val="right"/>
              <w:rPr>
                <w:rFonts w:ascii="Open Sans Semibold" w:eastAsia="Times New Roman" w:hAnsi="Open Sans Semibold" w:cs="Open Sans Semibold"/>
                <w:color w:val="000000"/>
                <w:sz w:val="16"/>
                <w:szCs w:val="16"/>
                <w:highlight w:val="yellow"/>
                <w:lang w:eastAsia="en-AU"/>
              </w:rPr>
            </w:pPr>
            <w:r>
              <w:rPr>
                <w:rFonts w:ascii="Open Sans Semibold" w:hAnsi="Open Sans Semibold" w:cs="Open Sans Semibold"/>
                <w:color w:val="000000"/>
                <w:sz w:val="16"/>
                <w:szCs w:val="16"/>
              </w:rPr>
              <w:t>-173</w:t>
            </w:r>
          </w:p>
        </w:tc>
        <w:tc>
          <w:tcPr>
            <w:tcW w:w="680" w:type="dxa"/>
            <w:tcBorders>
              <w:top w:val="single" w:sz="4" w:space="0" w:color="ADD6EA"/>
              <w:left w:val="nil"/>
              <w:bottom w:val="nil"/>
              <w:right w:val="nil"/>
            </w:tcBorders>
            <w:shd w:val="clear" w:color="000000" w:fill="D6E7F0"/>
            <w:vAlign w:val="bottom"/>
            <w:hideMark/>
          </w:tcPr>
          <w:p w14:paraId="209F8C51" w14:textId="033B9ED3" w:rsidR="00E85C31" w:rsidRPr="00E6169D" w:rsidRDefault="00E85C31" w:rsidP="00E85C31">
            <w:pPr>
              <w:tabs>
                <w:tab w:val="clear" w:pos="567"/>
              </w:tabs>
              <w:spacing w:before="0" w:line="240" w:lineRule="auto"/>
              <w:jc w:val="right"/>
              <w:rPr>
                <w:rFonts w:ascii="Open Sans Semibold" w:eastAsia="Times New Roman" w:hAnsi="Open Sans Semibold" w:cs="Open Sans Semibold"/>
                <w:color w:val="000000"/>
                <w:sz w:val="16"/>
                <w:szCs w:val="16"/>
                <w:highlight w:val="yellow"/>
                <w:lang w:eastAsia="en-AU"/>
              </w:rPr>
            </w:pPr>
            <w:r>
              <w:rPr>
                <w:rFonts w:ascii="Open Sans Semibold" w:hAnsi="Open Sans Semibold" w:cs="Open Sans Semibold"/>
                <w:color w:val="000000"/>
                <w:sz w:val="16"/>
                <w:szCs w:val="16"/>
              </w:rPr>
              <w:t>63</w:t>
            </w:r>
          </w:p>
        </w:tc>
        <w:tc>
          <w:tcPr>
            <w:tcW w:w="680" w:type="dxa"/>
            <w:tcBorders>
              <w:top w:val="single" w:sz="4" w:space="0" w:color="ADD6EA"/>
              <w:left w:val="nil"/>
              <w:bottom w:val="nil"/>
              <w:right w:val="nil"/>
            </w:tcBorders>
            <w:shd w:val="clear" w:color="000000" w:fill="D6E7F0"/>
            <w:vAlign w:val="bottom"/>
            <w:hideMark/>
          </w:tcPr>
          <w:p w14:paraId="23D6CC01" w14:textId="7D931E3F" w:rsidR="00E85C31" w:rsidRPr="00E6169D" w:rsidRDefault="00E85C31" w:rsidP="00E85C31">
            <w:pPr>
              <w:tabs>
                <w:tab w:val="clear" w:pos="567"/>
              </w:tabs>
              <w:spacing w:before="0" w:line="240" w:lineRule="auto"/>
              <w:jc w:val="right"/>
              <w:rPr>
                <w:rFonts w:ascii="Open Sans Semibold" w:eastAsia="Times New Roman" w:hAnsi="Open Sans Semibold" w:cs="Open Sans Semibold"/>
                <w:color w:val="000000"/>
                <w:sz w:val="16"/>
                <w:szCs w:val="16"/>
                <w:highlight w:val="yellow"/>
                <w:lang w:eastAsia="en-AU"/>
              </w:rPr>
            </w:pPr>
            <w:r>
              <w:rPr>
                <w:rFonts w:ascii="Open Sans Semibold" w:hAnsi="Open Sans Semibold" w:cs="Open Sans Semibold"/>
                <w:color w:val="000000"/>
                <w:sz w:val="16"/>
                <w:szCs w:val="16"/>
              </w:rPr>
              <w:t>-52</w:t>
            </w:r>
          </w:p>
        </w:tc>
        <w:tc>
          <w:tcPr>
            <w:tcW w:w="680" w:type="dxa"/>
            <w:tcBorders>
              <w:top w:val="single" w:sz="4" w:space="0" w:color="ADD6EA"/>
              <w:left w:val="nil"/>
              <w:bottom w:val="nil"/>
              <w:right w:val="nil"/>
            </w:tcBorders>
            <w:shd w:val="clear" w:color="000000" w:fill="D6E7F0"/>
            <w:vAlign w:val="bottom"/>
            <w:hideMark/>
          </w:tcPr>
          <w:p w14:paraId="025D0E45" w14:textId="5D21D07C" w:rsidR="00E85C31" w:rsidRPr="00E6169D" w:rsidRDefault="00E85C31" w:rsidP="00E85C31">
            <w:pPr>
              <w:tabs>
                <w:tab w:val="clear" w:pos="567"/>
              </w:tabs>
              <w:spacing w:before="0" w:line="240" w:lineRule="auto"/>
              <w:jc w:val="right"/>
              <w:rPr>
                <w:rFonts w:ascii="Open Sans Semibold" w:eastAsia="Times New Roman" w:hAnsi="Open Sans Semibold" w:cs="Open Sans Semibold"/>
                <w:color w:val="000000"/>
                <w:sz w:val="16"/>
                <w:szCs w:val="16"/>
                <w:highlight w:val="yellow"/>
                <w:lang w:eastAsia="en-AU"/>
              </w:rPr>
            </w:pPr>
            <w:r>
              <w:rPr>
                <w:rFonts w:ascii="Open Sans Semibold" w:hAnsi="Open Sans Semibold" w:cs="Open Sans Semibold"/>
                <w:color w:val="000000"/>
                <w:sz w:val="16"/>
                <w:szCs w:val="16"/>
              </w:rPr>
              <w:t>-28</w:t>
            </w:r>
          </w:p>
        </w:tc>
        <w:tc>
          <w:tcPr>
            <w:tcW w:w="680" w:type="dxa"/>
            <w:tcBorders>
              <w:top w:val="single" w:sz="4" w:space="0" w:color="ADD6EA"/>
              <w:left w:val="nil"/>
              <w:bottom w:val="nil"/>
              <w:right w:val="nil"/>
            </w:tcBorders>
            <w:shd w:val="clear" w:color="000000" w:fill="D6E7F0"/>
            <w:vAlign w:val="bottom"/>
            <w:hideMark/>
          </w:tcPr>
          <w:p w14:paraId="46F9209E" w14:textId="68DB9BAC" w:rsidR="00E85C31" w:rsidRPr="00E6169D" w:rsidRDefault="00E85C31" w:rsidP="00E85C31">
            <w:pPr>
              <w:tabs>
                <w:tab w:val="clear" w:pos="567"/>
              </w:tabs>
              <w:spacing w:before="0" w:line="240" w:lineRule="auto"/>
              <w:jc w:val="right"/>
              <w:rPr>
                <w:rFonts w:ascii="Open Sans Semibold" w:eastAsia="Times New Roman" w:hAnsi="Open Sans Semibold" w:cs="Open Sans Semibold"/>
                <w:color w:val="000000"/>
                <w:sz w:val="16"/>
                <w:szCs w:val="16"/>
                <w:highlight w:val="yellow"/>
                <w:lang w:eastAsia="en-AU"/>
              </w:rPr>
            </w:pPr>
            <w:r>
              <w:rPr>
                <w:rFonts w:ascii="Open Sans Semibold" w:hAnsi="Open Sans Semibold" w:cs="Open Sans Semibold"/>
                <w:color w:val="000000"/>
                <w:sz w:val="16"/>
                <w:szCs w:val="16"/>
              </w:rPr>
              <w:t>47</w:t>
            </w:r>
          </w:p>
        </w:tc>
        <w:tc>
          <w:tcPr>
            <w:tcW w:w="680" w:type="dxa"/>
            <w:tcBorders>
              <w:top w:val="single" w:sz="4" w:space="0" w:color="ADD6EA"/>
              <w:left w:val="nil"/>
              <w:bottom w:val="nil"/>
              <w:right w:val="nil"/>
            </w:tcBorders>
            <w:shd w:val="clear" w:color="000000" w:fill="D6E7F0"/>
            <w:vAlign w:val="bottom"/>
            <w:hideMark/>
          </w:tcPr>
          <w:p w14:paraId="5E65260A" w14:textId="54A510CC" w:rsidR="00E85C31" w:rsidRPr="00E6169D" w:rsidRDefault="00E85C31" w:rsidP="00E85C31">
            <w:pPr>
              <w:tabs>
                <w:tab w:val="clear" w:pos="567"/>
              </w:tabs>
              <w:spacing w:before="0" w:line="240" w:lineRule="auto"/>
              <w:jc w:val="right"/>
              <w:rPr>
                <w:rFonts w:ascii="Open Sans Semibold" w:eastAsia="Times New Roman" w:hAnsi="Open Sans Semibold" w:cs="Open Sans Semibold"/>
                <w:color w:val="000000"/>
                <w:sz w:val="16"/>
                <w:szCs w:val="16"/>
                <w:highlight w:val="yellow"/>
                <w:lang w:eastAsia="en-AU"/>
              </w:rPr>
            </w:pPr>
            <w:r>
              <w:rPr>
                <w:rFonts w:ascii="Open Sans Semibold" w:hAnsi="Open Sans Semibold" w:cs="Open Sans Semibold"/>
                <w:color w:val="000000"/>
                <w:sz w:val="16"/>
                <w:szCs w:val="16"/>
              </w:rPr>
              <w:t>-12</w:t>
            </w:r>
          </w:p>
        </w:tc>
        <w:tc>
          <w:tcPr>
            <w:tcW w:w="680" w:type="dxa"/>
            <w:tcBorders>
              <w:top w:val="single" w:sz="4" w:space="0" w:color="ADD6EA"/>
              <w:left w:val="nil"/>
              <w:bottom w:val="nil"/>
              <w:right w:val="nil"/>
            </w:tcBorders>
            <w:shd w:val="clear" w:color="000000" w:fill="D6E7F0"/>
            <w:vAlign w:val="bottom"/>
            <w:hideMark/>
          </w:tcPr>
          <w:p w14:paraId="697139E7" w14:textId="310B8AE1" w:rsidR="00E85C31" w:rsidRPr="00E6169D" w:rsidRDefault="00E85C31" w:rsidP="00E85C31">
            <w:pPr>
              <w:tabs>
                <w:tab w:val="clear" w:pos="567"/>
              </w:tabs>
              <w:spacing w:before="0" w:line="240" w:lineRule="auto"/>
              <w:jc w:val="right"/>
              <w:rPr>
                <w:rFonts w:ascii="Open Sans Semibold" w:eastAsia="Times New Roman" w:hAnsi="Open Sans Semibold" w:cs="Open Sans Semibold"/>
                <w:color w:val="000000"/>
                <w:sz w:val="16"/>
                <w:szCs w:val="16"/>
                <w:highlight w:val="yellow"/>
                <w:lang w:eastAsia="en-AU"/>
              </w:rPr>
            </w:pPr>
            <w:r>
              <w:rPr>
                <w:rFonts w:ascii="Open Sans Semibold" w:hAnsi="Open Sans Semibold" w:cs="Open Sans Semibold"/>
                <w:color w:val="000000"/>
                <w:sz w:val="16"/>
                <w:szCs w:val="16"/>
              </w:rPr>
              <w:t>-11</w:t>
            </w:r>
          </w:p>
        </w:tc>
        <w:tc>
          <w:tcPr>
            <w:tcW w:w="680" w:type="dxa"/>
            <w:tcBorders>
              <w:top w:val="single" w:sz="4" w:space="0" w:color="ADD6EA"/>
              <w:left w:val="nil"/>
              <w:bottom w:val="nil"/>
              <w:right w:val="nil"/>
            </w:tcBorders>
            <w:shd w:val="clear" w:color="000000" w:fill="D6E7F0"/>
            <w:vAlign w:val="bottom"/>
            <w:hideMark/>
          </w:tcPr>
          <w:p w14:paraId="37C73ED1" w14:textId="5DC4F1A1" w:rsidR="00E85C31" w:rsidRPr="00E6169D" w:rsidRDefault="00E85C31" w:rsidP="00E85C31">
            <w:pPr>
              <w:tabs>
                <w:tab w:val="clear" w:pos="567"/>
              </w:tabs>
              <w:spacing w:before="0" w:line="240" w:lineRule="auto"/>
              <w:jc w:val="right"/>
              <w:rPr>
                <w:rFonts w:ascii="Open Sans Semibold" w:eastAsia="Times New Roman" w:hAnsi="Open Sans Semibold" w:cs="Open Sans Semibold"/>
                <w:color w:val="000000"/>
                <w:sz w:val="16"/>
                <w:szCs w:val="16"/>
                <w:highlight w:val="yellow"/>
                <w:lang w:eastAsia="en-AU"/>
              </w:rPr>
            </w:pPr>
            <w:r>
              <w:rPr>
                <w:rFonts w:ascii="Open Sans Semibold" w:hAnsi="Open Sans Semibold" w:cs="Open Sans Semibold"/>
                <w:color w:val="000000"/>
                <w:sz w:val="16"/>
                <w:szCs w:val="16"/>
              </w:rPr>
              <w:t>276</w:t>
            </w:r>
          </w:p>
        </w:tc>
      </w:tr>
      <w:tr w:rsidR="00976A7F" w:rsidRPr="006C2465" w14:paraId="6DAF428F" w14:textId="77777777" w:rsidTr="006038BA">
        <w:trPr>
          <w:cantSplit/>
          <w:trHeight w:val="261"/>
        </w:trPr>
        <w:tc>
          <w:tcPr>
            <w:tcW w:w="2880" w:type="dxa"/>
            <w:tcBorders>
              <w:top w:val="single" w:sz="4" w:space="0" w:color="ADD6EA"/>
              <w:left w:val="nil"/>
              <w:bottom w:val="nil"/>
              <w:right w:val="nil"/>
            </w:tcBorders>
            <w:shd w:val="clear" w:color="auto" w:fill="B6D5E4"/>
            <w:vAlign w:val="bottom"/>
            <w:hideMark/>
          </w:tcPr>
          <w:p w14:paraId="2C499AD8" w14:textId="77777777" w:rsidR="00976A7F" w:rsidRPr="006C2465" w:rsidRDefault="00976A7F" w:rsidP="00B06022">
            <w:pPr>
              <w:tabs>
                <w:tab w:val="clear" w:pos="567"/>
              </w:tabs>
              <w:spacing w:before="0" w:line="240" w:lineRule="auto"/>
              <w:rPr>
                <w:rFonts w:ascii="Open Sans Semibold" w:eastAsia="Times New Roman" w:hAnsi="Open Sans Semibold" w:cs="Open Sans Semibold"/>
                <w:color w:val="000000"/>
                <w:sz w:val="16"/>
                <w:szCs w:val="16"/>
                <w:lang w:eastAsia="en-AU"/>
              </w:rPr>
            </w:pPr>
            <w:r w:rsidRPr="006C2465">
              <w:rPr>
                <w:rFonts w:ascii="Open Sans Semibold" w:eastAsia="Times New Roman" w:hAnsi="Open Sans Semibold" w:cs="Open Sans Semibold"/>
                <w:color w:val="000000"/>
                <w:sz w:val="16"/>
                <w:szCs w:val="16"/>
                <w:lang w:eastAsia="en-AU"/>
              </w:rPr>
              <w:t> </w:t>
            </w:r>
          </w:p>
        </w:tc>
        <w:tc>
          <w:tcPr>
            <w:tcW w:w="640" w:type="dxa"/>
            <w:tcBorders>
              <w:top w:val="single" w:sz="8" w:space="0" w:color="ADD6EA"/>
              <w:left w:val="nil"/>
              <w:bottom w:val="single" w:sz="8" w:space="0" w:color="ADD6EA"/>
              <w:right w:val="nil"/>
            </w:tcBorders>
            <w:shd w:val="clear" w:color="000000" w:fill="B6D5E4"/>
            <w:vAlign w:val="bottom"/>
            <w:hideMark/>
          </w:tcPr>
          <w:p w14:paraId="1EC62C68" w14:textId="4CFD6DB7" w:rsidR="00976A7F" w:rsidRPr="00E6169D" w:rsidRDefault="00976A7F" w:rsidP="00B06022">
            <w:pPr>
              <w:tabs>
                <w:tab w:val="clear" w:pos="567"/>
              </w:tabs>
              <w:spacing w:before="0" w:line="240" w:lineRule="auto"/>
              <w:jc w:val="right"/>
              <w:rPr>
                <w:rFonts w:ascii="Open Sans Semibold" w:eastAsia="Times New Roman" w:hAnsi="Open Sans Semibold" w:cs="Open Sans Semibold"/>
                <w:color w:val="000000"/>
                <w:sz w:val="16"/>
                <w:szCs w:val="16"/>
                <w:highlight w:val="yellow"/>
                <w:lang w:eastAsia="en-AU"/>
              </w:rPr>
            </w:pPr>
            <w:r>
              <w:rPr>
                <w:rFonts w:ascii="Open Sans Semibold" w:hAnsi="Open Sans Semibold" w:cs="Open Sans Semibold"/>
                <w:color w:val="000000"/>
                <w:sz w:val="16"/>
                <w:szCs w:val="16"/>
              </w:rPr>
              <w:t>$pc</w:t>
            </w:r>
          </w:p>
        </w:tc>
        <w:tc>
          <w:tcPr>
            <w:tcW w:w="680" w:type="dxa"/>
            <w:tcBorders>
              <w:top w:val="single" w:sz="8" w:space="0" w:color="ADD6EA"/>
              <w:left w:val="nil"/>
              <w:bottom w:val="single" w:sz="8" w:space="0" w:color="ADD6EA"/>
              <w:right w:val="nil"/>
            </w:tcBorders>
            <w:shd w:val="clear" w:color="000000" w:fill="B6D5E4"/>
            <w:vAlign w:val="bottom"/>
            <w:hideMark/>
          </w:tcPr>
          <w:p w14:paraId="33A266C0" w14:textId="55B705B6" w:rsidR="00976A7F" w:rsidRPr="00E6169D" w:rsidRDefault="00976A7F" w:rsidP="00B06022">
            <w:pPr>
              <w:tabs>
                <w:tab w:val="clear" w:pos="567"/>
              </w:tabs>
              <w:spacing w:before="0" w:line="240" w:lineRule="auto"/>
              <w:jc w:val="right"/>
              <w:rPr>
                <w:rFonts w:ascii="Open Sans Semibold" w:eastAsia="Times New Roman" w:hAnsi="Open Sans Semibold" w:cs="Open Sans Semibold"/>
                <w:color w:val="000000"/>
                <w:sz w:val="16"/>
                <w:szCs w:val="16"/>
                <w:highlight w:val="yellow"/>
                <w:lang w:eastAsia="en-AU"/>
              </w:rPr>
            </w:pPr>
            <w:r>
              <w:rPr>
                <w:rFonts w:ascii="Open Sans Semibold" w:hAnsi="Open Sans Semibold" w:cs="Open Sans Semibold"/>
                <w:color w:val="000000"/>
                <w:sz w:val="16"/>
                <w:szCs w:val="16"/>
              </w:rPr>
              <w:t>$pc</w:t>
            </w:r>
          </w:p>
        </w:tc>
        <w:tc>
          <w:tcPr>
            <w:tcW w:w="680" w:type="dxa"/>
            <w:tcBorders>
              <w:top w:val="single" w:sz="8" w:space="0" w:color="ADD6EA"/>
              <w:left w:val="nil"/>
              <w:bottom w:val="single" w:sz="8" w:space="0" w:color="ADD6EA"/>
              <w:right w:val="nil"/>
            </w:tcBorders>
            <w:shd w:val="clear" w:color="000000" w:fill="B6D5E4"/>
            <w:vAlign w:val="bottom"/>
            <w:hideMark/>
          </w:tcPr>
          <w:p w14:paraId="784CACD6" w14:textId="17CAAA40" w:rsidR="00976A7F" w:rsidRPr="00E6169D" w:rsidRDefault="00976A7F" w:rsidP="00B06022">
            <w:pPr>
              <w:tabs>
                <w:tab w:val="clear" w:pos="567"/>
              </w:tabs>
              <w:spacing w:before="0" w:line="240" w:lineRule="auto"/>
              <w:jc w:val="right"/>
              <w:rPr>
                <w:rFonts w:ascii="Open Sans Semibold" w:eastAsia="Times New Roman" w:hAnsi="Open Sans Semibold" w:cs="Open Sans Semibold"/>
                <w:color w:val="000000"/>
                <w:sz w:val="16"/>
                <w:szCs w:val="16"/>
                <w:highlight w:val="yellow"/>
                <w:lang w:eastAsia="en-AU"/>
              </w:rPr>
            </w:pPr>
            <w:r>
              <w:rPr>
                <w:rFonts w:ascii="Open Sans Semibold" w:hAnsi="Open Sans Semibold" w:cs="Open Sans Semibold"/>
                <w:color w:val="000000"/>
                <w:sz w:val="16"/>
                <w:szCs w:val="16"/>
              </w:rPr>
              <w:t>$pc</w:t>
            </w:r>
          </w:p>
        </w:tc>
        <w:tc>
          <w:tcPr>
            <w:tcW w:w="680" w:type="dxa"/>
            <w:tcBorders>
              <w:top w:val="single" w:sz="8" w:space="0" w:color="ADD6EA"/>
              <w:left w:val="nil"/>
              <w:bottom w:val="single" w:sz="8" w:space="0" w:color="ADD6EA"/>
              <w:right w:val="nil"/>
            </w:tcBorders>
            <w:shd w:val="clear" w:color="000000" w:fill="B6D5E4"/>
            <w:vAlign w:val="bottom"/>
            <w:hideMark/>
          </w:tcPr>
          <w:p w14:paraId="308F8CD2" w14:textId="674ED12D" w:rsidR="00976A7F" w:rsidRPr="00E6169D" w:rsidRDefault="00976A7F" w:rsidP="00B06022">
            <w:pPr>
              <w:tabs>
                <w:tab w:val="clear" w:pos="567"/>
              </w:tabs>
              <w:spacing w:before="0" w:line="240" w:lineRule="auto"/>
              <w:jc w:val="right"/>
              <w:rPr>
                <w:rFonts w:ascii="Open Sans Semibold" w:eastAsia="Times New Roman" w:hAnsi="Open Sans Semibold" w:cs="Open Sans Semibold"/>
                <w:color w:val="000000"/>
                <w:sz w:val="16"/>
                <w:szCs w:val="16"/>
                <w:highlight w:val="yellow"/>
                <w:lang w:eastAsia="en-AU"/>
              </w:rPr>
            </w:pPr>
            <w:r>
              <w:rPr>
                <w:rFonts w:ascii="Open Sans Semibold" w:hAnsi="Open Sans Semibold" w:cs="Open Sans Semibold"/>
                <w:color w:val="000000"/>
                <w:sz w:val="16"/>
                <w:szCs w:val="16"/>
              </w:rPr>
              <w:t>$pc</w:t>
            </w:r>
          </w:p>
        </w:tc>
        <w:tc>
          <w:tcPr>
            <w:tcW w:w="680" w:type="dxa"/>
            <w:tcBorders>
              <w:top w:val="single" w:sz="8" w:space="0" w:color="ADD6EA"/>
              <w:left w:val="nil"/>
              <w:bottom w:val="single" w:sz="8" w:space="0" w:color="ADD6EA"/>
              <w:right w:val="nil"/>
            </w:tcBorders>
            <w:shd w:val="clear" w:color="000000" w:fill="B6D5E4"/>
            <w:vAlign w:val="bottom"/>
            <w:hideMark/>
          </w:tcPr>
          <w:p w14:paraId="0E1A3087" w14:textId="19D6C73C" w:rsidR="00976A7F" w:rsidRPr="00E6169D" w:rsidRDefault="00976A7F" w:rsidP="00B06022">
            <w:pPr>
              <w:tabs>
                <w:tab w:val="clear" w:pos="567"/>
              </w:tabs>
              <w:spacing w:before="0" w:line="240" w:lineRule="auto"/>
              <w:jc w:val="right"/>
              <w:rPr>
                <w:rFonts w:ascii="Open Sans Semibold" w:eastAsia="Times New Roman" w:hAnsi="Open Sans Semibold" w:cs="Open Sans Semibold"/>
                <w:color w:val="000000"/>
                <w:sz w:val="16"/>
                <w:szCs w:val="16"/>
                <w:highlight w:val="yellow"/>
                <w:lang w:eastAsia="en-AU"/>
              </w:rPr>
            </w:pPr>
            <w:r>
              <w:rPr>
                <w:rFonts w:ascii="Open Sans Semibold" w:hAnsi="Open Sans Semibold" w:cs="Open Sans Semibold"/>
                <w:color w:val="000000"/>
                <w:sz w:val="16"/>
                <w:szCs w:val="16"/>
              </w:rPr>
              <w:t>$pc</w:t>
            </w:r>
          </w:p>
        </w:tc>
        <w:tc>
          <w:tcPr>
            <w:tcW w:w="680" w:type="dxa"/>
            <w:tcBorders>
              <w:top w:val="single" w:sz="8" w:space="0" w:color="ADD6EA"/>
              <w:left w:val="nil"/>
              <w:bottom w:val="single" w:sz="8" w:space="0" w:color="ADD6EA"/>
              <w:right w:val="nil"/>
            </w:tcBorders>
            <w:shd w:val="clear" w:color="000000" w:fill="B6D5E4"/>
            <w:vAlign w:val="bottom"/>
            <w:hideMark/>
          </w:tcPr>
          <w:p w14:paraId="1DC47586" w14:textId="01E50BE7" w:rsidR="00976A7F" w:rsidRPr="00E6169D" w:rsidRDefault="00976A7F" w:rsidP="00B06022">
            <w:pPr>
              <w:tabs>
                <w:tab w:val="clear" w:pos="567"/>
              </w:tabs>
              <w:spacing w:before="0" w:line="240" w:lineRule="auto"/>
              <w:jc w:val="right"/>
              <w:rPr>
                <w:rFonts w:ascii="Open Sans Semibold" w:eastAsia="Times New Roman" w:hAnsi="Open Sans Semibold" w:cs="Open Sans Semibold"/>
                <w:color w:val="000000"/>
                <w:sz w:val="16"/>
                <w:szCs w:val="16"/>
                <w:highlight w:val="yellow"/>
                <w:lang w:eastAsia="en-AU"/>
              </w:rPr>
            </w:pPr>
            <w:r>
              <w:rPr>
                <w:rFonts w:ascii="Open Sans Semibold" w:hAnsi="Open Sans Semibold" w:cs="Open Sans Semibold"/>
                <w:color w:val="000000"/>
                <w:sz w:val="16"/>
                <w:szCs w:val="16"/>
              </w:rPr>
              <w:t>$pc</w:t>
            </w:r>
          </w:p>
        </w:tc>
        <w:tc>
          <w:tcPr>
            <w:tcW w:w="680" w:type="dxa"/>
            <w:tcBorders>
              <w:top w:val="single" w:sz="8" w:space="0" w:color="ADD6EA"/>
              <w:left w:val="nil"/>
              <w:bottom w:val="single" w:sz="8" w:space="0" w:color="ADD6EA"/>
              <w:right w:val="nil"/>
            </w:tcBorders>
            <w:shd w:val="clear" w:color="000000" w:fill="B6D5E4"/>
            <w:vAlign w:val="bottom"/>
            <w:hideMark/>
          </w:tcPr>
          <w:p w14:paraId="14DD5E4A" w14:textId="4B0232FB" w:rsidR="00976A7F" w:rsidRPr="00E6169D" w:rsidRDefault="00976A7F" w:rsidP="00B06022">
            <w:pPr>
              <w:tabs>
                <w:tab w:val="clear" w:pos="567"/>
              </w:tabs>
              <w:spacing w:before="0" w:line="240" w:lineRule="auto"/>
              <w:jc w:val="right"/>
              <w:rPr>
                <w:rFonts w:ascii="Open Sans Semibold" w:eastAsia="Times New Roman" w:hAnsi="Open Sans Semibold" w:cs="Open Sans Semibold"/>
                <w:color w:val="000000"/>
                <w:sz w:val="16"/>
                <w:szCs w:val="16"/>
                <w:highlight w:val="yellow"/>
                <w:lang w:eastAsia="en-AU"/>
              </w:rPr>
            </w:pPr>
            <w:r>
              <w:rPr>
                <w:rFonts w:ascii="Open Sans Semibold" w:hAnsi="Open Sans Semibold" w:cs="Open Sans Semibold"/>
                <w:color w:val="000000"/>
                <w:sz w:val="16"/>
                <w:szCs w:val="16"/>
              </w:rPr>
              <w:t>$pc</w:t>
            </w:r>
          </w:p>
        </w:tc>
        <w:tc>
          <w:tcPr>
            <w:tcW w:w="680" w:type="dxa"/>
            <w:tcBorders>
              <w:top w:val="single" w:sz="8" w:space="0" w:color="ADD6EA"/>
              <w:left w:val="nil"/>
              <w:bottom w:val="single" w:sz="8" w:space="0" w:color="ADD6EA"/>
              <w:right w:val="nil"/>
            </w:tcBorders>
            <w:shd w:val="clear" w:color="000000" w:fill="B6D5E4"/>
            <w:vAlign w:val="bottom"/>
            <w:hideMark/>
          </w:tcPr>
          <w:p w14:paraId="0B76F0BD" w14:textId="4A1DC6F5" w:rsidR="00976A7F" w:rsidRPr="00E6169D" w:rsidRDefault="00976A7F" w:rsidP="00B06022">
            <w:pPr>
              <w:tabs>
                <w:tab w:val="clear" w:pos="567"/>
              </w:tabs>
              <w:spacing w:before="0" w:line="240" w:lineRule="auto"/>
              <w:jc w:val="right"/>
              <w:rPr>
                <w:rFonts w:ascii="Open Sans Semibold" w:eastAsia="Times New Roman" w:hAnsi="Open Sans Semibold" w:cs="Open Sans Semibold"/>
                <w:color w:val="000000"/>
                <w:sz w:val="16"/>
                <w:szCs w:val="16"/>
                <w:highlight w:val="yellow"/>
                <w:lang w:eastAsia="en-AU"/>
              </w:rPr>
            </w:pPr>
            <w:r>
              <w:rPr>
                <w:rFonts w:ascii="Open Sans Semibold" w:hAnsi="Open Sans Semibold" w:cs="Open Sans Semibold"/>
                <w:color w:val="000000"/>
                <w:sz w:val="16"/>
                <w:szCs w:val="16"/>
              </w:rPr>
              <w:t>$pc</w:t>
            </w:r>
          </w:p>
        </w:tc>
        <w:tc>
          <w:tcPr>
            <w:tcW w:w="680" w:type="dxa"/>
            <w:tcBorders>
              <w:top w:val="single" w:sz="8" w:space="0" w:color="ADD6EA"/>
              <w:left w:val="nil"/>
              <w:bottom w:val="single" w:sz="8" w:space="0" w:color="ADD6EA"/>
              <w:right w:val="nil"/>
            </w:tcBorders>
            <w:shd w:val="clear" w:color="000000" w:fill="B6D5E4"/>
            <w:vAlign w:val="bottom"/>
            <w:hideMark/>
          </w:tcPr>
          <w:p w14:paraId="6CFE2A72" w14:textId="3E453455" w:rsidR="00976A7F" w:rsidRPr="00E6169D" w:rsidRDefault="00976A7F" w:rsidP="00B06022">
            <w:pPr>
              <w:tabs>
                <w:tab w:val="clear" w:pos="567"/>
              </w:tabs>
              <w:spacing w:before="0" w:line="240" w:lineRule="auto"/>
              <w:jc w:val="right"/>
              <w:rPr>
                <w:rFonts w:ascii="Open Sans Semibold" w:eastAsia="Times New Roman" w:hAnsi="Open Sans Semibold" w:cs="Open Sans Semibold"/>
                <w:color w:val="000000"/>
                <w:sz w:val="16"/>
                <w:szCs w:val="16"/>
                <w:highlight w:val="yellow"/>
                <w:lang w:eastAsia="en-AU"/>
              </w:rPr>
            </w:pPr>
            <w:r>
              <w:rPr>
                <w:rFonts w:ascii="Open Sans Semibold" w:hAnsi="Open Sans Semibold" w:cs="Open Sans Semibold"/>
                <w:color w:val="000000"/>
                <w:sz w:val="16"/>
                <w:szCs w:val="16"/>
              </w:rPr>
              <w:t>$pc</w:t>
            </w:r>
          </w:p>
        </w:tc>
      </w:tr>
      <w:tr w:rsidR="00E85C31" w:rsidRPr="006C2465" w14:paraId="19CFC5FD" w14:textId="77777777">
        <w:trPr>
          <w:cantSplit/>
          <w:trHeight w:val="321"/>
        </w:trPr>
        <w:tc>
          <w:tcPr>
            <w:tcW w:w="2880" w:type="dxa"/>
            <w:tcBorders>
              <w:top w:val="single" w:sz="8" w:space="0" w:color="ADD6EA"/>
              <w:left w:val="nil"/>
              <w:bottom w:val="nil"/>
              <w:right w:val="nil"/>
            </w:tcBorders>
            <w:shd w:val="clear" w:color="auto" w:fill="FFFFFF"/>
            <w:vAlign w:val="bottom"/>
            <w:hideMark/>
          </w:tcPr>
          <w:p w14:paraId="77995E8F" w14:textId="77777777" w:rsidR="00E85C31" w:rsidRPr="006C2465" w:rsidRDefault="00E85C31" w:rsidP="00E85C31">
            <w:pPr>
              <w:tabs>
                <w:tab w:val="clear" w:pos="567"/>
              </w:tabs>
              <w:spacing w:before="0" w:line="240" w:lineRule="auto"/>
              <w:rPr>
                <w:rFonts w:eastAsia="Times New Roman" w:cs="Open Sans Light"/>
                <w:color w:val="000000"/>
                <w:sz w:val="16"/>
                <w:szCs w:val="16"/>
                <w:lang w:eastAsia="en-AU"/>
              </w:rPr>
            </w:pPr>
            <w:r w:rsidRPr="006C2465">
              <w:rPr>
                <w:rFonts w:eastAsia="Times New Roman" w:cs="Open Sans Light"/>
                <w:color w:val="000000"/>
                <w:sz w:val="16"/>
                <w:szCs w:val="16"/>
                <w:lang w:eastAsia="en-AU"/>
              </w:rPr>
              <w:t>Police</w:t>
            </w:r>
          </w:p>
        </w:tc>
        <w:tc>
          <w:tcPr>
            <w:tcW w:w="640" w:type="dxa"/>
            <w:tcBorders>
              <w:top w:val="single" w:sz="4" w:space="0" w:color="ADD6EA"/>
              <w:left w:val="nil"/>
              <w:bottom w:val="nil"/>
              <w:right w:val="nil"/>
            </w:tcBorders>
            <w:shd w:val="clear" w:color="000000" w:fill="FFFFFF"/>
            <w:vAlign w:val="bottom"/>
            <w:hideMark/>
          </w:tcPr>
          <w:p w14:paraId="51CD8278" w14:textId="7D4E53F5" w:rsidR="00E85C31" w:rsidRPr="00E6169D" w:rsidRDefault="00E85C31" w:rsidP="00E85C31">
            <w:pPr>
              <w:tabs>
                <w:tab w:val="clear" w:pos="567"/>
              </w:tabs>
              <w:spacing w:before="0" w:line="240" w:lineRule="auto"/>
              <w:jc w:val="right"/>
              <w:rPr>
                <w:rFonts w:eastAsia="Times New Roman" w:cs="Open Sans Light"/>
                <w:color w:val="000000"/>
                <w:sz w:val="16"/>
                <w:szCs w:val="16"/>
                <w:highlight w:val="yellow"/>
                <w:lang w:eastAsia="en-AU"/>
              </w:rPr>
            </w:pPr>
            <w:r>
              <w:rPr>
                <w:rFonts w:cs="Open Sans Light"/>
                <w:color w:val="000000"/>
                <w:sz w:val="16"/>
                <w:szCs w:val="16"/>
              </w:rPr>
              <w:t>7</w:t>
            </w:r>
          </w:p>
        </w:tc>
        <w:tc>
          <w:tcPr>
            <w:tcW w:w="680" w:type="dxa"/>
            <w:tcBorders>
              <w:top w:val="single" w:sz="4" w:space="0" w:color="ADD6EA"/>
              <w:left w:val="nil"/>
              <w:bottom w:val="nil"/>
              <w:right w:val="nil"/>
            </w:tcBorders>
            <w:shd w:val="clear" w:color="000000" w:fill="FFFFFF"/>
            <w:vAlign w:val="bottom"/>
            <w:hideMark/>
          </w:tcPr>
          <w:p w14:paraId="54130C6F" w14:textId="7FBB4CEE" w:rsidR="00E85C31" w:rsidRPr="00E6169D" w:rsidRDefault="00E85C31" w:rsidP="00E85C31">
            <w:pPr>
              <w:tabs>
                <w:tab w:val="clear" w:pos="567"/>
              </w:tabs>
              <w:spacing w:before="0" w:line="240" w:lineRule="auto"/>
              <w:jc w:val="right"/>
              <w:rPr>
                <w:rFonts w:eastAsia="Times New Roman" w:cs="Open Sans Light"/>
                <w:color w:val="000000"/>
                <w:sz w:val="16"/>
                <w:szCs w:val="16"/>
                <w:highlight w:val="yellow"/>
                <w:lang w:eastAsia="en-AU"/>
              </w:rPr>
            </w:pPr>
            <w:r>
              <w:rPr>
                <w:rFonts w:cs="Open Sans Light"/>
                <w:color w:val="000000"/>
                <w:sz w:val="16"/>
                <w:szCs w:val="16"/>
              </w:rPr>
              <w:t>-19</w:t>
            </w:r>
          </w:p>
        </w:tc>
        <w:tc>
          <w:tcPr>
            <w:tcW w:w="680" w:type="dxa"/>
            <w:tcBorders>
              <w:top w:val="single" w:sz="4" w:space="0" w:color="ADD6EA"/>
              <w:left w:val="nil"/>
              <w:bottom w:val="nil"/>
              <w:right w:val="nil"/>
            </w:tcBorders>
            <w:shd w:val="clear" w:color="000000" w:fill="FFFFFF"/>
            <w:vAlign w:val="bottom"/>
            <w:hideMark/>
          </w:tcPr>
          <w:p w14:paraId="79D0EC2A" w14:textId="7C0F447F" w:rsidR="00E85C31" w:rsidRPr="00E6169D" w:rsidRDefault="00E85C31" w:rsidP="00E85C31">
            <w:pPr>
              <w:tabs>
                <w:tab w:val="clear" w:pos="567"/>
              </w:tabs>
              <w:spacing w:before="0" w:line="240" w:lineRule="auto"/>
              <w:jc w:val="right"/>
              <w:rPr>
                <w:rFonts w:eastAsia="Times New Roman" w:cs="Open Sans Light"/>
                <w:color w:val="000000"/>
                <w:sz w:val="16"/>
                <w:szCs w:val="16"/>
                <w:highlight w:val="yellow"/>
                <w:lang w:eastAsia="en-AU"/>
              </w:rPr>
            </w:pPr>
            <w:r>
              <w:rPr>
                <w:rFonts w:cs="Open Sans Light"/>
                <w:color w:val="000000"/>
                <w:sz w:val="16"/>
                <w:szCs w:val="16"/>
              </w:rPr>
              <w:t>12</w:t>
            </w:r>
          </w:p>
        </w:tc>
        <w:tc>
          <w:tcPr>
            <w:tcW w:w="680" w:type="dxa"/>
            <w:tcBorders>
              <w:top w:val="single" w:sz="4" w:space="0" w:color="ADD6EA"/>
              <w:left w:val="nil"/>
              <w:bottom w:val="nil"/>
              <w:right w:val="nil"/>
            </w:tcBorders>
            <w:shd w:val="clear" w:color="000000" w:fill="FFFFFF"/>
            <w:vAlign w:val="bottom"/>
            <w:hideMark/>
          </w:tcPr>
          <w:p w14:paraId="5F011266" w14:textId="1F3451E8" w:rsidR="00E85C31" w:rsidRPr="00E6169D" w:rsidRDefault="00E85C31" w:rsidP="00E85C31">
            <w:pPr>
              <w:tabs>
                <w:tab w:val="clear" w:pos="567"/>
              </w:tabs>
              <w:spacing w:before="0" w:line="240" w:lineRule="auto"/>
              <w:jc w:val="right"/>
              <w:rPr>
                <w:rFonts w:eastAsia="Times New Roman" w:cs="Open Sans Light"/>
                <w:color w:val="000000"/>
                <w:sz w:val="16"/>
                <w:szCs w:val="16"/>
                <w:highlight w:val="yellow"/>
                <w:lang w:eastAsia="en-AU"/>
              </w:rPr>
            </w:pPr>
            <w:r>
              <w:rPr>
                <w:rFonts w:cs="Open Sans Light"/>
                <w:color w:val="000000"/>
                <w:sz w:val="16"/>
                <w:szCs w:val="16"/>
              </w:rPr>
              <w:t>-7</w:t>
            </w:r>
          </w:p>
        </w:tc>
        <w:tc>
          <w:tcPr>
            <w:tcW w:w="680" w:type="dxa"/>
            <w:tcBorders>
              <w:top w:val="single" w:sz="4" w:space="0" w:color="ADD6EA"/>
              <w:left w:val="nil"/>
              <w:bottom w:val="nil"/>
              <w:right w:val="nil"/>
            </w:tcBorders>
            <w:shd w:val="clear" w:color="000000" w:fill="FFFFFF"/>
            <w:vAlign w:val="bottom"/>
            <w:hideMark/>
          </w:tcPr>
          <w:p w14:paraId="472BB8BB" w14:textId="16433488" w:rsidR="00E85C31" w:rsidRPr="00E6169D" w:rsidRDefault="00E85C31" w:rsidP="00E85C31">
            <w:pPr>
              <w:tabs>
                <w:tab w:val="clear" w:pos="567"/>
              </w:tabs>
              <w:spacing w:before="0" w:line="240" w:lineRule="auto"/>
              <w:jc w:val="right"/>
              <w:rPr>
                <w:rFonts w:eastAsia="Times New Roman" w:cs="Open Sans Light"/>
                <w:color w:val="000000"/>
                <w:sz w:val="16"/>
                <w:szCs w:val="16"/>
                <w:highlight w:val="yellow"/>
                <w:lang w:eastAsia="en-AU"/>
              </w:rPr>
            </w:pPr>
            <w:r>
              <w:rPr>
                <w:rFonts w:cs="Open Sans Light"/>
                <w:color w:val="000000"/>
                <w:sz w:val="16"/>
                <w:szCs w:val="16"/>
              </w:rPr>
              <w:t>-11</w:t>
            </w:r>
          </w:p>
        </w:tc>
        <w:tc>
          <w:tcPr>
            <w:tcW w:w="680" w:type="dxa"/>
            <w:tcBorders>
              <w:top w:val="single" w:sz="4" w:space="0" w:color="ADD6EA"/>
              <w:left w:val="nil"/>
              <w:bottom w:val="nil"/>
              <w:right w:val="nil"/>
            </w:tcBorders>
            <w:shd w:val="clear" w:color="000000" w:fill="FFFFFF"/>
            <w:vAlign w:val="bottom"/>
            <w:hideMark/>
          </w:tcPr>
          <w:p w14:paraId="735ACA6D" w14:textId="43360911" w:rsidR="00E85C31" w:rsidRPr="00E6169D" w:rsidRDefault="00E85C31" w:rsidP="00E85C31">
            <w:pPr>
              <w:tabs>
                <w:tab w:val="clear" w:pos="567"/>
              </w:tabs>
              <w:spacing w:before="0" w:line="240" w:lineRule="auto"/>
              <w:jc w:val="right"/>
              <w:rPr>
                <w:rFonts w:eastAsia="Times New Roman" w:cs="Open Sans Light"/>
                <w:color w:val="000000"/>
                <w:sz w:val="16"/>
                <w:szCs w:val="16"/>
                <w:highlight w:val="yellow"/>
                <w:lang w:eastAsia="en-AU"/>
              </w:rPr>
            </w:pPr>
            <w:r>
              <w:rPr>
                <w:rFonts w:cs="Open Sans Light"/>
                <w:color w:val="000000"/>
                <w:sz w:val="16"/>
                <w:szCs w:val="16"/>
              </w:rPr>
              <w:t>50</w:t>
            </w:r>
          </w:p>
        </w:tc>
        <w:tc>
          <w:tcPr>
            <w:tcW w:w="680" w:type="dxa"/>
            <w:tcBorders>
              <w:top w:val="single" w:sz="4" w:space="0" w:color="ADD6EA"/>
              <w:left w:val="nil"/>
              <w:bottom w:val="nil"/>
              <w:right w:val="nil"/>
            </w:tcBorders>
            <w:shd w:val="clear" w:color="000000" w:fill="FFFFFF"/>
            <w:vAlign w:val="bottom"/>
            <w:hideMark/>
          </w:tcPr>
          <w:p w14:paraId="7D14B865" w14:textId="1A3785FD" w:rsidR="00E85C31" w:rsidRPr="00E6169D" w:rsidRDefault="00E85C31" w:rsidP="00E85C31">
            <w:pPr>
              <w:tabs>
                <w:tab w:val="clear" w:pos="567"/>
              </w:tabs>
              <w:spacing w:before="0" w:line="240" w:lineRule="auto"/>
              <w:jc w:val="right"/>
              <w:rPr>
                <w:rFonts w:eastAsia="Times New Roman" w:cs="Open Sans Light"/>
                <w:color w:val="000000"/>
                <w:sz w:val="16"/>
                <w:szCs w:val="16"/>
                <w:highlight w:val="yellow"/>
                <w:lang w:eastAsia="en-AU"/>
              </w:rPr>
            </w:pPr>
            <w:r>
              <w:rPr>
                <w:rFonts w:cs="Open Sans Light"/>
                <w:color w:val="000000"/>
                <w:sz w:val="16"/>
                <w:szCs w:val="16"/>
              </w:rPr>
              <w:t>-23</w:t>
            </w:r>
          </w:p>
        </w:tc>
        <w:tc>
          <w:tcPr>
            <w:tcW w:w="680" w:type="dxa"/>
            <w:tcBorders>
              <w:top w:val="single" w:sz="4" w:space="0" w:color="ADD6EA"/>
              <w:left w:val="nil"/>
              <w:bottom w:val="nil"/>
              <w:right w:val="nil"/>
            </w:tcBorders>
            <w:shd w:val="clear" w:color="000000" w:fill="FFFFFF"/>
            <w:vAlign w:val="bottom"/>
            <w:hideMark/>
          </w:tcPr>
          <w:p w14:paraId="1EF30430" w14:textId="50BFB92B" w:rsidR="00E85C31" w:rsidRPr="00E6169D" w:rsidRDefault="00E85C31" w:rsidP="00E85C31">
            <w:pPr>
              <w:tabs>
                <w:tab w:val="clear" w:pos="567"/>
              </w:tabs>
              <w:spacing w:before="0" w:line="240" w:lineRule="auto"/>
              <w:jc w:val="right"/>
              <w:rPr>
                <w:rFonts w:eastAsia="Times New Roman" w:cs="Open Sans Light"/>
                <w:color w:val="000000"/>
                <w:sz w:val="16"/>
                <w:szCs w:val="16"/>
                <w:highlight w:val="yellow"/>
                <w:lang w:eastAsia="en-AU"/>
              </w:rPr>
            </w:pPr>
            <w:r>
              <w:rPr>
                <w:rFonts w:cs="Open Sans Light"/>
                <w:color w:val="000000"/>
                <w:sz w:val="16"/>
                <w:szCs w:val="16"/>
              </w:rPr>
              <w:t>132</w:t>
            </w:r>
          </w:p>
        </w:tc>
        <w:tc>
          <w:tcPr>
            <w:tcW w:w="680" w:type="dxa"/>
            <w:tcBorders>
              <w:top w:val="single" w:sz="4" w:space="0" w:color="ADD6EA"/>
              <w:left w:val="nil"/>
              <w:bottom w:val="nil"/>
              <w:right w:val="nil"/>
            </w:tcBorders>
            <w:shd w:val="clear" w:color="000000" w:fill="FFFFFF"/>
            <w:vAlign w:val="bottom"/>
            <w:hideMark/>
          </w:tcPr>
          <w:p w14:paraId="6BF464E6" w14:textId="459F94B7" w:rsidR="00E85C31" w:rsidRPr="00E6169D" w:rsidRDefault="00E85C31" w:rsidP="00E85C31">
            <w:pPr>
              <w:tabs>
                <w:tab w:val="clear" w:pos="567"/>
              </w:tabs>
              <w:spacing w:before="0" w:line="240" w:lineRule="auto"/>
              <w:jc w:val="right"/>
              <w:rPr>
                <w:rFonts w:eastAsia="Times New Roman" w:cs="Open Sans Light"/>
                <w:color w:val="000000"/>
                <w:sz w:val="16"/>
                <w:szCs w:val="16"/>
                <w:highlight w:val="yellow"/>
                <w:lang w:eastAsia="en-AU"/>
              </w:rPr>
            </w:pPr>
            <w:r>
              <w:rPr>
                <w:rFonts w:cs="Open Sans Light"/>
                <w:color w:val="000000"/>
                <w:sz w:val="16"/>
                <w:szCs w:val="16"/>
              </w:rPr>
              <w:t>7</w:t>
            </w:r>
          </w:p>
        </w:tc>
      </w:tr>
      <w:tr w:rsidR="00E85C31" w:rsidRPr="006C2465" w14:paraId="028C88FA" w14:textId="77777777">
        <w:trPr>
          <w:cantSplit/>
          <w:trHeight w:val="321"/>
        </w:trPr>
        <w:tc>
          <w:tcPr>
            <w:tcW w:w="2880" w:type="dxa"/>
            <w:tcBorders>
              <w:top w:val="single" w:sz="8" w:space="0" w:color="ADD6EA"/>
              <w:left w:val="nil"/>
              <w:bottom w:val="nil"/>
              <w:right w:val="nil"/>
            </w:tcBorders>
            <w:shd w:val="clear" w:color="auto" w:fill="FFFFFF"/>
            <w:vAlign w:val="bottom"/>
            <w:hideMark/>
          </w:tcPr>
          <w:p w14:paraId="52EB4D41" w14:textId="4838941D" w:rsidR="00E85C31" w:rsidRPr="006C2465" w:rsidRDefault="00E85C31" w:rsidP="00E85C31">
            <w:pPr>
              <w:tabs>
                <w:tab w:val="clear" w:pos="567"/>
              </w:tabs>
              <w:spacing w:before="0" w:line="240" w:lineRule="auto"/>
              <w:rPr>
                <w:rFonts w:eastAsia="Times New Roman" w:cs="Open Sans Light"/>
                <w:color w:val="000000"/>
                <w:sz w:val="16"/>
                <w:szCs w:val="16"/>
                <w:lang w:eastAsia="en-AU"/>
              </w:rPr>
            </w:pPr>
            <w:r w:rsidRPr="006C2465">
              <w:rPr>
                <w:rFonts w:eastAsia="Times New Roman" w:cs="Open Sans Light"/>
                <w:color w:val="000000"/>
                <w:sz w:val="16"/>
                <w:szCs w:val="16"/>
                <w:lang w:eastAsia="en-AU"/>
              </w:rPr>
              <w:t xml:space="preserve">Criminal </w:t>
            </w:r>
            <w:r w:rsidR="00B67E86">
              <w:rPr>
                <w:rFonts w:eastAsia="Times New Roman" w:cs="Open Sans Light"/>
                <w:color w:val="000000"/>
                <w:sz w:val="16"/>
                <w:szCs w:val="16"/>
                <w:lang w:eastAsia="en-AU"/>
              </w:rPr>
              <w:t>c</w:t>
            </w:r>
            <w:r w:rsidRPr="006C2465">
              <w:rPr>
                <w:rFonts w:eastAsia="Times New Roman" w:cs="Open Sans Light"/>
                <w:color w:val="000000"/>
                <w:sz w:val="16"/>
                <w:szCs w:val="16"/>
                <w:lang w:eastAsia="en-AU"/>
              </w:rPr>
              <w:t>ourts</w:t>
            </w:r>
          </w:p>
        </w:tc>
        <w:tc>
          <w:tcPr>
            <w:tcW w:w="640" w:type="dxa"/>
            <w:tcBorders>
              <w:top w:val="single" w:sz="4" w:space="0" w:color="ADD6EA"/>
              <w:left w:val="nil"/>
              <w:bottom w:val="nil"/>
              <w:right w:val="nil"/>
            </w:tcBorders>
            <w:shd w:val="clear" w:color="000000" w:fill="FFFFFF"/>
            <w:vAlign w:val="bottom"/>
            <w:hideMark/>
          </w:tcPr>
          <w:p w14:paraId="27FFA85B" w14:textId="58380E46" w:rsidR="00E85C31" w:rsidRPr="00E6169D" w:rsidRDefault="00E85C31" w:rsidP="00E85C31">
            <w:pPr>
              <w:tabs>
                <w:tab w:val="clear" w:pos="567"/>
              </w:tabs>
              <w:spacing w:before="0" w:line="240" w:lineRule="auto"/>
              <w:jc w:val="right"/>
              <w:rPr>
                <w:rFonts w:eastAsia="Times New Roman" w:cs="Open Sans Light"/>
                <w:color w:val="000000"/>
                <w:sz w:val="16"/>
                <w:szCs w:val="16"/>
                <w:highlight w:val="yellow"/>
                <w:lang w:eastAsia="en-AU"/>
              </w:rPr>
            </w:pPr>
            <w:r>
              <w:rPr>
                <w:rFonts w:cs="Open Sans Light"/>
                <w:color w:val="000000"/>
                <w:sz w:val="16"/>
                <w:szCs w:val="16"/>
              </w:rPr>
              <w:t>2</w:t>
            </w:r>
          </w:p>
        </w:tc>
        <w:tc>
          <w:tcPr>
            <w:tcW w:w="680" w:type="dxa"/>
            <w:tcBorders>
              <w:top w:val="single" w:sz="4" w:space="0" w:color="ADD6EA"/>
              <w:left w:val="nil"/>
              <w:bottom w:val="nil"/>
              <w:right w:val="nil"/>
            </w:tcBorders>
            <w:shd w:val="clear" w:color="000000" w:fill="FFFFFF"/>
            <w:vAlign w:val="bottom"/>
            <w:hideMark/>
          </w:tcPr>
          <w:p w14:paraId="15EA7A8F" w14:textId="018FC4D9" w:rsidR="00E85C31" w:rsidRPr="00E6169D" w:rsidRDefault="00E85C31" w:rsidP="00E85C31">
            <w:pPr>
              <w:tabs>
                <w:tab w:val="clear" w:pos="567"/>
              </w:tabs>
              <w:spacing w:before="0" w:line="240" w:lineRule="auto"/>
              <w:jc w:val="right"/>
              <w:rPr>
                <w:rFonts w:eastAsia="Times New Roman" w:cs="Open Sans Light"/>
                <w:color w:val="000000"/>
                <w:sz w:val="16"/>
                <w:szCs w:val="16"/>
                <w:highlight w:val="yellow"/>
                <w:lang w:eastAsia="en-AU"/>
              </w:rPr>
            </w:pPr>
            <w:r>
              <w:rPr>
                <w:rFonts w:cs="Open Sans Light"/>
                <w:color w:val="000000"/>
                <w:sz w:val="16"/>
                <w:szCs w:val="16"/>
              </w:rPr>
              <w:t>-9</w:t>
            </w:r>
          </w:p>
        </w:tc>
        <w:tc>
          <w:tcPr>
            <w:tcW w:w="680" w:type="dxa"/>
            <w:tcBorders>
              <w:top w:val="single" w:sz="4" w:space="0" w:color="ADD6EA"/>
              <w:left w:val="nil"/>
              <w:bottom w:val="nil"/>
              <w:right w:val="nil"/>
            </w:tcBorders>
            <w:shd w:val="clear" w:color="000000" w:fill="FFFFFF"/>
            <w:vAlign w:val="bottom"/>
            <w:hideMark/>
          </w:tcPr>
          <w:p w14:paraId="5F6C8F12" w14:textId="47F280D3" w:rsidR="00E85C31" w:rsidRPr="00E6169D" w:rsidRDefault="00E85C31" w:rsidP="00E85C31">
            <w:pPr>
              <w:tabs>
                <w:tab w:val="clear" w:pos="567"/>
              </w:tabs>
              <w:spacing w:before="0" w:line="240" w:lineRule="auto"/>
              <w:jc w:val="right"/>
              <w:rPr>
                <w:rFonts w:eastAsia="Times New Roman" w:cs="Open Sans Light"/>
                <w:color w:val="000000"/>
                <w:sz w:val="16"/>
                <w:szCs w:val="16"/>
                <w:highlight w:val="yellow"/>
                <w:lang w:eastAsia="en-AU"/>
              </w:rPr>
            </w:pPr>
            <w:r>
              <w:rPr>
                <w:rFonts w:cs="Open Sans Light"/>
                <w:color w:val="000000"/>
                <w:sz w:val="16"/>
                <w:szCs w:val="16"/>
              </w:rPr>
              <w:t>3</w:t>
            </w:r>
          </w:p>
        </w:tc>
        <w:tc>
          <w:tcPr>
            <w:tcW w:w="680" w:type="dxa"/>
            <w:tcBorders>
              <w:top w:val="single" w:sz="4" w:space="0" w:color="ADD6EA"/>
              <w:left w:val="nil"/>
              <w:bottom w:val="nil"/>
              <w:right w:val="nil"/>
            </w:tcBorders>
            <w:shd w:val="clear" w:color="000000" w:fill="FFFFFF"/>
            <w:vAlign w:val="bottom"/>
            <w:hideMark/>
          </w:tcPr>
          <w:p w14:paraId="62B99E8C" w14:textId="198932B8" w:rsidR="00E85C31" w:rsidRPr="00E6169D" w:rsidRDefault="00E85C31" w:rsidP="00E85C31">
            <w:pPr>
              <w:tabs>
                <w:tab w:val="clear" w:pos="567"/>
              </w:tabs>
              <w:spacing w:before="0" w:line="240" w:lineRule="auto"/>
              <w:jc w:val="right"/>
              <w:rPr>
                <w:rFonts w:eastAsia="Times New Roman" w:cs="Open Sans Light"/>
                <w:color w:val="000000"/>
                <w:sz w:val="16"/>
                <w:szCs w:val="16"/>
                <w:highlight w:val="yellow"/>
                <w:lang w:eastAsia="en-AU"/>
              </w:rPr>
            </w:pPr>
            <w:r>
              <w:rPr>
                <w:rFonts w:cs="Open Sans Light"/>
                <w:color w:val="000000"/>
                <w:sz w:val="16"/>
                <w:szCs w:val="16"/>
              </w:rPr>
              <w:t>4</w:t>
            </w:r>
          </w:p>
        </w:tc>
        <w:tc>
          <w:tcPr>
            <w:tcW w:w="680" w:type="dxa"/>
            <w:tcBorders>
              <w:top w:val="single" w:sz="4" w:space="0" w:color="ADD6EA"/>
              <w:left w:val="nil"/>
              <w:bottom w:val="nil"/>
              <w:right w:val="nil"/>
            </w:tcBorders>
            <w:shd w:val="clear" w:color="000000" w:fill="FFFFFF"/>
            <w:vAlign w:val="bottom"/>
            <w:hideMark/>
          </w:tcPr>
          <w:p w14:paraId="0604481D" w14:textId="173111EE" w:rsidR="00E85C31" w:rsidRPr="00E6169D" w:rsidRDefault="00E85C31" w:rsidP="00E85C31">
            <w:pPr>
              <w:tabs>
                <w:tab w:val="clear" w:pos="567"/>
              </w:tabs>
              <w:spacing w:before="0" w:line="240" w:lineRule="auto"/>
              <w:jc w:val="right"/>
              <w:rPr>
                <w:rFonts w:eastAsia="Times New Roman" w:cs="Open Sans Light"/>
                <w:color w:val="000000"/>
                <w:sz w:val="16"/>
                <w:szCs w:val="16"/>
                <w:highlight w:val="yellow"/>
                <w:lang w:eastAsia="en-AU"/>
              </w:rPr>
            </w:pPr>
            <w:r>
              <w:rPr>
                <w:rFonts w:cs="Open Sans Light"/>
                <w:color w:val="000000"/>
                <w:sz w:val="16"/>
                <w:szCs w:val="16"/>
              </w:rPr>
              <w:t>-5</w:t>
            </w:r>
          </w:p>
        </w:tc>
        <w:tc>
          <w:tcPr>
            <w:tcW w:w="680" w:type="dxa"/>
            <w:tcBorders>
              <w:top w:val="single" w:sz="4" w:space="0" w:color="ADD6EA"/>
              <w:left w:val="nil"/>
              <w:bottom w:val="nil"/>
              <w:right w:val="nil"/>
            </w:tcBorders>
            <w:shd w:val="clear" w:color="000000" w:fill="FFFFFF"/>
            <w:vAlign w:val="bottom"/>
            <w:hideMark/>
          </w:tcPr>
          <w:p w14:paraId="6D4F3F8C" w14:textId="49B4D310" w:rsidR="00E85C31" w:rsidRPr="00E6169D" w:rsidRDefault="00E85C31" w:rsidP="00E85C31">
            <w:pPr>
              <w:tabs>
                <w:tab w:val="clear" w:pos="567"/>
              </w:tabs>
              <w:spacing w:before="0" w:line="240" w:lineRule="auto"/>
              <w:jc w:val="right"/>
              <w:rPr>
                <w:rFonts w:eastAsia="Times New Roman" w:cs="Open Sans Light"/>
                <w:color w:val="000000"/>
                <w:sz w:val="16"/>
                <w:szCs w:val="16"/>
                <w:highlight w:val="yellow"/>
                <w:lang w:eastAsia="en-AU"/>
              </w:rPr>
            </w:pPr>
            <w:r>
              <w:rPr>
                <w:rFonts w:cs="Open Sans Light"/>
                <w:color w:val="000000"/>
                <w:sz w:val="16"/>
                <w:szCs w:val="16"/>
              </w:rPr>
              <w:t>7</w:t>
            </w:r>
          </w:p>
        </w:tc>
        <w:tc>
          <w:tcPr>
            <w:tcW w:w="680" w:type="dxa"/>
            <w:tcBorders>
              <w:top w:val="single" w:sz="4" w:space="0" w:color="ADD6EA"/>
              <w:left w:val="nil"/>
              <w:bottom w:val="nil"/>
              <w:right w:val="nil"/>
            </w:tcBorders>
            <w:shd w:val="clear" w:color="000000" w:fill="FFFFFF"/>
            <w:vAlign w:val="bottom"/>
            <w:hideMark/>
          </w:tcPr>
          <w:p w14:paraId="1445D4D9" w14:textId="0012179A" w:rsidR="00E85C31" w:rsidRPr="00E6169D" w:rsidRDefault="00E85C31" w:rsidP="00E85C31">
            <w:pPr>
              <w:tabs>
                <w:tab w:val="clear" w:pos="567"/>
              </w:tabs>
              <w:spacing w:before="0" w:line="240" w:lineRule="auto"/>
              <w:jc w:val="right"/>
              <w:rPr>
                <w:rFonts w:eastAsia="Times New Roman" w:cs="Open Sans Light"/>
                <w:color w:val="000000"/>
                <w:sz w:val="16"/>
                <w:szCs w:val="16"/>
                <w:highlight w:val="yellow"/>
                <w:lang w:eastAsia="en-AU"/>
              </w:rPr>
            </w:pPr>
            <w:r>
              <w:rPr>
                <w:rFonts w:cs="Open Sans Light"/>
                <w:color w:val="000000"/>
                <w:sz w:val="16"/>
                <w:szCs w:val="16"/>
              </w:rPr>
              <w:t>-6</w:t>
            </w:r>
          </w:p>
        </w:tc>
        <w:tc>
          <w:tcPr>
            <w:tcW w:w="680" w:type="dxa"/>
            <w:tcBorders>
              <w:top w:val="single" w:sz="4" w:space="0" w:color="ADD6EA"/>
              <w:left w:val="nil"/>
              <w:bottom w:val="nil"/>
              <w:right w:val="nil"/>
            </w:tcBorders>
            <w:shd w:val="clear" w:color="000000" w:fill="FFFFFF"/>
            <w:vAlign w:val="bottom"/>
            <w:hideMark/>
          </w:tcPr>
          <w:p w14:paraId="56034D64" w14:textId="5759EBFA" w:rsidR="00E85C31" w:rsidRPr="00E6169D" w:rsidRDefault="00E85C31" w:rsidP="00E85C31">
            <w:pPr>
              <w:tabs>
                <w:tab w:val="clear" w:pos="567"/>
              </w:tabs>
              <w:spacing w:before="0" w:line="240" w:lineRule="auto"/>
              <w:jc w:val="right"/>
              <w:rPr>
                <w:rFonts w:eastAsia="Times New Roman" w:cs="Open Sans Light"/>
                <w:color w:val="000000"/>
                <w:sz w:val="16"/>
                <w:szCs w:val="16"/>
                <w:highlight w:val="yellow"/>
                <w:lang w:eastAsia="en-AU"/>
              </w:rPr>
            </w:pPr>
            <w:r>
              <w:rPr>
                <w:rFonts w:cs="Open Sans Light"/>
                <w:color w:val="000000"/>
                <w:sz w:val="16"/>
                <w:szCs w:val="16"/>
              </w:rPr>
              <w:t>105</w:t>
            </w:r>
          </w:p>
        </w:tc>
        <w:tc>
          <w:tcPr>
            <w:tcW w:w="680" w:type="dxa"/>
            <w:tcBorders>
              <w:top w:val="single" w:sz="4" w:space="0" w:color="ADD6EA"/>
              <w:left w:val="nil"/>
              <w:bottom w:val="nil"/>
              <w:right w:val="nil"/>
            </w:tcBorders>
            <w:shd w:val="clear" w:color="000000" w:fill="FFFFFF"/>
            <w:vAlign w:val="bottom"/>
            <w:hideMark/>
          </w:tcPr>
          <w:p w14:paraId="57BCD6E2" w14:textId="44681568" w:rsidR="00E85C31" w:rsidRPr="00E6169D" w:rsidRDefault="00E85C31" w:rsidP="00E85C31">
            <w:pPr>
              <w:tabs>
                <w:tab w:val="clear" w:pos="567"/>
              </w:tabs>
              <w:spacing w:before="0" w:line="240" w:lineRule="auto"/>
              <w:jc w:val="right"/>
              <w:rPr>
                <w:rFonts w:eastAsia="Times New Roman" w:cs="Open Sans Light"/>
                <w:color w:val="000000"/>
                <w:sz w:val="16"/>
                <w:szCs w:val="16"/>
                <w:highlight w:val="yellow"/>
                <w:lang w:eastAsia="en-AU"/>
              </w:rPr>
            </w:pPr>
            <w:r>
              <w:rPr>
                <w:rFonts w:cs="Open Sans Light"/>
                <w:color w:val="000000"/>
                <w:sz w:val="16"/>
                <w:szCs w:val="16"/>
              </w:rPr>
              <w:t>3</w:t>
            </w:r>
          </w:p>
        </w:tc>
      </w:tr>
      <w:tr w:rsidR="00E85C31" w:rsidRPr="006C2465" w14:paraId="6945C4E7" w14:textId="77777777">
        <w:trPr>
          <w:cantSplit/>
          <w:trHeight w:val="321"/>
        </w:trPr>
        <w:tc>
          <w:tcPr>
            <w:tcW w:w="2880" w:type="dxa"/>
            <w:tcBorders>
              <w:top w:val="single" w:sz="8" w:space="0" w:color="ADD6EA"/>
              <w:left w:val="nil"/>
              <w:bottom w:val="nil"/>
              <w:right w:val="nil"/>
            </w:tcBorders>
            <w:shd w:val="clear" w:color="auto" w:fill="FFFFFF"/>
            <w:vAlign w:val="bottom"/>
            <w:hideMark/>
          </w:tcPr>
          <w:p w14:paraId="646F8F5F" w14:textId="77777777" w:rsidR="00E85C31" w:rsidRPr="006C2465" w:rsidRDefault="00E85C31" w:rsidP="00E85C31">
            <w:pPr>
              <w:tabs>
                <w:tab w:val="clear" w:pos="567"/>
              </w:tabs>
              <w:spacing w:before="0" w:line="240" w:lineRule="auto"/>
              <w:rPr>
                <w:rFonts w:eastAsia="Times New Roman" w:cs="Open Sans Light"/>
                <w:color w:val="000000"/>
                <w:sz w:val="16"/>
                <w:szCs w:val="16"/>
                <w:lang w:eastAsia="en-AU"/>
              </w:rPr>
            </w:pPr>
            <w:r w:rsidRPr="006C2465">
              <w:rPr>
                <w:rFonts w:eastAsia="Times New Roman" w:cs="Open Sans Light"/>
                <w:color w:val="000000"/>
                <w:sz w:val="16"/>
                <w:szCs w:val="16"/>
                <w:lang w:eastAsia="en-AU"/>
              </w:rPr>
              <w:t>Prisons</w:t>
            </w:r>
          </w:p>
        </w:tc>
        <w:tc>
          <w:tcPr>
            <w:tcW w:w="640" w:type="dxa"/>
            <w:tcBorders>
              <w:top w:val="single" w:sz="4" w:space="0" w:color="ADD6EA"/>
              <w:left w:val="nil"/>
              <w:bottom w:val="nil"/>
              <w:right w:val="nil"/>
            </w:tcBorders>
            <w:shd w:val="clear" w:color="000000" w:fill="FFFFFF"/>
            <w:vAlign w:val="bottom"/>
            <w:hideMark/>
          </w:tcPr>
          <w:p w14:paraId="26DC2454" w14:textId="6651A83E" w:rsidR="00E85C31" w:rsidRPr="00E6169D" w:rsidRDefault="00E85C31" w:rsidP="00E85C31">
            <w:pPr>
              <w:tabs>
                <w:tab w:val="clear" w:pos="567"/>
              </w:tabs>
              <w:spacing w:before="0" w:line="240" w:lineRule="auto"/>
              <w:jc w:val="right"/>
              <w:rPr>
                <w:rFonts w:eastAsia="Times New Roman" w:cs="Open Sans Light"/>
                <w:color w:val="000000"/>
                <w:sz w:val="16"/>
                <w:szCs w:val="16"/>
                <w:highlight w:val="yellow"/>
                <w:lang w:eastAsia="en-AU"/>
              </w:rPr>
            </w:pPr>
            <w:r>
              <w:rPr>
                <w:rFonts w:cs="Open Sans Light"/>
                <w:color w:val="000000"/>
                <w:sz w:val="16"/>
                <w:szCs w:val="16"/>
              </w:rPr>
              <w:t>10</w:t>
            </w:r>
          </w:p>
        </w:tc>
        <w:tc>
          <w:tcPr>
            <w:tcW w:w="680" w:type="dxa"/>
            <w:tcBorders>
              <w:top w:val="single" w:sz="4" w:space="0" w:color="ADD6EA"/>
              <w:left w:val="nil"/>
              <w:bottom w:val="nil"/>
              <w:right w:val="nil"/>
            </w:tcBorders>
            <w:shd w:val="clear" w:color="000000" w:fill="FFFFFF"/>
            <w:vAlign w:val="bottom"/>
            <w:hideMark/>
          </w:tcPr>
          <w:p w14:paraId="666A7BD0" w14:textId="32D0BB64" w:rsidR="00E85C31" w:rsidRPr="00E6169D" w:rsidRDefault="00E85C31" w:rsidP="00E85C31">
            <w:pPr>
              <w:tabs>
                <w:tab w:val="clear" w:pos="567"/>
              </w:tabs>
              <w:spacing w:before="0" w:line="240" w:lineRule="auto"/>
              <w:jc w:val="right"/>
              <w:rPr>
                <w:rFonts w:eastAsia="Times New Roman" w:cs="Open Sans Light"/>
                <w:color w:val="000000"/>
                <w:sz w:val="16"/>
                <w:szCs w:val="16"/>
                <w:highlight w:val="yellow"/>
                <w:lang w:eastAsia="en-AU"/>
              </w:rPr>
            </w:pPr>
            <w:r>
              <w:rPr>
                <w:rFonts w:cs="Open Sans Light"/>
                <w:color w:val="000000"/>
                <w:sz w:val="16"/>
                <w:szCs w:val="16"/>
              </w:rPr>
              <w:t>5</w:t>
            </w:r>
          </w:p>
        </w:tc>
        <w:tc>
          <w:tcPr>
            <w:tcW w:w="680" w:type="dxa"/>
            <w:tcBorders>
              <w:top w:val="single" w:sz="4" w:space="0" w:color="ADD6EA"/>
              <w:left w:val="nil"/>
              <w:bottom w:val="nil"/>
              <w:right w:val="nil"/>
            </w:tcBorders>
            <w:shd w:val="clear" w:color="000000" w:fill="FFFFFF"/>
            <w:vAlign w:val="bottom"/>
            <w:hideMark/>
          </w:tcPr>
          <w:p w14:paraId="1E1CB77A" w14:textId="16B2C4AA" w:rsidR="00E85C31" w:rsidRPr="00E6169D" w:rsidRDefault="00E85C31" w:rsidP="00E85C31">
            <w:pPr>
              <w:tabs>
                <w:tab w:val="clear" w:pos="567"/>
              </w:tabs>
              <w:spacing w:before="0" w:line="240" w:lineRule="auto"/>
              <w:jc w:val="right"/>
              <w:rPr>
                <w:rFonts w:eastAsia="Times New Roman" w:cs="Open Sans Light"/>
                <w:color w:val="000000"/>
                <w:sz w:val="16"/>
                <w:szCs w:val="16"/>
                <w:highlight w:val="yellow"/>
                <w:lang w:eastAsia="en-AU"/>
              </w:rPr>
            </w:pPr>
            <w:r>
              <w:rPr>
                <w:rFonts w:cs="Open Sans Light"/>
                <w:color w:val="000000"/>
                <w:sz w:val="16"/>
                <w:szCs w:val="16"/>
              </w:rPr>
              <w:t>-4</w:t>
            </w:r>
          </w:p>
        </w:tc>
        <w:tc>
          <w:tcPr>
            <w:tcW w:w="680" w:type="dxa"/>
            <w:tcBorders>
              <w:top w:val="single" w:sz="4" w:space="0" w:color="ADD6EA"/>
              <w:left w:val="nil"/>
              <w:bottom w:val="nil"/>
              <w:right w:val="nil"/>
            </w:tcBorders>
            <w:shd w:val="clear" w:color="000000" w:fill="FFFFFF"/>
            <w:vAlign w:val="bottom"/>
            <w:hideMark/>
          </w:tcPr>
          <w:p w14:paraId="4EB77FC9" w14:textId="2CA3819B" w:rsidR="00E85C31" w:rsidRPr="00E6169D" w:rsidRDefault="00E85C31" w:rsidP="00E85C31">
            <w:pPr>
              <w:tabs>
                <w:tab w:val="clear" w:pos="567"/>
              </w:tabs>
              <w:spacing w:before="0" w:line="240" w:lineRule="auto"/>
              <w:jc w:val="right"/>
              <w:rPr>
                <w:rFonts w:eastAsia="Times New Roman" w:cs="Open Sans Light"/>
                <w:color w:val="000000"/>
                <w:sz w:val="16"/>
                <w:szCs w:val="16"/>
                <w:highlight w:val="yellow"/>
                <w:lang w:eastAsia="en-AU"/>
              </w:rPr>
            </w:pPr>
            <w:r>
              <w:rPr>
                <w:rFonts w:cs="Open Sans Light"/>
                <w:color w:val="000000"/>
                <w:sz w:val="16"/>
                <w:szCs w:val="16"/>
              </w:rPr>
              <w:t>-13</w:t>
            </w:r>
          </w:p>
        </w:tc>
        <w:tc>
          <w:tcPr>
            <w:tcW w:w="680" w:type="dxa"/>
            <w:tcBorders>
              <w:top w:val="single" w:sz="4" w:space="0" w:color="ADD6EA"/>
              <w:left w:val="nil"/>
              <w:bottom w:val="nil"/>
              <w:right w:val="nil"/>
            </w:tcBorders>
            <w:shd w:val="clear" w:color="000000" w:fill="FFFFFF"/>
            <w:vAlign w:val="bottom"/>
            <w:hideMark/>
          </w:tcPr>
          <w:p w14:paraId="70AE3242" w14:textId="538F52CE" w:rsidR="00E85C31" w:rsidRPr="00E6169D" w:rsidRDefault="00E85C31" w:rsidP="00E85C31">
            <w:pPr>
              <w:tabs>
                <w:tab w:val="clear" w:pos="567"/>
              </w:tabs>
              <w:spacing w:before="0" w:line="240" w:lineRule="auto"/>
              <w:jc w:val="right"/>
              <w:rPr>
                <w:rFonts w:eastAsia="Times New Roman" w:cs="Open Sans Light"/>
                <w:color w:val="000000"/>
                <w:sz w:val="16"/>
                <w:szCs w:val="16"/>
                <w:highlight w:val="yellow"/>
                <w:lang w:eastAsia="en-AU"/>
              </w:rPr>
            </w:pPr>
            <w:r>
              <w:rPr>
                <w:rFonts w:cs="Open Sans Light"/>
                <w:color w:val="000000"/>
                <w:sz w:val="16"/>
                <w:szCs w:val="16"/>
              </w:rPr>
              <w:t>1</w:t>
            </w:r>
          </w:p>
        </w:tc>
        <w:tc>
          <w:tcPr>
            <w:tcW w:w="680" w:type="dxa"/>
            <w:tcBorders>
              <w:top w:val="single" w:sz="4" w:space="0" w:color="ADD6EA"/>
              <w:left w:val="nil"/>
              <w:bottom w:val="nil"/>
              <w:right w:val="nil"/>
            </w:tcBorders>
            <w:shd w:val="clear" w:color="000000" w:fill="FFFFFF"/>
            <w:vAlign w:val="bottom"/>
            <w:hideMark/>
          </w:tcPr>
          <w:p w14:paraId="65CB11EC" w14:textId="0FF6FDB2" w:rsidR="00E85C31" w:rsidRPr="00E6169D" w:rsidRDefault="00E85C31" w:rsidP="00E85C31">
            <w:pPr>
              <w:tabs>
                <w:tab w:val="clear" w:pos="567"/>
              </w:tabs>
              <w:spacing w:before="0" w:line="240" w:lineRule="auto"/>
              <w:jc w:val="right"/>
              <w:rPr>
                <w:rFonts w:eastAsia="Times New Roman" w:cs="Open Sans Light"/>
                <w:color w:val="000000"/>
                <w:sz w:val="16"/>
                <w:szCs w:val="16"/>
                <w:highlight w:val="yellow"/>
                <w:lang w:eastAsia="en-AU"/>
              </w:rPr>
            </w:pPr>
            <w:r>
              <w:rPr>
                <w:rFonts w:cs="Open Sans Light"/>
                <w:color w:val="000000"/>
                <w:sz w:val="16"/>
                <w:szCs w:val="16"/>
              </w:rPr>
              <w:t>23</w:t>
            </w:r>
          </w:p>
        </w:tc>
        <w:tc>
          <w:tcPr>
            <w:tcW w:w="680" w:type="dxa"/>
            <w:tcBorders>
              <w:top w:val="single" w:sz="4" w:space="0" w:color="ADD6EA"/>
              <w:left w:val="nil"/>
              <w:bottom w:val="nil"/>
              <w:right w:val="nil"/>
            </w:tcBorders>
            <w:shd w:val="clear" w:color="000000" w:fill="FFFFFF"/>
            <w:vAlign w:val="bottom"/>
            <w:hideMark/>
          </w:tcPr>
          <w:p w14:paraId="3A7B85FE" w14:textId="76F968DE" w:rsidR="00E85C31" w:rsidRPr="00E6169D" w:rsidRDefault="00E85C31" w:rsidP="00E85C31">
            <w:pPr>
              <w:tabs>
                <w:tab w:val="clear" w:pos="567"/>
              </w:tabs>
              <w:spacing w:before="0" w:line="240" w:lineRule="auto"/>
              <w:jc w:val="right"/>
              <w:rPr>
                <w:rFonts w:eastAsia="Times New Roman" w:cs="Open Sans Light"/>
                <w:color w:val="000000"/>
                <w:sz w:val="16"/>
                <w:szCs w:val="16"/>
                <w:highlight w:val="yellow"/>
                <w:lang w:eastAsia="en-AU"/>
              </w:rPr>
            </w:pPr>
            <w:r>
              <w:rPr>
                <w:rFonts w:cs="Open Sans Light"/>
                <w:color w:val="000000"/>
                <w:sz w:val="16"/>
                <w:szCs w:val="16"/>
              </w:rPr>
              <w:t>5</w:t>
            </w:r>
          </w:p>
        </w:tc>
        <w:tc>
          <w:tcPr>
            <w:tcW w:w="680" w:type="dxa"/>
            <w:tcBorders>
              <w:top w:val="single" w:sz="4" w:space="0" w:color="ADD6EA"/>
              <w:left w:val="nil"/>
              <w:bottom w:val="nil"/>
              <w:right w:val="nil"/>
            </w:tcBorders>
            <w:shd w:val="clear" w:color="000000" w:fill="FFFFFF"/>
            <w:vAlign w:val="bottom"/>
            <w:hideMark/>
          </w:tcPr>
          <w:p w14:paraId="2FD03365" w14:textId="78AF86FB" w:rsidR="00E85C31" w:rsidRPr="00E6169D" w:rsidRDefault="00E85C31" w:rsidP="00E85C31">
            <w:pPr>
              <w:tabs>
                <w:tab w:val="clear" w:pos="567"/>
              </w:tabs>
              <w:spacing w:before="0" w:line="240" w:lineRule="auto"/>
              <w:jc w:val="right"/>
              <w:rPr>
                <w:rFonts w:eastAsia="Times New Roman" w:cs="Open Sans Light"/>
                <w:color w:val="000000"/>
                <w:sz w:val="16"/>
                <w:szCs w:val="16"/>
                <w:highlight w:val="yellow"/>
                <w:lang w:eastAsia="en-AU"/>
              </w:rPr>
            </w:pPr>
            <w:r>
              <w:rPr>
                <w:rFonts w:cs="Open Sans Light"/>
                <w:color w:val="000000"/>
                <w:sz w:val="16"/>
                <w:szCs w:val="16"/>
              </w:rPr>
              <w:t>-277</w:t>
            </w:r>
          </w:p>
        </w:tc>
        <w:tc>
          <w:tcPr>
            <w:tcW w:w="680" w:type="dxa"/>
            <w:tcBorders>
              <w:top w:val="single" w:sz="4" w:space="0" w:color="ADD6EA"/>
              <w:left w:val="nil"/>
              <w:bottom w:val="nil"/>
              <w:right w:val="nil"/>
            </w:tcBorders>
            <w:shd w:val="clear" w:color="000000" w:fill="FFFFFF"/>
            <w:vAlign w:val="bottom"/>
            <w:hideMark/>
          </w:tcPr>
          <w:p w14:paraId="61508687" w14:textId="4E29ADB7" w:rsidR="00E85C31" w:rsidRPr="00E6169D" w:rsidRDefault="00E85C31" w:rsidP="00E85C31">
            <w:pPr>
              <w:tabs>
                <w:tab w:val="clear" w:pos="567"/>
              </w:tabs>
              <w:spacing w:before="0" w:line="240" w:lineRule="auto"/>
              <w:jc w:val="right"/>
              <w:rPr>
                <w:rFonts w:eastAsia="Times New Roman" w:cs="Open Sans Light"/>
                <w:color w:val="000000"/>
                <w:sz w:val="16"/>
                <w:szCs w:val="16"/>
                <w:highlight w:val="yellow"/>
                <w:lang w:eastAsia="en-AU"/>
              </w:rPr>
            </w:pPr>
            <w:r>
              <w:rPr>
                <w:rFonts w:cs="Open Sans Light"/>
                <w:color w:val="000000"/>
                <w:sz w:val="16"/>
                <w:szCs w:val="16"/>
              </w:rPr>
              <w:t>5</w:t>
            </w:r>
          </w:p>
        </w:tc>
      </w:tr>
      <w:tr w:rsidR="00E85C31" w:rsidRPr="006C2465" w14:paraId="29F1DD08" w14:textId="77777777">
        <w:trPr>
          <w:cantSplit/>
          <w:trHeight w:val="321"/>
        </w:trPr>
        <w:tc>
          <w:tcPr>
            <w:tcW w:w="2880" w:type="dxa"/>
            <w:tcBorders>
              <w:top w:val="single" w:sz="8" w:space="0" w:color="ADD6EA"/>
              <w:left w:val="nil"/>
              <w:bottom w:val="single" w:sz="4" w:space="0" w:color="ADD6EA"/>
              <w:right w:val="nil"/>
            </w:tcBorders>
            <w:shd w:val="clear" w:color="auto" w:fill="D6E7F0"/>
            <w:vAlign w:val="bottom"/>
            <w:hideMark/>
          </w:tcPr>
          <w:p w14:paraId="349FC648" w14:textId="77777777" w:rsidR="00E85C31" w:rsidRPr="006C2465" w:rsidRDefault="00E85C31" w:rsidP="00E85C31">
            <w:pPr>
              <w:tabs>
                <w:tab w:val="clear" w:pos="567"/>
              </w:tabs>
              <w:spacing w:before="0" w:line="240" w:lineRule="auto"/>
              <w:rPr>
                <w:rFonts w:ascii="Open Sans Semibold" w:eastAsia="Times New Roman" w:hAnsi="Open Sans Semibold" w:cs="Open Sans Semibold"/>
                <w:color w:val="000000"/>
                <w:sz w:val="16"/>
                <w:szCs w:val="16"/>
                <w:lang w:eastAsia="en-AU"/>
              </w:rPr>
            </w:pPr>
            <w:r w:rsidRPr="006C2465">
              <w:rPr>
                <w:rFonts w:ascii="Open Sans Semibold" w:eastAsia="Times New Roman" w:hAnsi="Open Sans Semibold" w:cs="Open Sans Semibold"/>
                <w:color w:val="000000"/>
                <w:sz w:val="16"/>
                <w:szCs w:val="16"/>
                <w:lang w:eastAsia="en-AU"/>
              </w:rPr>
              <w:t xml:space="preserve">Total </w:t>
            </w:r>
          </w:p>
        </w:tc>
        <w:tc>
          <w:tcPr>
            <w:tcW w:w="640" w:type="dxa"/>
            <w:tcBorders>
              <w:top w:val="single" w:sz="4" w:space="0" w:color="ADD6EA"/>
              <w:left w:val="nil"/>
              <w:bottom w:val="single" w:sz="4" w:space="0" w:color="ADD6EA"/>
              <w:right w:val="nil"/>
            </w:tcBorders>
            <w:shd w:val="clear" w:color="000000" w:fill="D6E7F0"/>
            <w:vAlign w:val="bottom"/>
            <w:hideMark/>
          </w:tcPr>
          <w:p w14:paraId="7086955D" w14:textId="27C19EC0" w:rsidR="00E85C31" w:rsidRPr="00E6169D" w:rsidRDefault="00E85C31" w:rsidP="00E85C31">
            <w:pPr>
              <w:tabs>
                <w:tab w:val="clear" w:pos="567"/>
              </w:tabs>
              <w:spacing w:before="0" w:line="240" w:lineRule="auto"/>
              <w:jc w:val="right"/>
              <w:rPr>
                <w:rFonts w:ascii="Open Sans Semibold" w:eastAsia="Times New Roman" w:hAnsi="Open Sans Semibold" w:cs="Open Sans Semibold"/>
                <w:color w:val="000000"/>
                <w:sz w:val="16"/>
                <w:szCs w:val="16"/>
                <w:highlight w:val="yellow"/>
                <w:lang w:eastAsia="en-AU"/>
              </w:rPr>
            </w:pPr>
            <w:r>
              <w:rPr>
                <w:rFonts w:ascii="Open Sans Semibold" w:hAnsi="Open Sans Semibold" w:cs="Open Sans Semibold"/>
                <w:color w:val="000000"/>
                <w:sz w:val="16"/>
                <w:szCs w:val="16"/>
              </w:rPr>
              <w:t>19</w:t>
            </w:r>
          </w:p>
        </w:tc>
        <w:tc>
          <w:tcPr>
            <w:tcW w:w="680" w:type="dxa"/>
            <w:tcBorders>
              <w:top w:val="single" w:sz="4" w:space="0" w:color="ADD6EA"/>
              <w:left w:val="nil"/>
              <w:bottom w:val="single" w:sz="4" w:space="0" w:color="ADD6EA"/>
              <w:right w:val="nil"/>
            </w:tcBorders>
            <w:shd w:val="clear" w:color="000000" w:fill="D6E7F0"/>
            <w:vAlign w:val="bottom"/>
            <w:hideMark/>
          </w:tcPr>
          <w:p w14:paraId="761D0F7C" w14:textId="2C34C0D4" w:rsidR="00E85C31" w:rsidRPr="00E6169D" w:rsidRDefault="00E85C31" w:rsidP="00E85C31">
            <w:pPr>
              <w:tabs>
                <w:tab w:val="clear" w:pos="567"/>
              </w:tabs>
              <w:spacing w:before="0" w:line="240" w:lineRule="auto"/>
              <w:jc w:val="right"/>
              <w:rPr>
                <w:rFonts w:ascii="Open Sans Semibold" w:eastAsia="Times New Roman" w:hAnsi="Open Sans Semibold" w:cs="Open Sans Semibold"/>
                <w:color w:val="000000"/>
                <w:sz w:val="16"/>
                <w:szCs w:val="16"/>
                <w:highlight w:val="yellow"/>
                <w:lang w:eastAsia="en-AU"/>
              </w:rPr>
            </w:pPr>
            <w:r>
              <w:rPr>
                <w:rFonts w:ascii="Open Sans Semibold" w:hAnsi="Open Sans Semibold" w:cs="Open Sans Semibold"/>
                <w:color w:val="000000"/>
                <w:sz w:val="16"/>
                <w:szCs w:val="16"/>
              </w:rPr>
              <w:t>-24</w:t>
            </w:r>
          </w:p>
        </w:tc>
        <w:tc>
          <w:tcPr>
            <w:tcW w:w="680" w:type="dxa"/>
            <w:tcBorders>
              <w:top w:val="single" w:sz="4" w:space="0" w:color="ADD6EA"/>
              <w:left w:val="nil"/>
              <w:bottom w:val="single" w:sz="4" w:space="0" w:color="ADD6EA"/>
              <w:right w:val="nil"/>
            </w:tcBorders>
            <w:shd w:val="clear" w:color="000000" w:fill="D6E7F0"/>
            <w:vAlign w:val="bottom"/>
            <w:hideMark/>
          </w:tcPr>
          <w:p w14:paraId="53E80E3E" w14:textId="0077CF71" w:rsidR="00E85C31" w:rsidRPr="00E6169D" w:rsidRDefault="00E85C31" w:rsidP="00E85C31">
            <w:pPr>
              <w:tabs>
                <w:tab w:val="clear" w:pos="567"/>
              </w:tabs>
              <w:spacing w:before="0" w:line="240" w:lineRule="auto"/>
              <w:jc w:val="right"/>
              <w:rPr>
                <w:rFonts w:ascii="Open Sans Semibold" w:eastAsia="Times New Roman" w:hAnsi="Open Sans Semibold" w:cs="Open Sans Semibold"/>
                <w:color w:val="000000"/>
                <w:sz w:val="16"/>
                <w:szCs w:val="16"/>
                <w:highlight w:val="yellow"/>
                <w:lang w:eastAsia="en-AU"/>
              </w:rPr>
            </w:pPr>
            <w:r>
              <w:rPr>
                <w:rFonts w:ascii="Open Sans Semibold" w:hAnsi="Open Sans Semibold" w:cs="Open Sans Semibold"/>
                <w:color w:val="000000"/>
                <w:sz w:val="16"/>
                <w:szCs w:val="16"/>
              </w:rPr>
              <w:t>11</w:t>
            </w:r>
          </w:p>
        </w:tc>
        <w:tc>
          <w:tcPr>
            <w:tcW w:w="680" w:type="dxa"/>
            <w:tcBorders>
              <w:top w:val="single" w:sz="4" w:space="0" w:color="ADD6EA"/>
              <w:left w:val="nil"/>
              <w:bottom w:val="single" w:sz="4" w:space="0" w:color="ADD6EA"/>
              <w:right w:val="nil"/>
            </w:tcBorders>
            <w:shd w:val="clear" w:color="000000" w:fill="D6E7F0"/>
            <w:vAlign w:val="bottom"/>
            <w:hideMark/>
          </w:tcPr>
          <w:p w14:paraId="087746A8" w14:textId="1EAFE3E4" w:rsidR="00E85C31" w:rsidRPr="00E6169D" w:rsidRDefault="00E85C31" w:rsidP="00E85C31">
            <w:pPr>
              <w:tabs>
                <w:tab w:val="clear" w:pos="567"/>
              </w:tabs>
              <w:spacing w:before="0" w:line="240" w:lineRule="auto"/>
              <w:jc w:val="right"/>
              <w:rPr>
                <w:rFonts w:ascii="Open Sans Semibold" w:eastAsia="Times New Roman" w:hAnsi="Open Sans Semibold" w:cs="Open Sans Semibold"/>
                <w:color w:val="000000"/>
                <w:sz w:val="16"/>
                <w:szCs w:val="16"/>
                <w:highlight w:val="yellow"/>
                <w:lang w:eastAsia="en-AU"/>
              </w:rPr>
            </w:pPr>
            <w:r>
              <w:rPr>
                <w:rFonts w:ascii="Open Sans Semibold" w:hAnsi="Open Sans Semibold" w:cs="Open Sans Semibold"/>
                <w:color w:val="000000"/>
                <w:sz w:val="16"/>
                <w:szCs w:val="16"/>
              </w:rPr>
              <w:t>-17</w:t>
            </w:r>
          </w:p>
        </w:tc>
        <w:tc>
          <w:tcPr>
            <w:tcW w:w="680" w:type="dxa"/>
            <w:tcBorders>
              <w:top w:val="single" w:sz="4" w:space="0" w:color="ADD6EA"/>
              <w:left w:val="nil"/>
              <w:bottom w:val="single" w:sz="4" w:space="0" w:color="ADD6EA"/>
              <w:right w:val="nil"/>
            </w:tcBorders>
            <w:shd w:val="clear" w:color="000000" w:fill="D6E7F0"/>
            <w:vAlign w:val="bottom"/>
            <w:hideMark/>
          </w:tcPr>
          <w:p w14:paraId="62DE3E3F" w14:textId="4079EACC" w:rsidR="00E85C31" w:rsidRPr="00E6169D" w:rsidRDefault="00E85C31" w:rsidP="00E85C31">
            <w:pPr>
              <w:tabs>
                <w:tab w:val="clear" w:pos="567"/>
              </w:tabs>
              <w:spacing w:before="0" w:line="240" w:lineRule="auto"/>
              <w:jc w:val="right"/>
              <w:rPr>
                <w:rFonts w:ascii="Open Sans Semibold" w:eastAsia="Times New Roman" w:hAnsi="Open Sans Semibold" w:cs="Open Sans Semibold"/>
                <w:color w:val="000000"/>
                <w:sz w:val="16"/>
                <w:szCs w:val="16"/>
                <w:highlight w:val="yellow"/>
                <w:lang w:eastAsia="en-AU"/>
              </w:rPr>
            </w:pPr>
            <w:r>
              <w:rPr>
                <w:rFonts w:ascii="Open Sans Semibold" w:hAnsi="Open Sans Semibold" w:cs="Open Sans Semibold"/>
                <w:color w:val="000000"/>
                <w:sz w:val="16"/>
                <w:szCs w:val="16"/>
              </w:rPr>
              <w:t>-15</w:t>
            </w:r>
          </w:p>
        </w:tc>
        <w:tc>
          <w:tcPr>
            <w:tcW w:w="680" w:type="dxa"/>
            <w:tcBorders>
              <w:top w:val="single" w:sz="4" w:space="0" w:color="ADD6EA"/>
              <w:left w:val="nil"/>
              <w:bottom w:val="single" w:sz="4" w:space="0" w:color="ADD6EA"/>
              <w:right w:val="nil"/>
            </w:tcBorders>
            <w:shd w:val="clear" w:color="000000" w:fill="D6E7F0"/>
            <w:vAlign w:val="bottom"/>
            <w:hideMark/>
          </w:tcPr>
          <w:p w14:paraId="0306DEF7" w14:textId="21684B11" w:rsidR="00E85C31" w:rsidRPr="00E6169D" w:rsidRDefault="00E85C31" w:rsidP="00E85C31">
            <w:pPr>
              <w:tabs>
                <w:tab w:val="clear" w:pos="567"/>
              </w:tabs>
              <w:spacing w:before="0" w:line="240" w:lineRule="auto"/>
              <w:jc w:val="right"/>
              <w:rPr>
                <w:rFonts w:ascii="Open Sans Semibold" w:eastAsia="Times New Roman" w:hAnsi="Open Sans Semibold" w:cs="Open Sans Semibold"/>
                <w:color w:val="000000"/>
                <w:sz w:val="16"/>
                <w:szCs w:val="16"/>
                <w:highlight w:val="yellow"/>
                <w:lang w:eastAsia="en-AU"/>
              </w:rPr>
            </w:pPr>
            <w:r>
              <w:rPr>
                <w:rFonts w:ascii="Open Sans Semibold" w:hAnsi="Open Sans Semibold" w:cs="Open Sans Semibold"/>
                <w:color w:val="000000"/>
                <w:sz w:val="16"/>
                <w:szCs w:val="16"/>
              </w:rPr>
              <w:t>81</w:t>
            </w:r>
          </w:p>
        </w:tc>
        <w:tc>
          <w:tcPr>
            <w:tcW w:w="680" w:type="dxa"/>
            <w:tcBorders>
              <w:top w:val="single" w:sz="4" w:space="0" w:color="ADD6EA"/>
              <w:left w:val="nil"/>
              <w:bottom w:val="single" w:sz="4" w:space="0" w:color="ADD6EA"/>
              <w:right w:val="nil"/>
            </w:tcBorders>
            <w:shd w:val="clear" w:color="000000" w:fill="D6E7F0"/>
            <w:vAlign w:val="bottom"/>
            <w:hideMark/>
          </w:tcPr>
          <w:p w14:paraId="39A468AC" w14:textId="6459A6AC" w:rsidR="00E85C31" w:rsidRPr="00E6169D" w:rsidRDefault="00E85C31" w:rsidP="00E85C31">
            <w:pPr>
              <w:tabs>
                <w:tab w:val="clear" w:pos="567"/>
              </w:tabs>
              <w:spacing w:before="0" w:line="240" w:lineRule="auto"/>
              <w:jc w:val="right"/>
              <w:rPr>
                <w:rFonts w:ascii="Open Sans Semibold" w:eastAsia="Times New Roman" w:hAnsi="Open Sans Semibold" w:cs="Open Sans Semibold"/>
                <w:color w:val="000000"/>
                <w:sz w:val="16"/>
                <w:szCs w:val="16"/>
                <w:highlight w:val="yellow"/>
                <w:lang w:eastAsia="en-AU"/>
              </w:rPr>
            </w:pPr>
            <w:r>
              <w:rPr>
                <w:rFonts w:ascii="Open Sans Semibold" w:hAnsi="Open Sans Semibold" w:cs="Open Sans Semibold"/>
                <w:color w:val="000000"/>
                <w:sz w:val="16"/>
                <w:szCs w:val="16"/>
              </w:rPr>
              <w:t>-24</w:t>
            </w:r>
          </w:p>
        </w:tc>
        <w:tc>
          <w:tcPr>
            <w:tcW w:w="680" w:type="dxa"/>
            <w:tcBorders>
              <w:top w:val="single" w:sz="4" w:space="0" w:color="ADD6EA"/>
              <w:left w:val="nil"/>
              <w:bottom w:val="single" w:sz="4" w:space="0" w:color="ADD6EA"/>
              <w:right w:val="nil"/>
            </w:tcBorders>
            <w:shd w:val="clear" w:color="000000" w:fill="D6E7F0"/>
            <w:vAlign w:val="bottom"/>
            <w:hideMark/>
          </w:tcPr>
          <w:p w14:paraId="73505823" w14:textId="09B881F9" w:rsidR="00E85C31" w:rsidRPr="00E6169D" w:rsidRDefault="00E85C31" w:rsidP="00E85C31">
            <w:pPr>
              <w:tabs>
                <w:tab w:val="clear" w:pos="567"/>
              </w:tabs>
              <w:spacing w:before="0" w:line="240" w:lineRule="auto"/>
              <w:jc w:val="right"/>
              <w:rPr>
                <w:rFonts w:ascii="Open Sans Semibold" w:eastAsia="Times New Roman" w:hAnsi="Open Sans Semibold" w:cs="Open Sans Semibold"/>
                <w:color w:val="000000"/>
                <w:sz w:val="16"/>
                <w:szCs w:val="16"/>
                <w:highlight w:val="yellow"/>
                <w:lang w:eastAsia="en-AU"/>
              </w:rPr>
            </w:pPr>
            <w:r>
              <w:rPr>
                <w:rFonts w:ascii="Open Sans Semibold" w:hAnsi="Open Sans Semibold" w:cs="Open Sans Semibold"/>
                <w:color w:val="000000"/>
                <w:sz w:val="16"/>
                <w:szCs w:val="16"/>
              </w:rPr>
              <w:t>-41</w:t>
            </w:r>
          </w:p>
        </w:tc>
        <w:tc>
          <w:tcPr>
            <w:tcW w:w="680" w:type="dxa"/>
            <w:tcBorders>
              <w:top w:val="single" w:sz="4" w:space="0" w:color="ADD6EA"/>
              <w:left w:val="nil"/>
              <w:bottom w:val="single" w:sz="4" w:space="0" w:color="ADD6EA"/>
              <w:right w:val="nil"/>
            </w:tcBorders>
            <w:shd w:val="clear" w:color="000000" w:fill="D6E7F0"/>
            <w:vAlign w:val="bottom"/>
            <w:hideMark/>
          </w:tcPr>
          <w:p w14:paraId="6C523CC2" w14:textId="7FF3AD7C" w:rsidR="00E85C31" w:rsidRPr="00E6169D" w:rsidRDefault="00E85C31" w:rsidP="00E85C31">
            <w:pPr>
              <w:tabs>
                <w:tab w:val="clear" w:pos="567"/>
              </w:tabs>
              <w:spacing w:before="0" w:line="240" w:lineRule="auto"/>
              <w:jc w:val="right"/>
              <w:rPr>
                <w:rFonts w:ascii="Open Sans Semibold" w:eastAsia="Times New Roman" w:hAnsi="Open Sans Semibold" w:cs="Open Sans Semibold"/>
                <w:color w:val="000000"/>
                <w:sz w:val="16"/>
                <w:szCs w:val="16"/>
                <w:highlight w:val="yellow"/>
                <w:lang w:eastAsia="en-AU"/>
              </w:rPr>
            </w:pPr>
            <w:r>
              <w:rPr>
                <w:rFonts w:ascii="Open Sans Semibold" w:hAnsi="Open Sans Semibold" w:cs="Open Sans Semibold"/>
                <w:color w:val="000000"/>
                <w:sz w:val="16"/>
                <w:szCs w:val="16"/>
              </w:rPr>
              <w:t>10</w:t>
            </w:r>
          </w:p>
        </w:tc>
      </w:tr>
    </w:tbl>
    <w:p w14:paraId="33472760" w14:textId="69D5C1FC" w:rsidR="00123B9D" w:rsidRPr="00123B9D" w:rsidRDefault="00123B9D" w:rsidP="00C73D30">
      <w:pPr>
        <w:pStyle w:val="CGC2025TableNote"/>
        <w:tabs>
          <w:tab w:val="clear" w:pos="567"/>
          <w:tab w:val="clear" w:pos="680"/>
          <w:tab w:val="left" w:pos="426"/>
          <w:tab w:val="left" w:pos="1276"/>
          <w:tab w:val="left" w:pos="1418"/>
        </w:tabs>
        <w:ind w:left="567" w:hanging="454"/>
      </w:pPr>
      <w:r w:rsidRPr="00123B9D">
        <w:t xml:space="preserve">(a) </w:t>
      </w:r>
      <w:r w:rsidR="00C73D30">
        <w:tab/>
      </w:r>
      <w:r w:rsidRPr="00123B9D">
        <w:t>Updated ERP based on 2021 Census, state police district expense and offender data.</w:t>
      </w:r>
    </w:p>
    <w:p w14:paraId="4BBE68FD" w14:textId="2C5FEF26" w:rsidR="00123B9D" w:rsidRPr="00123B9D" w:rsidRDefault="00123B9D" w:rsidP="00C73D30">
      <w:pPr>
        <w:pStyle w:val="CGC2025TableNote"/>
        <w:tabs>
          <w:tab w:val="clear" w:pos="567"/>
          <w:tab w:val="clear" w:pos="680"/>
          <w:tab w:val="left" w:pos="426"/>
          <w:tab w:val="left" w:pos="1276"/>
          <w:tab w:val="left" w:pos="1418"/>
        </w:tabs>
        <w:ind w:left="567" w:hanging="454"/>
      </w:pPr>
      <w:r w:rsidRPr="00123B9D">
        <w:t xml:space="preserve">(b) </w:t>
      </w:r>
      <w:r w:rsidR="00C73D30">
        <w:tab/>
      </w:r>
      <w:r w:rsidRPr="00123B9D">
        <w:t>Updated ERP based on 2021 Census, state criminal cost and other legal services expense data, and defendant data.</w:t>
      </w:r>
    </w:p>
    <w:p w14:paraId="0CA3C5AB" w14:textId="7E46B1EA" w:rsidR="00976A7F" w:rsidRDefault="00123B9D" w:rsidP="00C73D30">
      <w:pPr>
        <w:pStyle w:val="CGC2025TableNote"/>
        <w:tabs>
          <w:tab w:val="clear" w:pos="567"/>
          <w:tab w:val="clear" w:pos="680"/>
          <w:tab w:val="left" w:pos="426"/>
          <w:tab w:val="left" w:pos="1276"/>
          <w:tab w:val="left" w:pos="1418"/>
        </w:tabs>
        <w:ind w:left="567" w:hanging="454"/>
      </w:pPr>
      <w:r w:rsidRPr="00123B9D">
        <w:t xml:space="preserve">(c) </w:t>
      </w:r>
      <w:r w:rsidR="00C73D30">
        <w:tab/>
      </w:r>
      <w:r w:rsidRPr="00123B9D">
        <w:t>Updated ERP based on 2021 Census</w:t>
      </w:r>
      <w:r w:rsidR="008B6B70">
        <w:t>,</w:t>
      </w:r>
      <w:r w:rsidRPr="00123B9D">
        <w:t xml:space="preserve"> ABS prisoner data and state defendant </w:t>
      </w:r>
      <w:r w:rsidR="009A3AB3">
        <w:t>socio</w:t>
      </w:r>
      <w:r w:rsidR="009A3AB3" w:rsidRPr="00CB58CC">
        <w:t>-</w:t>
      </w:r>
      <w:r w:rsidR="009A3AB3">
        <w:t>economic status</w:t>
      </w:r>
      <w:r w:rsidR="009A3AB3" w:rsidRPr="00123B9D">
        <w:t xml:space="preserve"> </w:t>
      </w:r>
      <w:r w:rsidRPr="00123B9D">
        <w:t>data.</w:t>
      </w:r>
    </w:p>
    <w:p w14:paraId="000CD75A" w14:textId="2913778C" w:rsidR="008E65FF" w:rsidRPr="005F1753" w:rsidRDefault="008E65FF" w:rsidP="008900D4">
      <w:pPr>
        <w:pStyle w:val="CGC2025ParaNumbers"/>
      </w:pPr>
      <w:r w:rsidRPr="005F1753">
        <w:t xml:space="preserve">Most </w:t>
      </w:r>
      <w:r w:rsidR="009B0CFE">
        <w:t xml:space="preserve">of the </w:t>
      </w:r>
      <w:r w:rsidRPr="005F1753">
        <w:t>change from data updates can be explained by a combination of the following.</w:t>
      </w:r>
    </w:p>
    <w:p w14:paraId="07AE4568" w14:textId="77777777" w:rsidR="008E65FF" w:rsidRPr="008B253B" w:rsidRDefault="008E65FF" w:rsidP="00E808F2">
      <w:pPr>
        <w:pStyle w:val="CGC2025Bullet1"/>
      </w:pPr>
      <w:r w:rsidRPr="008B253B">
        <w:t>Updating state police costs and offender data in the police regression increased the cost weight for offenders, increasing the assessed GST needs of states with greater shares of assessed offenders, such as Tasmania and the Northern Territory. It also increased the regional cost weight applied to inner and outer regional populations and decreased the cost weight applied to very remote areas. This increased the assessed GST needs of states with a greater share of regional populations such as Tasmania and decreased the needs of states with greater shares of very remote populations such as the Northern Territory.</w:t>
      </w:r>
    </w:p>
    <w:p w14:paraId="43A95E1D" w14:textId="4DA5AE0D" w:rsidR="008E65FF" w:rsidRPr="008B253B" w:rsidRDefault="008E65FF" w:rsidP="00E808F2">
      <w:pPr>
        <w:pStyle w:val="CGC2025Bullet1"/>
      </w:pPr>
      <w:r w:rsidRPr="008B253B">
        <w:t>Updat</w:t>
      </w:r>
      <w:r w:rsidR="000F3D13">
        <w:t>ed</w:t>
      </w:r>
      <w:r w:rsidRPr="008B253B">
        <w:t xml:space="preserve"> offender and defendant data in the police and criminal courts assessment indicates that First Nations people are coming into contact with the justice system at higher rates than was reported in 2016. This</w:t>
      </w:r>
      <w:r w:rsidRPr="008B253B" w:rsidDel="000F3D13">
        <w:t xml:space="preserve"> </w:t>
      </w:r>
      <w:r w:rsidRPr="008B253B">
        <w:t>increase</w:t>
      </w:r>
      <w:r w:rsidR="000F3D13">
        <w:t>s</w:t>
      </w:r>
      <w:r w:rsidRPr="008B253B">
        <w:t xml:space="preserve"> the </w:t>
      </w:r>
      <w:r w:rsidRPr="008B253B">
        <w:lastRenderedPageBreak/>
        <w:t>relative use rates of First Nations populations and increase</w:t>
      </w:r>
      <w:r w:rsidR="00EA1E9D">
        <w:t>s</w:t>
      </w:r>
      <w:r w:rsidRPr="008B253B">
        <w:t xml:space="preserve"> the assessed GST needs of states with large</w:t>
      </w:r>
      <w:r w:rsidR="00EA1E9D">
        <w:t>r</w:t>
      </w:r>
      <w:r w:rsidRPr="008B253B">
        <w:t xml:space="preserve"> First Nations populations, such as the Northern Territory. </w:t>
      </w:r>
    </w:p>
    <w:p w14:paraId="379D2A90" w14:textId="3C26B0C5" w:rsidR="00016C90" w:rsidRDefault="008E65FF" w:rsidP="00E808F2">
      <w:pPr>
        <w:pStyle w:val="CGC2025Bullet1"/>
      </w:pPr>
      <w:r w:rsidRPr="008B253B">
        <w:t>Updated defendant data also indicates an increase in First Nations defendants experiencing lower levels of socio-economic disadvantage relative to First Nations defendants experiencing higher levels of socio-economic disadvantage. This</w:t>
      </w:r>
      <w:r w:rsidRPr="008B253B" w:rsidDel="00181D83">
        <w:t xml:space="preserve"> </w:t>
      </w:r>
      <w:r w:rsidRPr="008B253B">
        <w:t>reduce</w:t>
      </w:r>
      <w:r w:rsidR="00181D83">
        <w:t>s</w:t>
      </w:r>
      <w:r w:rsidRPr="008B253B">
        <w:t xml:space="preserve"> the use rates of First Nations populations experiencing the most socio-economic disadvantage and decrease</w:t>
      </w:r>
      <w:r w:rsidR="00181D83">
        <w:t>s</w:t>
      </w:r>
      <w:r w:rsidRPr="008B253B">
        <w:t xml:space="preserve"> the assessed GST needs of states with large First Nations populations experiencing high levels of disadvantage, such as the Northern Territory. For the Northern Territory</w:t>
      </w:r>
      <w:r w:rsidR="002B204D">
        <w:t>,</w:t>
      </w:r>
      <w:r w:rsidRPr="008B253B">
        <w:t xml:space="preserve"> this impact is fully offset by the increase in the First Nations use rate</w:t>
      </w:r>
      <w:r w:rsidR="002B204D">
        <w:t>s</w:t>
      </w:r>
      <w:r w:rsidRPr="008B253B">
        <w:t xml:space="preserve"> in criminal courts.</w:t>
      </w:r>
    </w:p>
    <w:p w14:paraId="538C5C26" w14:textId="6493FE0C" w:rsidR="008E65FF" w:rsidRPr="008B253B" w:rsidRDefault="007E0E68" w:rsidP="00E808F2">
      <w:pPr>
        <w:pStyle w:val="CGC2025Bullet1"/>
      </w:pPr>
      <w:r w:rsidRPr="00CB58CC">
        <w:t xml:space="preserve">Updated </w:t>
      </w:r>
      <w:r w:rsidR="003658F3" w:rsidRPr="00CB58CC">
        <w:t xml:space="preserve">data </w:t>
      </w:r>
      <w:r w:rsidR="003658F3">
        <w:t>on</w:t>
      </w:r>
      <w:r w:rsidR="008E65FF" w:rsidRPr="008B253B">
        <w:t xml:space="preserve"> defendant socio-economic status are </w:t>
      </w:r>
      <w:r w:rsidR="003A5271" w:rsidRPr="00CB58CC">
        <w:t xml:space="preserve">used to determine prisoner </w:t>
      </w:r>
      <w:r w:rsidR="00085C67" w:rsidRPr="00CB58CC">
        <w:t>socio</w:t>
      </w:r>
      <w:r w:rsidR="00121484" w:rsidRPr="00CB58CC">
        <w:t>-economic status</w:t>
      </w:r>
      <w:r w:rsidR="008E65FF" w:rsidRPr="008B253B">
        <w:t xml:space="preserve"> in the prisons assessment</w:t>
      </w:r>
      <w:r w:rsidR="000241F2" w:rsidRPr="00CB58CC">
        <w:t>.</w:t>
      </w:r>
      <w:r w:rsidR="008E65FF" w:rsidRPr="008B253B">
        <w:t xml:space="preserve"> Table </w:t>
      </w:r>
      <w:r w:rsidR="00CC498E" w:rsidRPr="00807EAC">
        <w:t>2</w:t>
      </w:r>
      <w:r w:rsidR="008E65FF" w:rsidRPr="008B253B">
        <w:t xml:space="preserve"> reflects the impact of changes in use rates of the First Nations </w:t>
      </w:r>
      <w:r w:rsidR="008E65FF">
        <w:t>socio</w:t>
      </w:r>
      <w:r w:rsidR="00E11C43" w:rsidRPr="00CB58CC">
        <w:t>-</w:t>
      </w:r>
      <w:r w:rsidR="008E65FF">
        <w:t>economic</w:t>
      </w:r>
      <w:r w:rsidR="008E65FF" w:rsidRPr="008B253B">
        <w:t xml:space="preserve"> populations. </w:t>
      </w:r>
    </w:p>
    <w:p w14:paraId="13F77BA9" w14:textId="1B4205B3" w:rsidR="008E65FF" w:rsidRPr="008B253B" w:rsidRDefault="008E65FF" w:rsidP="00E808F2">
      <w:pPr>
        <w:pStyle w:val="CGC2025Bullet1"/>
      </w:pPr>
      <w:r w:rsidRPr="008B253B">
        <w:t>The proportion of the population that identifies as First Nations is greater in the 2021 Census than in the 2016 Census. This has the effect of reducing the relative use rate of offenders, defendants and prisoners that identify as First Nations. It reduces the assessed GST needs of states with large</w:t>
      </w:r>
      <w:r w:rsidR="00B57A17">
        <w:t>r</w:t>
      </w:r>
      <w:r w:rsidRPr="008B253B">
        <w:t xml:space="preserve"> First Nations populations, such as the Northern Territory. For the Northern Territory, the increase in use rates of First Nations offenders and defendants due to updating offender and defendant data offsets this impact. However, in the prisons assessment the impact of updating First Nations defendant socio-economic status further compounds the reduction in assessed GST needs. </w:t>
      </w:r>
    </w:p>
    <w:p w14:paraId="7CCE13BD" w14:textId="7F793D0A" w:rsidR="00E314F2" w:rsidRDefault="00E314F2" w:rsidP="00E808F2">
      <w:pPr>
        <w:pStyle w:val="Heading3"/>
        <w:keepNext/>
      </w:pPr>
      <w:r>
        <w:lastRenderedPageBreak/>
        <w:t>Method changes</w:t>
      </w:r>
    </w:p>
    <w:p w14:paraId="6752798F" w14:textId="3659A891" w:rsidR="0092793D" w:rsidRDefault="0092793D" w:rsidP="0092793D">
      <w:pPr>
        <w:pStyle w:val="CGC2025ParaNumbers"/>
        <w:keepNext/>
        <w:keepLines/>
      </w:pPr>
      <w:r w:rsidRPr="008F3F08">
        <w:t xml:space="preserve">The impact on the GST distribution from the method changes is shown in Table </w:t>
      </w:r>
      <w:r w:rsidRPr="008B7491">
        <w:t>3</w:t>
      </w:r>
      <w:r w:rsidR="00DB123D">
        <w:t>.</w:t>
      </w:r>
    </w:p>
    <w:p w14:paraId="620E5450" w14:textId="1C5DAA4F" w:rsidR="0092793D" w:rsidRDefault="0092793D" w:rsidP="00363964">
      <w:pPr>
        <w:pStyle w:val="CGC2025Caption"/>
        <w:keepNext/>
        <w:keepLines/>
        <w:tabs>
          <w:tab w:val="left" w:pos="1134"/>
        </w:tabs>
      </w:pPr>
      <w:r>
        <w:t xml:space="preserve">Table </w:t>
      </w:r>
      <w:r w:rsidRPr="008B7491">
        <w:t>3</w:t>
      </w:r>
      <w:r>
        <w:t xml:space="preserve"> </w:t>
      </w:r>
      <w:r>
        <w:tab/>
        <w:t>Impact on GST distribution of method changes, justice, 2025–26 to 2026–27</w:t>
      </w:r>
    </w:p>
    <w:tbl>
      <w:tblPr>
        <w:tblW w:w="8942" w:type="dxa"/>
        <w:tblLayout w:type="fixed"/>
        <w:tblLook w:val="04A0" w:firstRow="1" w:lastRow="0" w:firstColumn="1" w:lastColumn="0" w:noHBand="0" w:noVBand="1"/>
      </w:tblPr>
      <w:tblGrid>
        <w:gridCol w:w="3402"/>
        <w:gridCol w:w="615"/>
        <w:gridCol w:w="616"/>
        <w:gridCol w:w="615"/>
        <w:gridCol w:w="616"/>
        <w:gridCol w:w="615"/>
        <w:gridCol w:w="616"/>
        <w:gridCol w:w="615"/>
        <w:gridCol w:w="512"/>
        <w:gridCol w:w="720"/>
      </w:tblGrid>
      <w:tr w:rsidR="0092793D" w:rsidRPr="00C37C1D" w14:paraId="3677697B" w14:textId="77777777" w:rsidTr="00B06022">
        <w:trPr>
          <w:trHeight w:val="374"/>
        </w:trPr>
        <w:tc>
          <w:tcPr>
            <w:tcW w:w="3402" w:type="dxa"/>
            <w:tcBorders>
              <w:top w:val="nil"/>
              <w:left w:val="nil"/>
              <w:bottom w:val="nil"/>
              <w:right w:val="nil"/>
            </w:tcBorders>
            <w:shd w:val="clear" w:color="000000" w:fill="006991"/>
            <w:vAlign w:val="center"/>
            <w:hideMark/>
          </w:tcPr>
          <w:p w14:paraId="5AC57A72" w14:textId="77777777" w:rsidR="0092793D" w:rsidRPr="00C37C1D" w:rsidRDefault="0092793D" w:rsidP="00B06022">
            <w:pPr>
              <w:keepNext/>
              <w:keepLines/>
              <w:tabs>
                <w:tab w:val="clear" w:pos="567"/>
              </w:tabs>
              <w:spacing w:before="0" w:line="240" w:lineRule="auto"/>
              <w:rPr>
                <w:rFonts w:ascii="Open Sans Semibold" w:eastAsia="Times New Roman" w:hAnsi="Open Sans Semibold" w:cs="Open Sans Semibold"/>
                <w:color w:val="FFFFFF"/>
                <w:sz w:val="16"/>
                <w:szCs w:val="16"/>
                <w:lang w:eastAsia="en-AU"/>
              </w:rPr>
            </w:pPr>
            <w:r w:rsidRPr="00C37C1D">
              <w:rPr>
                <w:rFonts w:ascii="Open Sans Semibold" w:eastAsia="Times New Roman" w:hAnsi="Open Sans Semibold" w:cs="Open Sans Semibold"/>
                <w:color w:val="FFFFFF"/>
                <w:sz w:val="16"/>
                <w:szCs w:val="16"/>
                <w:lang w:eastAsia="en-AU"/>
              </w:rPr>
              <w:t> </w:t>
            </w:r>
          </w:p>
        </w:tc>
        <w:tc>
          <w:tcPr>
            <w:tcW w:w="615" w:type="dxa"/>
            <w:tcBorders>
              <w:top w:val="nil"/>
              <w:left w:val="nil"/>
              <w:bottom w:val="nil"/>
              <w:right w:val="nil"/>
            </w:tcBorders>
            <w:shd w:val="clear" w:color="000000" w:fill="006991"/>
            <w:vAlign w:val="center"/>
            <w:hideMark/>
          </w:tcPr>
          <w:p w14:paraId="64F74B24" w14:textId="77777777" w:rsidR="0092793D" w:rsidRPr="00C37C1D" w:rsidRDefault="0092793D" w:rsidP="00B06022">
            <w:pPr>
              <w:keepNext/>
              <w:keepLines/>
              <w:tabs>
                <w:tab w:val="clear" w:pos="567"/>
              </w:tabs>
              <w:spacing w:before="0" w:line="240" w:lineRule="auto"/>
              <w:jc w:val="right"/>
              <w:rPr>
                <w:rFonts w:ascii="Open Sans Semibold" w:eastAsia="Times New Roman" w:hAnsi="Open Sans Semibold" w:cs="Open Sans Semibold"/>
                <w:color w:val="FFFFFF"/>
                <w:sz w:val="16"/>
                <w:szCs w:val="16"/>
                <w:lang w:eastAsia="en-AU"/>
              </w:rPr>
            </w:pPr>
            <w:r w:rsidRPr="00C37C1D">
              <w:rPr>
                <w:rFonts w:ascii="Open Sans Semibold" w:eastAsia="Times New Roman" w:hAnsi="Open Sans Semibold" w:cs="Open Sans Semibold"/>
                <w:color w:val="FFFFFF"/>
                <w:sz w:val="16"/>
                <w:szCs w:val="16"/>
                <w:lang w:eastAsia="en-AU"/>
              </w:rPr>
              <w:t>NSW</w:t>
            </w:r>
          </w:p>
        </w:tc>
        <w:tc>
          <w:tcPr>
            <w:tcW w:w="616" w:type="dxa"/>
            <w:tcBorders>
              <w:top w:val="nil"/>
              <w:left w:val="nil"/>
              <w:bottom w:val="nil"/>
              <w:right w:val="nil"/>
            </w:tcBorders>
            <w:shd w:val="clear" w:color="000000" w:fill="006991"/>
            <w:vAlign w:val="center"/>
            <w:hideMark/>
          </w:tcPr>
          <w:p w14:paraId="7E0A9B36" w14:textId="77777777" w:rsidR="0092793D" w:rsidRPr="00C37C1D" w:rsidRDefault="0092793D" w:rsidP="00B06022">
            <w:pPr>
              <w:keepNext/>
              <w:keepLines/>
              <w:tabs>
                <w:tab w:val="clear" w:pos="567"/>
              </w:tabs>
              <w:spacing w:before="0" w:line="240" w:lineRule="auto"/>
              <w:jc w:val="right"/>
              <w:rPr>
                <w:rFonts w:ascii="Open Sans Semibold" w:eastAsia="Times New Roman" w:hAnsi="Open Sans Semibold" w:cs="Open Sans Semibold"/>
                <w:color w:val="FFFFFF"/>
                <w:sz w:val="16"/>
                <w:szCs w:val="16"/>
                <w:lang w:eastAsia="en-AU"/>
              </w:rPr>
            </w:pPr>
            <w:r w:rsidRPr="00C37C1D">
              <w:rPr>
                <w:rFonts w:ascii="Open Sans Semibold" w:eastAsia="Times New Roman" w:hAnsi="Open Sans Semibold" w:cs="Open Sans Semibold"/>
                <w:color w:val="FFFFFF"/>
                <w:sz w:val="16"/>
                <w:szCs w:val="16"/>
                <w:lang w:eastAsia="en-AU"/>
              </w:rPr>
              <w:t>Vic</w:t>
            </w:r>
          </w:p>
        </w:tc>
        <w:tc>
          <w:tcPr>
            <w:tcW w:w="615" w:type="dxa"/>
            <w:tcBorders>
              <w:top w:val="nil"/>
              <w:left w:val="nil"/>
              <w:bottom w:val="nil"/>
              <w:right w:val="nil"/>
            </w:tcBorders>
            <w:shd w:val="clear" w:color="000000" w:fill="006991"/>
            <w:vAlign w:val="center"/>
            <w:hideMark/>
          </w:tcPr>
          <w:p w14:paraId="77F15F79" w14:textId="77777777" w:rsidR="0092793D" w:rsidRPr="00C37C1D" w:rsidRDefault="0092793D" w:rsidP="00B06022">
            <w:pPr>
              <w:keepNext/>
              <w:keepLines/>
              <w:tabs>
                <w:tab w:val="clear" w:pos="567"/>
              </w:tabs>
              <w:spacing w:before="0" w:line="240" w:lineRule="auto"/>
              <w:jc w:val="right"/>
              <w:rPr>
                <w:rFonts w:ascii="Open Sans Semibold" w:eastAsia="Times New Roman" w:hAnsi="Open Sans Semibold" w:cs="Open Sans Semibold"/>
                <w:color w:val="FFFFFF"/>
                <w:sz w:val="16"/>
                <w:szCs w:val="16"/>
                <w:lang w:eastAsia="en-AU"/>
              </w:rPr>
            </w:pPr>
            <w:r w:rsidRPr="00C37C1D">
              <w:rPr>
                <w:rFonts w:ascii="Open Sans Semibold" w:eastAsia="Times New Roman" w:hAnsi="Open Sans Semibold" w:cs="Open Sans Semibold"/>
                <w:color w:val="FFFFFF"/>
                <w:sz w:val="16"/>
                <w:szCs w:val="16"/>
                <w:lang w:eastAsia="en-AU"/>
              </w:rPr>
              <w:t>Qld</w:t>
            </w:r>
          </w:p>
        </w:tc>
        <w:tc>
          <w:tcPr>
            <w:tcW w:w="616" w:type="dxa"/>
            <w:tcBorders>
              <w:top w:val="nil"/>
              <w:left w:val="nil"/>
              <w:bottom w:val="nil"/>
              <w:right w:val="nil"/>
            </w:tcBorders>
            <w:shd w:val="clear" w:color="000000" w:fill="006991"/>
            <w:vAlign w:val="center"/>
            <w:hideMark/>
          </w:tcPr>
          <w:p w14:paraId="01E8A4B7" w14:textId="77777777" w:rsidR="0092793D" w:rsidRPr="00C37C1D" w:rsidRDefault="0092793D" w:rsidP="00B06022">
            <w:pPr>
              <w:keepNext/>
              <w:keepLines/>
              <w:tabs>
                <w:tab w:val="clear" w:pos="567"/>
              </w:tabs>
              <w:spacing w:before="0" w:line="240" w:lineRule="auto"/>
              <w:jc w:val="right"/>
              <w:rPr>
                <w:rFonts w:ascii="Open Sans Semibold" w:eastAsia="Times New Roman" w:hAnsi="Open Sans Semibold" w:cs="Open Sans Semibold"/>
                <w:color w:val="FFFFFF"/>
                <w:sz w:val="16"/>
                <w:szCs w:val="16"/>
                <w:lang w:eastAsia="en-AU"/>
              </w:rPr>
            </w:pPr>
            <w:r w:rsidRPr="00C37C1D">
              <w:rPr>
                <w:rFonts w:ascii="Open Sans Semibold" w:eastAsia="Times New Roman" w:hAnsi="Open Sans Semibold" w:cs="Open Sans Semibold"/>
                <w:color w:val="FFFFFF"/>
                <w:sz w:val="16"/>
                <w:szCs w:val="16"/>
                <w:lang w:eastAsia="en-AU"/>
              </w:rPr>
              <w:t>WA</w:t>
            </w:r>
          </w:p>
        </w:tc>
        <w:tc>
          <w:tcPr>
            <w:tcW w:w="615" w:type="dxa"/>
            <w:tcBorders>
              <w:top w:val="nil"/>
              <w:left w:val="nil"/>
              <w:bottom w:val="nil"/>
              <w:right w:val="nil"/>
            </w:tcBorders>
            <w:shd w:val="clear" w:color="000000" w:fill="006991"/>
            <w:vAlign w:val="center"/>
            <w:hideMark/>
          </w:tcPr>
          <w:p w14:paraId="5503A86B" w14:textId="77777777" w:rsidR="0092793D" w:rsidRPr="00C37C1D" w:rsidRDefault="0092793D" w:rsidP="00B06022">
            <w:pPr>
              <w:keepNext/>
              <w:keepLines/>
              <w:tabs>
                <w:tab w:val="clear" w:pos="567"/>
              </w:tabs>
              <w:spacing w:before="0" w:line="240" w:lineRule="auto"/>
              <w:jc w:val="right"/>
              <w:rPr>
                <w:rFonts w:ascii="Open Sans Semibold" w:eastAsia="Times New Roman" w:hAnsi="Open Sans Semibold" w:cs="Open Sans Semibold"/>
                <w:color w:val="FFFFFF"/>
                <w:sz w:val="16"/>
                <w:szCs w:val="16"/>
                <w:lang w:eastAsia="en-AU"/>
              </w:rPr>
            </w:pPr>
            <w:r w:rsidRPr="00C37C1D">
              <w:rPr>
                <w:rFonts w:ascii="Open Sans Semibold" w:eastAsia="Times New Roman" w:hAnsi="Open Sans Semibold" w:cs="Open Sans Semibold"/>
                <w:color w:val="FFFFFF"/>
                <w:sz w:val="16"/>
                <w:szCs w:val="16"/>
                <w:lang w:eastAsia="en-AU"/>
              </w:rPr>
              <w:t>SA</w:t>
            </w:r>
          </w:p>
        </w:tc>
        <w:tc>
          <w:tcPr>
            <w:tcW w:w="616" w:type="dxa"/>
            <w:tcBorders>
              <w:top w:val="nil"/>
              <w:left w:val="nil"/>
              <w:bottom w:val="nil"/>
              <w:right w:val="nil"/>
            </w:tcBorders>
            <w:shd w:val="clear" w:color="000000" w:fill="006991"/>
            <w:vAlign w:val="center"/>
            <w:hideMark/>
          </w:tcPr>
          <w:p w14:paraId="0860E399" w14:textId="77777777" w:rsidR="0092793D" w:rsidRPr="00C37C1D" w:rsidRDefault="0092793D" w:rsidP="00B06022">
            <w:pPr>
              <w:keepNext/>
              <w:keepLines/>
              <w:tabs>
                <w:tab w:val="clear" w:pos="567"/>
              </w:tabs>
              <w:spacing w:before="0" w:line="240" w:lineRule="auto"/>
              <w:jc w:val="right"/>
              <w:rPr>
                <w:rFonts w:ascii="Open Sans Semibold" w:eastAsia="Times New Roman" w:hAnsi="Open Sans Semibold" w:cs="Open Sans Semibold"/>
                <w:color w:val="FFFFFF"/>
                <w:sz w:val="16"/>
                <w:szCs w:val="16"/>
                <w:lang w:eastAsia="en-AU"/>
              </w:rPr>
            </w:pPr>
            <w:r w:rsidRPr="00C37C1D">
              <w:rPr>
                <w:rFonts w:ascii="Open Sans Semibold" w:eastAsia="Times New Roman" w:hAnsi="Open Sans Semibold" w:cs="Open Sans Semibold"/>
                <w:color w:val="FFFFFF"/>
                <w:sz w:val="16"/>
                <w:szCs w:val="16"/>
                <w:lang w:eastAsia="en-AU"/>
              </w:rPr>
              <w:t>Tas</w:t>
            </w:r>
          </w:p>
        </w:tc>
        <w:tc>
          <w:tcPr>
            <w:tcW w:w="615" w:type="dxa"/>
            <w:tcBorders>
              <w:top w:val="nil"/>
              <w:left w:val="nil"/>
              <w:bottom w:val="nil"/>
              <w:right w:val="nil"/>
            </w:tcBorders>
            <w:shd w:val="clear" w:color="000000" w:fill="006991"/>
            <w:vAlign w:val="center"/>
            <w:hideMark/>
          </w:tcPr>
          <w:p w14:paraId="08081D15" w14:textId="77777777" w:rsidR="0092793D" w:rsidRPr="00C37C1D" w:rsidRDefault="0092793D" w:rsidP="00B06022">
            <w:pPr>
              <w:keepNext/>
              <w:keepLines/>
              <w:tabs>
                <w:tab w:val="clear" w:pos="567"/>
              </w:tabs>
              <w:spacing w:before="0" w:line="240" w:lineRule="auto"/>
              <w:jc w:val="right"/>
              <w:rPr>
                <w:rFonts w:ascii="Open Sans Semibold" w:eastAsia="Times New Roman" w:hAnsi="Open Sans Semibold" w:cs="Open Sans Semibold"/>
                <w:color w:val="FFFFFF"/>
                <w:sz w:val="16"/>
                <w:szCs w:val="16"/>
                <w:lang w:eastAsia="en-AU"/>
              </w:rPr>
            </w:pPr>
            <w:r w:rsidRPr="00C37C1D">
              <w:rPr>
                <w:rFonts w:ascii="Open Sans Semibold" w:eastAsia="Times New Roman" w:hAnsi="Open Sans Semibold" w:cs="Open Sans Semibold"/>
                <w:color w:val="FFFFFF"/>
                <w:sz w:val="16"/>
                <w:szCs w:val="16"/>
                <w:lang w:eastAsia="en-AU"/>
              </w:rPr>
              <w:t>ACT</w:t>
            </w:r>
          </w:p>
        </w:tc>
        <w:tc>
          <w:tcPr>
            <w:tcW w:w="512" w:type="dxa"/>
            <w:tcBorders>
              <w:top w:val="nil"/>
              <w:left w:val="nil"/>
              <w:bottom w:val="nil"/>
              <w:right w:val="nil"/>
            </w:tcBorders>
            <w:shd w:val="clear" w:color="000000" w:fill="006991"/>
            <w:vAlign w:val="center"/>
            <w:hideMark/>
          </w:tcPr>
          <w:p w14:paraId="3A506075" w14:textId="77777777" w:rsidR="0092793D" w:rsidRPr="00C37C1D" w:rsidRDefault="0092793D" w:rsidP="00B06022">
            <w:pPr>
              <w:keepNext/>
              <w:keepLines/>
              <w:tabs>
                <w:tab w:val="clear" w:pos="567"/>
              </w:tabs>
              <w:spacing w:before="0" w:line="240" w:lineRule="auto"/>
              <w:jc w:val="right"/>
              <w:rPr>
                <w:rFonts w:ascii="Open Sans Semibold" w:eastAsia="Times New Roman" w:hAnsi="Open Sans Semibold" w:cs="Open Sans Semibold"/>
                <w:color w:val="FFFFFF"/>
                <w:sz w:val="16"/>
                <w:szCs w:val="16"/>
                <w:lang w:eastAsia="en-AU"/>
              </w:rPr>
            </w:pPr>
            <w:r w:rsidRPr="00C37C1D">
              <w:rPr>
                <w:rFonts w:ascii="Open Sans Semibold" w:eastAsia="Times New Roman" w:hAnsi="Open Sans Semibold" w:cs="Open Sans Semibold"/>
                <w:color w:val="FFFFFF"/>
                <w:sz w:val="16"/>
                <w:szCs w:val="16"/>
                <w:lang w:eastAsia="en-AU"/>
              </w:rPr>
              <w:t>NT</w:t>
            </w:r>
          </w:p>
        </w:tc>
        <w:tc>
          <w:tcPr>
            <w:tcW w:w="720" w:type="dxa"/>
            <w:tcBorders>
              <w:top w:val="nil"/>
              <w:left w:val="nil"/>
              <w:bottom w:val="nil"/>
              <w:right w:val="nil"/>
            </w:tcBorders>
            <w:shd w:val="clear" w:color="000000" w:fill="006991"/>
            <w:vAlign w:val="center"/>
            <w:hideMark/>
          </w:tcPr>
          <w:p w14:paraId="38913A54" w14:textId="3268EB76" w:rsidR="0092793D" w:rsidRPr="00C37C1D" w:rsidRDefault="0092793D" w:rsidP="00B06022">
            <w:pPr>
              <w:keepNext/>
              <w:keepLines/>
              <w:tabs>
                <w:tab w:val="clear" w:pos="567"/>
              </w:tabs>
              <w:spacing w:before="0" w:line="240" w:lineRule="auto"/>
              <w:jc w:val="right"/>
              <w:rPr>
                <w:rFonts w:ascii="Open Sans Semibold" w:eastAsia="Times New Roman" w:hAnsi="Open Sans Semibold" w:cs="Open Sans Semibold"/>
                <w:color w:val="FFFFFF"/>
                <w:sz w:val="16"/>
                <w:szCs w:val="16"/>
                <w:lang w:eastAsia="en-AU"/>
              </w:rPr>
            </w:pPr>
            <w:r w:rsidRPr="00C37C1D">
              <w:rPr>
                <w:rFonts w:ascii="Open Sans Semibold" w:eastAsia="Times New Roman" w:hAnsi="Open Sans Semibold" w:cs="Open Sans Semibold"/>
                <w:color w:val="FFFFFF"/>
                <w:sz w:val="16"/>
                <w:szCs w:val="16"/>
                <w:lang w:eastAsia="en-AU"/>
              </w:rPr>
              <w:t xml:space="preserve">Total </w:t>
            </w:r>
            <w:r w:rsidR="00C54491">
              <w:rPr>
                <w:rFonts w:ascii="Open Sans Semibold" w:eastAsia="Times New Roman" w:hAnsi="Open Sans Semibold" w:cs="Open Sans Semibold"/>
                <w:color w:val="FFFFFF"/>
                <w:sz w:val="16"/>
                <w:szCs w:val="16"/>
                <w:lang w:eastAsia="en-AU"/>
              </w:rPr>
              <w:t>e</w:t>
            </w:r>
            <w:r w:rsidRPr="00C37C1D">
              <w:rPr>
                <w:rFonts w:ascii="Open Sans Semibold" w:eastAsia="Times New Roman" w:hAnsi="Open Sans Semibold" w:cs="Open Sans Semibold"/>
                <w:color w:val="FFFFFF"/>
                <w:sz w:val="16"/>
                <w:szCs w:val="16"/>
                <w:lang w:eastAsia="en-AU"/>
              </w:rPr>
              <w:t>ffect</w:t>
            </w:r>
          </w:p>
        </w:tc>
      </w:tr>
      <w:tr w:rsidR="0092793D" w:rsidRPr="00C37C1D" w14:paraId="3B35462C" w14:textId="77777777" w:rsidTr="00B06022">
        <w:trPr>
          <w:trHeight w:val="249"/>
        </w:trPr>
        <w:tc>
          <w:tcPr>
            <w:tcW w:w="3402" w:type="dxa"/>
            <w:tcBorders>
              <w:top w:val="single" w:sz="8" w:space="0" w:color="ADD6EA"/>
              <w:left w:val="nil"/>
              <w:bottom w:val="nil"/>
              <w:right w:val="nil"/>
            </w:tcBorders>
            <w:shd w:val="clear" w:color="000000" w:fill="B6D5E4"/>
            <w:vAlign w:val="bottom"/>
            <w:hideMark/>
          </w:tcPr>
          <w:p w14:paraId="1E1659AB" w14:textId="77777777" w:rsidR="0092793D" w:rsidRPr="00C37C1D" w:rsidRDefault="0092793D" w:rsidP="00B06022">
            <w:pPr>
              <w:keepNext/>
              <w:keepLines/>
              <w:tabs>
                <w:tab w:val="clear" w:pos="567"/>
              </w:tabs>
              <w:spacing w:before="0" w:line="240" w:lineRule="auto"/>
              <w:rPr>
                <w:rFonts w:ascii="Open Sans Semibold" w:eastAsia="Times New Roman" w:hAnsi="Open Sans Semibold" w:cs="Open Sans Semibold"/>
                <w:color w:val="000000"/>
                <w:sz w:val="16"/>
                <w:szCs w:val="16"/>
                <w:lang w:eastAsia="en-AU"/>
              </w:rPr>
            </w:pPr>
            <w:r w:rsidRPr="00C37C1D">
              <w:rPr>
                <w:rFonts w:ascii="Open Sans Semibold" w:eastAsia="Times New Roman" w:hAnsi="Open Sans Semibold" w:cs="Open Sans Semibold"/>
                <w:color w:val="000000"/>
                <w:sz w:val="16"/>
                <w:szCs w:val="16"/>
                <w:lang w:eastAsia="en-AU"/>
              </w:rPr>
              <w:t> </w:t>
            </w:r>
          </w:p>
        </w:tc>
        <w:tc>
          <w:tcPr>
            <w:tcW w:w="615" w:type="dxa"/>
            <w:tcBorders>
              <w:top w:val="single" w:sz="8" w:space="0" w:color="ADD6EA"/>
              <w:left w:val="nil"/>
              <w:bottom w:val="nil"/>
              <w:right w:val="nil"/>
            </w:tcBorders>
            <w:shd w:val="clear" w:color="000000" w:fill="B6D5E4"/>
            <w:vAlign w:val="bottom"/>
            <w:hideMark/>
          </w:tcPr>
          <w:p w14:paraId="5A7AC19F" w14:textId="77777777" w:rsidR="0092793D" w:rsidRPr="00C37C1D" w:rsidRDefault="0092793D" w:rsidP="00B06022">
            <w:pPr>
              <w:keepNext/>
              <w:keepLines/>
              <w:tabs>
                <w:tab w:val="clear" w:pos="567"/>
              </w:tabs>
              <w:spacing w:before="0" w:line="240" w:lineRule="auto"/>
              <w:jc w:val="right"/>
              <w:rPr>
                <w:rFonts w:ascii="Open Sans Semibold" w:eastAsia="Times New Roman" w:hAnsi="Open Sans Semibold" w:cs="Open Sans Semibold"/>
                <w:color w:val="000000"/>
                <w:sz w:val="16"/>
                <w:szCs w:val="16"/>
                <w:lang w:eastAsia="en-AU"/>
              </w:rPr>
            </w:pPr>
            <w:r w:rsidRPr="00C37C1D">
              <w:rPr>
                <w:rFonts w:ascii="Open Sans Semibold" w:eastAsia="Times New Roman" w:hAnsi="Open Sans Semibold" w:cs="Open Sans Semibold"/>
                <w:color w:val="000000"/>
                <w:sz w:val="16"/>
                <w:szCs w:val="16"/>
                <w:lang w:eastAsia="en-AU"/>
              </w:rPr>
              <w:t>$m</w:t>
            </w:r>
          </w:p>
        </w:tc>
        <w:tc>
          <w:tcPr>
            <w:tcW w:w="616" w:type="dxa"/>
            <w:tcBorders>
              <w:top w:val="single" w:sz="8" w:space="0" w:color="ADD6EA"/>
              <w:left w:val="nil"/>
              <w:bottom w:val="nil"/>
              <w:right w:val="nil"/>
            </w:tcBorders>
            <w:shd w:val="clear" w:color="000000" w:fill="B6D5E4"/>
            <w:vAlign w:val="bottom"/>
            <w:hideMark/>
          </w:tcPr>
          <w:p w14:paraId="3262DC0F" w14:textId="77777777" w:rsidR="0092793D" w:rsidRPr="00C37C1D" w:rsidRDefault="0092793D" w:rsidP="00B06022">
            <w:pPr>
              <w:keepNext/>
              <w:keepLines/>
              <w:tabs>
                <w:tab w:val="clear" w:pos="567"/>
              </w:tabs>
              <w:spacing w:before="0" w:line="240" w:lineRule="auto"/>
              <w:jc w:val="right"/>
              <w:rPr>
                <w:rFonts w:ascii="Open Sans Semibold" w:eastAsia="Times New Roman" w:hAnsi="Open Sans Semibold" w:cs="Open Sans Semibold"/>
                <w:color w:val="000000"/>
                <w:sz w:val="16"/>
                <w:szCs w:val="16"/>
                <w:lang w:eastAsia="en-AU"/>
              </w:rPr>
            </w:pPr>
            <w:r w:rsidRPr="00C37C1D">
              <w:rPr>
                <w:rFonts w:ascii="Open Sans Semibold" w:eastAsia="Times New Roman" w:hAnsi="Open Sans Semibold" w:cs="Open Sans Semibold"/>
                <w:color w:val="000000"/>
                <w:sz w:val="16"/>
                <w:szCs w:val="16"/>
                <w:lang w:eastAsia="en-AU"/>
              </w:rPr>
              <w:t>$m</w:t>
            </w:r>
          </w:p>
        </w:tc>
        <w:tc>
          <w:tcPr>
            <w:tcW w:w="615" w:type="dxa"/>
            <w:tcBorders>
              <w:top w:val="single" w:sz="8" w:space="0" w:color="ADD6EA"/>
              <w:left w:val="nil"/>
              <w:bottom w:val="nil"/>
              <w:right w:val="nil"/>
            </w:tcBorders>
            <w:shd w:val="clear" w:color="000000" w:fill="B6D5E4"/>
            <w:vAlign w:val="bottom"/>
            <w:hideMark/>
          </w:tcPr>
          <w:p w14:paraId="15A1097D" w14:textId="77777777" w:rsidR="0092793D" w:rsidRPr="00C37C1D" w:rsidRDefault="0092793D" w:rsidP="00B06022">
            <w:pPr>
              <w:keepNext/>
              <w:keepLines/>
              <w:tabs>
                <w:tab w:val="clear" w:pos="567"/>
              </w:tabs>
              <w:spacing w:before="0" w:line="240" w:lineRule="auto"/>
              <w:jc w:val="right"/>
              <w:rPr>
                <w:rFonts w:ascii="Open Sans Semibold" w:eastAsia="Times New Roman" w:hAnsi="Open Sans Semibold" w:cs="Open Sans Semibold"/>
                <w:color w:val="000000"/>
                <w:sz w:val="16"/>
                <w:szCs w:val="16"/>
                <w:lang w:eastAsia="en-AU"/>
              </w:rPr>
            </w:pPr>
            <w:r w:rsidRPr="00C37C1D">
              <w:rPr>
                <w:rFonts w:ascii="Open Sans Semibold" w:eastAsia="Times New Roman" w:hAnsi="Open Sans Semibold" w:cs="Open Sans Semibold"/>
                <w:color w:val="000000"/>
                <w:sz w:val="16"/>
                <w:szCs w:val="16"/>
                <w:lang w:eastAsia="en-AU"/>
              </w:rPr>
              <w:t>$m</w:t>
            </w:r>
          </w:p>
        </w:tc>
        <w:tc>
          <w:tcPr>
            <w:tcW w:w="616" w:type="dxa"/>
            <w:tcBorders>
              <w:top w:val="single" w:sz="8" w:space="0" w:color="ADD6EA"/>
              <w:left w:val="nil"/>
              <w:bottom w:val="nil"/>
              <w:right w:val="nil"/>
            </w:tcBorders>
            <w:shd w:val="clear" w:color="000000" w:fill="B6D5E4"/>
            <w:vAlign w:val="bottom"/>
            <w:hideMark/>
          </w:tcPr>
          <w:p w14:paraId="5DF5B250" w14:textId="77777777" w:rsidR="0092793D" w:rsidRPr="00C37C1D" w:rsidRDefault="0092793D" w:rsidP="00B06022">
            <w:pPr>
              <w:keepNext/>
              <w:keepLines/>
              <w:tabs>
                <w:tab w:val="clear" w:pos="567"/>
              </w:tabs>
              <w:spacing w:before="0" w:line="240" w:lineRule="auto"/>
              <w:jc w:val="right"/>
              <w:rPr>
                <w:rFonts w:ascii="Open Sans Semibold" w:eastAsia="Times New Roman" w:hAnsi="Open Sans Semibold" w:cs="Open Sans Semibold"/>
                <w:color w:val="000000"/>
                <w:sz w:val="16"/>
                <w:szCs w:val="16"/>
                <w:lang w:eastAsia="en-AU"/>
              </w:rPr>
            </w:pPr>
            <w:r w:rsidRPr="00C37C1D">
              <w:rPr>
                <w:rFonts w:ascii="Open Sans Semibold" w:eastAsia="Times New Roman" w:hAnsi="Open Sans Semibold" w:cs="Open Sans Semibold"/>
                <w:color w:val="000000"/>
                <w:sz w:val="16"/>
                <w:szCs w:val="16"/>
                <w:lang w:eastAsia="en-AU"/>
              </w:rPr>
              <w:t>$m</w:t>
            </w:r>
          </w:p>
        </w:tc>
        <w:tc>
          <w:tcPr>
            <w:tcW w:w="615" w:type="dxa"/>
            <w:tcBorders>
              <w:top w:val="single" w:sz="8" w:space="0" w:color="ADD6EA"/>
              <w:left w:val="nil"/>
              <w:bottom w:val="nil"/>
              <w:right w:val="nil"/>
            </w:tcBorders>
            <w:shd w:val="clear" w:color="000000" w:fill="B6D5E4"/>
            <w:vAlign w:val="bottom"/>
            <w:hideMark/>
          </w:tcPr>
          <w:p w14:paraId="35C67FDA" w14:textId="77777777" w:rsidR="0092793D" w:rsidRPr="00C37C1D" w:rsidRDefault="0092793D" w:rsidP="00B06022">
            <w:pPr>
              <w:keepNext/>
              <w:keepLines/>
              <w:tabs>
                <w:tab w:val="clear" w:pos="567"/>
              </w:tabs>
              <w:spacing w:before="0" w:line="240" w:lineRule="auto"/>
              <w:jc w:val="right"/>
              <w:rPr>
                <w:rFonts w:ascii="Open Sans Semibold" w:eastAsia="Times New Roman" w:hAnsi="Open Sans Semibold" w:cs="Open Sans Semibold"/>
                <w:color w:val="000000"/>
                <w:sz w:val="16"/>
                <w:szCs w:val="16"/>
                <w:lang w:eastAsia="en-AU"/>
              </w:rPr>
            </w:pPr>
            <w:r w:rsidRPr="00C37C1D">
              <w:rPr>
                <w:rFonts w:ascii="Open Sans Semibold" w:eastAsia="Times New Roman" w:hAnsi="Open Sans Semibold" w:cs="Open Sans Semibold"/>
                <w:color w:val="000000"/>
                <w:sz w:val="16"/>
                <w:szCs w:val="16"/>
                <w:lang w:eastAsia="en-AU"/>
              </w:rPr>
              <w:t>$m</w:t>
            </w:r>
          </w:p>
        </w:tc>
        <w:tc>
          <w:tcPr>
            <w:tcW w:w="616" w:type="dxa"/>
            <w:tcBorders>
              <w:top w:val="single" w:sz="8" w:space="0" w:color="ADD6EA"/>
              <w:left w:val="nil"/>
              <w:bottom w:val="nil"/>
              <w:right w:val="nil"/>
            </w:tcBorders>
            <w:shd w:val="clear" w:color="000000" w:fill="B6D5E4"/>
            <w:vAlign w:val="bottom"/>
            <w:hideMark/>
          </w:tcPr>
          <w:p w14:paraId="1B23B167" w14:textId="77777777" w:rsidR="0092793D" w:rsidRPr="00C37C1D" w:rsidRDefault="0092793D" w:rsidP="00B06022">
            <w:pPr>
              <w:keepNext/>
              <w:keepLines/>
              <w:tabs>
                <w:tab w:val="clear" w:pos="567"/>
              </w:tabs>
              <w:spacing w:before="0" w:line="240" w:lineRule="auto"/>
              <w:jc w:val="right"/>
              <w:rPr>
                <w:rFonts w:ascii="Open Sans Semibold" w:eastAsia="Times New Roman" w:hAnsi="Open Sans Semibold" w:cs="Open Sans Semibold"/>
                <w:color w:val="000000"/>
                <w:sz w:val="16"/>
                <w:szCs w:val="16"/>
                <w:lang w:eastAsia="en-AU"/>
              </w:rPr>
            </w:pPr>
            <w:r w:rsidRPr="00C37C1D">
              <w:rPr>
                <w:rFonts w:ascii="Open Sans Semibold" w:eastAsia="Times New Roman" w:hAnsi="Open Sans Semibold" w:cs="Open Sans Semibold"/>
                <w:color w:val="000000"/>
                <w:sz w:val="16"/>
                <w:szCs w:val="16"/>
                <w:lang w:eastAsia="en-AU"/>
              </w:rPr>
              <w:t>$m</w:t>
            </w:r>
          </w:p>
        </w:tc>
        <w:tc>
          <w:tcPr>
            <w:tcW w:w="615" w:type="dxa"/>
            <w:tcBorders>
              <w:top w:val="single" w:sz="8" w:space="0" w:color="ADD6EA"/>
              <w:left w:val="nil"/>
              <w:bottom w:val="nil"/>
              <w:right w:val="nil"/>
            </w:tcBorders>
            <w:shd w:val="clear" w:color="000000" w:fill="B6D5E4"/>
            <w:vAlign w:val="bottom"/>
            <w:hideMark/>
          </w:tcPr>
          <w:p w14:paraId="435982C7" w14:textId="77777777" w:rsidR="0092793D" w:rsidRPr="00C37C1D" w:rsidRDefault="0092793D" w:rsidP="00B06022">
            <w:pPr>
              <w:keepNext/>
              <w:keepLines/>
              <w:tabs>
                <w:tab w:val="clear" w:pos="567"/>
              </w:tabs>
              <w:spacing w:before="0" w:line="240" w:lineRule="auto"/>
              <w:jc w:val="right"/>
              <w:rPr>
                <w:rFonts w:ascii="Open Sans Semibold" w:eastAsia="Times New Roman" w:hAnsi="Open Sans Semibold" w:cs="Open Sans Semibold"/>
                <w:color w:val="000000"/>
                <w:sz w:val="16"/>
                <w:szCs w:val="16"/>
                <w:lang w:eastAsia="en-AU"/>
              </w:rPr>
            </w:pPr>
            <w:r w:rsidRPr="00C37C1D">
              <w:rPr>
                <w:rFonts w:ascii="Open Sans Semibold" w:eastAsia="Times New Roman" w:hAnsi="Open Sans Semibold" w:cs="Open Sans Semibold"/>
                <w:color w:val="000000"/>
                <w:sz w:val="16"/>
                <w:szCs w:val="16"/>
                <w:lang w:eastAsia="en-AU"/>
              </w:rPr>
              <w:t>$m</w:t>
            </w:r>
          </w:p>
        </w:tc>
        <w:tc>
          <w:tcPr>
            <w:tcW w:w="512" w:type="dxa"/>
            <w:tcBorders>
              <w:top w:val="single" w:sz="8" w:space="0" w:color="ADD6EA"/>
              <w:left w:val="nil"/>
              <w:bottom w:val="nil"/>
              <w:right w:val="nil"/>
            </w:tcBorders>
            <w:shd w:val="clear" w:color="000000" w:fill="B6D5E4"/>
            <w:vAlign w:val="bottom"/>
            <w:hideMark/>
          </w:tcPr>
          <w:p w14:paraId="5BFAD546" w14:textId="77777777" w:rsidR="0092793D" w:rsidRPr="00C37C1D" w:rsidRDefault="0092793D" w:rsidP="00B06022">
            <w:pPr>
              <w:keepNext/>
              <w:keepLines/>
              <w:tabs>
                <w:tab w:val="clear" w:pos="567"/>
              </w:tabs>
              <w:spacing w:before="0" w:line="240" w:lineRule="auto"/>
              <w:jc w:val="right"/>
              <w:rPr>
                <w:rFonts w:ascii="Open Sans Semibold" w:eastAsia="Times New Roman" w:hAnsi="Open Sans Semibold" w:cs="Open Sans Semibold"/>
                <w:color w:val="000000"/>
                <w:sz w:val="16"/>
                <w:szCs w:val="16"/>
                <w:lang w:eastAsia="en-AU"/>
              </w:rPr>
            </w:pPr>
            <w:r w:rsidRPr="00C37C1D">
              <w:rPr>
                <w:rFonts w:ascii="Open Sans Semibold" w:eastAsia="Times New Roman" w:hAnsi="Open Sans Semibold" w:cs="Open Sans Semibold"/>
                <w:color w:val="000000"/>
                <w:sz w:val="16"/>
                <w:szCs w:val="16"/>
                <w:lang w:eastAsia="en-AU"/>
              </w:rPr>
              <w:t>$m</w:t>
            </w:r>
          </w:p>
        </w:tc>
        <w:tc>
          <w:tcPr>
            <w:tcW w:w="720" w:type="dxa"/>
            <w:tcBorders>
              <w:top w:val="single" w:sz="8" w:space="0" w:color="ADD6EA"/>
              <w:left w:val="nil"/>
              <w:bottom w:val="nil"/>
              <w:right w:val="nil"/>
            </w:tcBorders>
            <w:shd w:val="clear" w:color="000000" w:fill="B6D5E4"/>
            <w:vAlign w:val="bottom"/>
            <w:hideMark/>
          </w:tcPr>
          <w:p w14:paraId="40D4B51F" w14:textId="77777777" w:rsidR="0092793D" w:rsidRPr="00C37C1D" w:rsidRDefault="0092793D" w:rsidP="00B06022">
            <w:pPr>
              <w:keepNext/>
              <w:keepLines/>
              <w:tabs>
                <w:tab w:val="clear" w:pos="567"/>
              </w:tabs>
              <w:spacing w:before="0" w:line="240" w:lineRule="auto"/>
              <w:jc w:val="right"/>
              <w:rPr>
                <w:rFonts w:ascii="Open Sans Semibold" w:eastAsia="Times New Roman" w:hAnsi="Open Sans Semibold" w:cs="Open Sans Semibold"/>
                <w:color w:val="000000"/>
                <w:sz w:val="16"/>
                <w:szCs w:val="16"/>
                <w:lang w:eastAsia="en-AU"/>
              </w:rPr>
            </w:pPr>
            <w:r w:rsidRPr="00C37C1D">
              <w:rPr>
                <w:rFonts w:ascii="Open Sans Semibold" w:eastAsia="Times New Roman" w:hAnsi="Open Sans Semibold" w:cs="Open Sans Semibold"/>
                <w:color w:val="000000"/>
                <w:sz w:val="16"/>
                <w:szCs w:val="16"/>
                <w:lang w:eastAsia="en-AU"/>
              </w:rPr>
              <w:t>$m</w:t>
            </w:r>
          </w:p>
        </w:tc>
      </w:tr>
      <w:tr w:rsidR="004322B5" w:rsidRPr="00C37C1D" w14:paraId="4682A2B7" w14:textId="77777777" w:rsidTr="00B06022">
        <w:trPr>
          <w:trHeight w:val="318"/>
        </w:trPr>
        <w:tc>
          <w:tcPr>
            <w:tcW w:w="3402" w:type="dxa"/>
            <w:tcBorders>
              <w:top w:val="single" w:sz="4" w:space="0" w:color="ADD6EA"/>
              <w:left w:val="nil"/>
              <w:bottom w:val="nil"/>
              <w:right w:val="nil"/>
            </w:tcBorders>
            <w:shd w:val="clear" w:color="000000" w:fill="FFFFFF"/>
            <w:vAlign w:val="bottom"/>
            <w:hideMark/>
          </w:tcPr>
          <w:p w14:paraId="05D1CCA5" w14:textId="77777777" w:rsidR="004322B5" w:rsidRPr="00C37C1D" w:rsidRDefault="004322B5" w:rsidP="004322B5">
            <w:pPr>
              <w:keepNext/>
              <w:keepLines/>
              <w:tabs>
                <w:tab w:val="clear" w:pos="567"/>
              </w:tabs>
              <w:spacing w:before="0" w:line="240" w:lineRule="auto"/>
              <w:rPr>
                <w:rFonts w:ascii="Open Sans Semibold" w:eastAsia="Times New Roman" w:hAnsi="Open Sans Semibold" w:cs="Open Sans Semibold"/>
                <w:b/>
                <w:bCs/>
                <w:color w:val="000000"/>
                <w:sz w:val="16"/>
                <w:szCs w:val="16"/>
                <w:lang w:eastAsia="en-AU"/>
              </w:rPr>
            </w:pPr>
            <w:r w:rsidRPr="009A5975">
              <w:rPr>
                <w:rFonts w:ascii="Open Sans Semibold" w:eastAsia="Times New Roman" w:hAnsi="Open Sans Semibold" w:cs="Open Sans Semibold"/>
                <w:color w:val="000000"/>
                <w:sz w:val="16"/>
                <w:szCs w:val="16"/>
                <w:lang w:eastAsia="en-AU"/>
              </w:rPr>
              <w:t>Police</w:t>
            </w:r>
          </w:p>
        </w:tc>
        <w:tc>
          <w:tcPr>
            <w:tcW w:w="615" w:type="dxa"/>
            <w:tcBorders>
              <w:top w:val="single" w:sz="4" w:space="0" w:color="ADD6EA"/>
              <w:left w:val="nil"/>
              <w:bottom w:val="nil"/>
              <w:right w:val="nil"/>
            </w:tcBorders>
            <w:shd w:val="clear" w:color="000000" w:fill="FFFFFF"/>
            <w:vAlign w:val="bottom"/>
            <w:hideMark/>
          </w:tcPr>
          <w:p w14:paraId="5CA4946E" w14:textId="51BBFB53" w:rsidR="004322B5" w:rsidRPr="008246C1" w:rsidRDefault="004322B5" w:rsidP="004322B5">
            <w:pPr>
              <w:keepNext/>
              <w:keepLines/>
              <w:tabs>
                <w:tab w:val="clear" w:pos="567"/>
              </w:tabs>
              <w:spacing w:before="0" w:line="240" w:lineRule="auto"/>
              <w:jc w:val="right"/>
              <w:rPr>
                <w:rFonts w:ascii="Open Sans Semibold" w:eastAsia="Times New Roman" w:hAnsi="Open Sans Semibold" w:cs="Open Sans Semibold"/>
                <w:color w:val="000000"/>
                <w:sz w:val="16"/>
                <w:szCs w:val="16"/>
                <w:highlight w:val="yellow"/>
                <w:lang w:eastAsia="en-AU"/>
              </w:rPr>
            </w:pPr>
            <w:r>
              <w:rPr>
                <w:rFonts w:ascii="Open Sans Semibold" w:hAnsi="Open Sans Semibold" w:cs="Open Sans Semibold"/>
                <w:color w:val="000000"/>
                <w:sz w:val="16"/>
                <w:szCs w:val="16"/>
              </w:rPr>
              <w:t>15</w:t>
            </w:r>
          </w:p>
        </w:tc>
        <w:tc>
          <w:tcPr>
            <w:tcW w:w="616" w:type="dxa"/>
            <w:tcBorders>
              <w:top w:val="single" w:sz="4" w:space="0" w:color="ADD6EA"/>
              <w:left w:val="nil"/>
              <w:bottom w:val="nil"/>
              <w:right w:val="nil"/>
            </w:tcBorders>
            <w:shd w:val="clear" w:color="000000" w:fill="FFFFFF"/>
            <w:vAlign w:val="bottom"/>
            <w:hideMark/>
          </w:tcPr>
          <w:p w14:paraId="30DF2C89" w14:textId="6E81358C" w:rsidR="004322B5" w:rsidRPr="008246C1" w:rsidRDefault="004322B5" w:rsidP="004322B5">
            <w:pPr>
              <w:keepNext/>
              <w:keepLines/>
              <w:tabs>
                <w:tab w:val="clear" w:pos="567"/>
              </w:tabs>
              <w:spacing w:before="0" w:line="240" w:lineRule="auto"/>
              <w:jc w:val="right"/>
              <w:rPr>
                <w:rFonts w:ascii="Open Sans Semibold" w:eastAsia="Times New Roman" w:hAnsi="Open Sans Semibold" w:cs="Open Sans Semibold"/>
                <w:color w:val="000000"/>
                <w:sz w:val="16"/>
                <w:szCs w:val="16"/>
                <w:highlight w:val="yellow"/>
                <w:lang w:eastAsia="en-AU"/>
              </w:rPr>
            </w:pPr>
            <w:r>
              <w:rPr>
                <w:rFonts w:ascii="Open Sans Semibold" w:hAnsi="Open Sans Semibold" w:cs="Open Sans Semibold"/>
                <w:color w:val="000000"/>
                <w:sz w:val="16"/>
                <w:szCs w:val="16"/>
              </w:rPr>
              <w:t>8</w:t>
            </w:r>
          </w:p>
        </w:tc>
        <w:tc>
          <w:tcPr>
            <w:tcW w:w="615" w:type="dxa"/>
            <w:tcBorders>
              <w:top w:val="single" w:sz="4" w:space="0" w:color="ADD6EA"/>
              <w:left w:val="nil"/>
              <w:bottom w:val="nil"/>
              <w:right w:val="nil"/>
            </w:tcBorders>
            <w:shd w:val="clear" w:color="000000" w:fill="FFFFFF"/>
            <w:vAlign w:val="bottom"/>
            <w:hideMark/>
          </w:tcPr>
          <w:p w14:paraId="7CBC3ECF" w14:textId="306BAF88" w:rsidR="004322B5" w:rsidRPr="008246C1" w:rsidRDefault="004322B5" w:rsidP="004322B5">
            <w:pPr>
              <w:keepNext/>
              <w:keepLines/>
              <w:tabs>
                <w:tab w:val="clear" w:pos="567"/>
              </w:tabs>
              <w:spacing w:before="0" w:line="240" w:lineRule="auto"/>
              <w:jc w:val="right"/>
              <w:rPr>
                <w:rFonts w:ascii="Open Sans Semibold" w:eastAsia="Times New Roman" w:hAnsi="Open Sans Semibold" w:cs="Open Sans Semibold"/>
                <w:color w:val="000000"/>
                <w:sz w:val="16"/>
                <w:szCs w:val="16"/>
                <w:highlight w:val="yellow"/>
                <w:lang w:eastAsia="en-AU"/>
              </w:rPr>
            </w:pPr>
            <w:r>
              <w:rPr>
                <w:rFonts w:ascii="Open Sans Semibold" w:hAnsi="Open Sans Semibold" w:cs="Open Sans Semibold"/>
                <w:color w:val="000000"/>
                <w:sz w:val="16"/>
                <w:szCs w:val="16"/>
              </w:rPr>
              <w:t>-18</w:t>
            </w:r>
          </w:p>
        </w:tc>
        <w:tc>
          <w:tcPr>
            <w:tcW w:w="616" w:type="dxa"/>
            <w:tcBorders>
              <w:top w:val="single" w:sz="4" w:space="0" w:color="ADD6EA"/>
              <w:left w:val="nil"/>
              <w:bottom w:val="nil"/>
              <w:right w:val="nil"/>
            </w:tcBorders>
            <w:shd w:val="clear" w:color="000000" w:fill="FFFFFF"/>
            <w:vAlign w:val="bottom"/>
            <w:hideMark/>
          </w:tcPr>
          <w:p w14:paraId="5CC2907F" w14:textId="78E9ACBB" w:rsidR="004322B5" w:rsidRPr="008246C1" w:rsidRDefault="004322B5" w:rsidP="004322B5">
            <w:pPr>
              <w:keepNext/>
              <w:keepLines/>
              <w:tabs>
                <w:tab w:val="clear" w:pos="567"/>
              </w:tabs>
              <w:spacing w:before="0" w:line="240" w:lineRule="auto"/>
              <w:jc w:val="right"/>
              <w:rPr>
                <w:rFonts w:ascii="Open Sans Semibold" w:eastAsia="Times New Roman" w:hAnsi="Open Sans Semibold" w:cs="Open Sans Semibold"/>
                <w:color w:val="000000"/>
                <w:sz w:val="16"/>
                <w:szCs w:val="16"/>
                <w:highlight w:val="yellow"/>
                <w:lang w:eastAsia="en-AU"/>
              </w:rPr>
            </w:pPr>
            <w:r>
              <w:rPr>
                <w:rFonts w:ascii="Open Sans Semibold" w:hAnsi="Open Sans Semibold" w:cs="Open Sans Semibold"/>
                <w:color w:val="000000"/>
                <w:sz w:val="16"/>
                <w:szCs w:val="16"/>
              </w:rPr>
              <w:t>-3</w:t>
            </w:r>
          </w:p>
        </w:tc>
        <w:tc>
          <w:tcPr>
            <w:tcW w:w="615" w:type="dxa"/>
            <w:tcBorders>
              <w:top w:val="single" w:sz="4" w:space="0" w:color="ADD6EA"/>
              <w:left w:val="nil"/>
              <w:bottom w:val="nil"/>
              <w:right w:val="nil"/>
            </w:tcBorders>
            <w:shd w:val="clear" w:color="000000" w:fill="FFFFFF"/>
            <w:vAlign w:val="bottom"/>
            <w:hideMark/>
          </w:tcPr>
          <w:p w14:paraId="2F2E375F" w14:textId="55DB9B46" w:rsidR="004322B5" w:rsidRPr="008246C1" w:rsidRDefault="004322B5" w:rsidP="004322B5">
            <w:pPr>
              <w:keepNext/>
              <w:keepLines/>
              <w:tabs>
                <w:tab w:val="clear" w:pos="567"/>
              </w:tabs>
              <w:spacing w:before="0" w:line="240" w:lineRule="auto"/>
              <w:jc w:val="right"/>
              <w:rPr>
                <w:rFonts w:ascii="Open Sans Semibold" w:eastAsia="Times New Roman" w:hAnsi="Open Sans Semibold" w:cs="Open Sans Semibold"/>
                <w:color w:val="000000"/>
                <w:sz w:val="16"/>
                <w:szCs w:val="16"/>
                <w:highlight w:val="yellow"/>
                <w:lang w:eastAsia="en-AU"/>
              </w:rPr>
            </w:pPr>
            <w:r>
              <w:rPr>
                <w:rFonts w:ascii="Open Sans Semibold" w:hAnsi="Open Sans Semibold" w:cs="Open Sans Semibold"/>
                <w:color w:val="000000"/>
                <w:sz w:val="16"/>
                <w:szCs w:val="16"/>
              </w:rPr>
              <w:t>-1</w:t>
            </w:r>
          </w:p>
        </w:tc>
        <w:tc>
          <w:tcPr>
            <w:tcW w:w="616" w:type="dxa"/>
            <w:tcBorders>
              <w:top w:val="single" w:sz="4" w:space="0" w:color="ADD6EA"/>
              <w:left w:val="nil"/>
              <w:bottom w:val="nil"/>
              <w:right w:val="nil"/>
            </w:tcBorders>
            <w:shd w:val="clear" w:color="000000" w:fill="FFFFFF"/>
            <w:vAlign w:val="bottom"/>
            <w:hideMark/>
          </w:tcPr>
          <w:p w14:paraId="1B0F0C2F" w14:textId="1A1DCDD1" w:rsidR="004322B5" w:rsidRPr="008246C1" w:rsidRDefault="004322B5" w:rsidP="004322B5">
            <w:pPr>
              <w:keepNext/>
              <w:keepLines/>
              <w:tabs>
                <w:tab w:val="clear" w:pos="567"/>
              </w:tabs>
              <w:spacing w:before="0" w:line="240" w:lineRule="auto"/>
              <w:jc w:val="right"/>
              <w:rPr>
                <w:rFonts w:ascii="Open Sans Semibold" w:eastAsia="Times New Roman" w:hAnsi="Open Sans Semibold" w:cs="Open Sans Semibold"/>
                <w:color w:val="000000"/>
                <w:sz w:val="16"/>
                <w:szCs w:val="16"/>
                <w:highlight w:val="yellow"/>
                <w:lang w:eastAsia="en-AU"/>
              </w:rPr>
            </w:pPr>
            <w:r>
              <w:rPr>
                <w:rFonts w:ascii="Open Sans Semibold" w:hAnsi="Open Sans Semibold" w:cs="Open Sans Semibold"/>
                <w:color w:val="000000"/>
                <w:sz w:val="16"/>
                <w:szCs w:val="16"/>
              </w:rPr>
              <w:t>1</w:t>
            </w:r>
          </w:p>
        </w:tc>
        <w:tc>
          <w:tcPr>
            <w:tcW w:w="615" w:type="dxa"/>
            <w:tcBorders>
              <w:top w:val="single" w:sz="4" w:space="0" w:color="ADD6EA"/>
              <w:left w:val="nil"/>
              <w:bottom w:val="nil"/>
              <w:right w:val="nil"/>
            </w:tcBorders>
            <w:shd w:val="clear" w:color="000000" w:fill="FFFFFF"/>
            <w:vAlign w:val="bottom"/>
            <w:hideMark/>
          </w:tcPr>
          <w:p w14:paraId="2B53244B" w14:textId="7AE700EF" w:rsidR="004322B5" w:rsidRPr="008246C1" w:rsidRDefault="004322B5" w:rsidP="004322B5">
            <w:pPr>
              <w:keepNext/>
              <w:keepLines/>
              <w:tabs>
                <w:tab w:val="clear" w:pos="567"/>
              </w:tabs>
              <w:spacing w:before="0" w:line="240" w:lineRule="auto"/>
              <w:jc w:val="right"/>
              <w:rPr>
                <w:rFonts w:ascii="Open Sans Semibold" w:eastAsia="Times New Roman" w:hAnsi="Open Sans Semibold" w:cs="Open Sans Semibold"/>
                <w:color w:val="000000"/>
                <w:sz w:val="16"/>
                <w:szCs w:val="16"/>
                <w:highlight w:val="yellow"/>
                <w:lang w:eastAsia="en-AU"/>
              </w:rPr>
            </w:pPr>
            <w:r>
              <w:rPr>
                <w:rFonts w:ascii="Open Sans Semibold" w:hAnsi="Open Sans Semibold" w:cs="Open Sans Semibold"/>
                <w:color w:val="000000"/>
                <w:sz w:val="16"/>
                <w:szCs w:val="16"/>
              </w:rPr>
              <w:t>-1</w:t>
            </w:r>
          </w:p>
        </w:tc>
        <w:tc>
          <w:tcPr>
            <w:tcW w:w="512" w:type="dxa"/>
            <w:tcBorders>
              <w:top w:val="single" w:sz="4" w:space="0" w:color="ADD6EA"/>
              <w:left w:val="nil"/>
              <w:bottom w:val="nil"/>
              <w:right w:val="nil"/>
            </w:tcBorders>
            <w:shd w:val="clear" w:color="000000" w:fill="FFFFFF"/>
            <w:vAlign w:val="bottom"/>
            <w:hideMark/>
          </w:tcPr>
          <w:p w14:paraId="2FA41415" w14:textId="46E6976E" w:rsidR="004322B5" w:rsidRPr="008246C1" w:rsidRDefault="004322B5" w:rsidP="004322B5">
            <w:pPr>
              <w:keepNext/>
              <w:keepLines/>
              <w:tabs>
                <w:tab w:val="clear" w:pos="567"/>
              </w:tabs>
              <w:spacing w:before="0" w:line="240" w:lineRule="auto"/>
              <w:jc w:val="right"/>
              <w:rPr>
                <w:rFonts w:ascii="Open Sans Semibold" w:eastAsia="Times New Roman" w:hAnsi="Open Sans Semibold" w:cs="Open Sans Semibold"/>
                <w:color w:val="000000"/>
                <w:sz w:val="16"/>
                <w:szCs w:val="16"/>
                <w:highlight w:val="yellow"/>
                <w:lang w:eastAsia="en-AU"/>
              </w:rPr>
            </w:pPr>
            <w:r>
              <w:rPr>
                <w:rFonts w:ascii="Open Sans Semibold" w:hAnsi="Open Sans Semibold" w:cs="Open Sans Semibold"/>
                <w:color w:val="000000"/>
                <w:sz w:val="16"/>
                <w:szCs w:val="16"/>
              </w:rPr>
              <w:t>-2</w:t>
            </w:r>
          </w:p>
        </w:tc>
        <w:tc>
          <w:tcPr>
            <w:tcW w:w="720" w:type="dxa"/>
            <w:tcBorders>
              <w:top w:val="single" w:sz="4" w:space="0" w:color="ADD6EA"/>
              <w:left w:val="nil"/>
              <w:bottom w:val="nil"/>
              <w:right w:val="nil"/>
            </w:tcBorders>
            <w:shd w:val="clear" w:color="000000" w:fill="FFFFFF"/>
            <w:vAlign w:val="bottom"/>
            <w:hideMark/>
          </w:tcPr>
          <w:p w14:paraId="44A3445E" w14:textId="5E66B7C2" w:rsidR="004322B5" w:rsidRPr="008246C1" w:rsidRDefault="004322B5" w:rsidP="004322B5">
            <w:pPr>
              <w:keepNext/>
              <w:keepLines/>
              <w:tabs>
                <w:tab w:val="clear" w:pos="567"/>
              </w:tabs>
              <w:spacing w:before="0" w:line="240" w:lineRule="auto"/>
              <w:jc w:val="right"/>
              <w:rPr>
                <w:rFonts w:ascii="Open Sans Semibold" w:eastAsia="Times New Roman" w:hAnsi="Open Sans Semibold" w:cs="Open Sans Semibold"/>
                <w:color w:val="000000"/>
                <w:sz w:val="16"/>
                <w:szCs w:val="16"/>
                <w:highlight w:val="yellow"/>
                <w:lang w:eastAsia="en-AU"/>
              </w:rPr>
            </w:pPr>
            <w:r>
              <w:rPr>
                <w:rFonts w:ascii="Open Sans Semibold" w:hAnsi="Open Sans Semibold" w:cs="Open Sans Semibold"/>
                <w:color w:val="000000"/>
                <w:sz w:val="16"/>
                <w:szCs w:val="16"/>
              </w:rPr>
              <w:t>24</w:t>
            </w:r>
          </w:p>
        </w:tc>
      </w:tr>
      <w:tr w:rsidR="004322B5" w:rsidRPr="00C37C1D" w14:paraId="3E08AB4E" w14:textId="77777777" w:rsidTr="00B06022">
        <w:trPr>
          <w:trHeight w:val="318"/>
        </w:trPr>
        <w:tc>
          <w:tcPr>
            <w:tcW w:w="3402" w:type="dxa"/>
            <w:tcBorders>
              <w:top w:val="single" w:sz="4" w:space="0" w:color="ADD6EA"/>
              <w:left w:val="nil"/>
              <w:bottom w:val="nil"/>
              <w:right w:val="nil"/>
            </w:tcBorders>
            <w:shd w:val="clear" w:color="000000" w:fill="FFFFFF"/>
            <w:vAlign w:val="bottom"/>
            <w:hideMark/>
          </w:tcPr>
          <w:p w14:paraId="1CA914C8" w14:textId="77777777" w:rsidR="004322B5" w:rsidRPr="00C37C1D" w:rsidRDefault="004322B5" w:rsidP="004322B5">
            <w:pPr>
              <w:keepNext/>
              <w:keepLines/>
              <w:tabs>
                <w:tab w:val="clear" w:pos="567"/>
              </w:tabs>
              <w:spacing w:before="0" w:line="240" w:lineRule="auto"/>
              <w:rPr>
                <w:rFonts w:eastAsia="Times New Roman" w:cs="Open Sans Light"/>
                <w:color w:val="000000"/>
                <w:sz w:val="16"/>
                <w:szCs w:val="16"/>
                <w:lang w:eastAsia="en-AU"/>
              </w:rPr>
            </w:pPr>
            <w:r w:rsidRPr="00C37C1D">
              <w:rPr>
                <w:rFonts w:eastAsia="Times New Roman" w:cs="Open Sans Light"/>
                <w:color w:val="000000"/>
                <w:sz w:val="16"/>
                <w:szCs w:val="16"/>
                <w:lang w:eastAsia="en-AU"/>
              </w:rPr>
              <w:t>New allocation of central costs method</w:t>
            </w:r>
          </w:p>
        </w:tc>
        <w:tc>
          <w:tcPr>
            <w:tcW w:w="615" w:type="dxa"/>
            <w:tcBorders>
              <w:top w:val="single" w:sz="4" w:space="0" w:color="ADD6EA"/>
              <w:left w:val="nil"/>
              <w:bottom w:val="nil"/>
              <w:right w:val="nil"/>
            </w:tcBorders>
            <w:shd w:val="clear" w:color="000000" w:fill="FFFFFF"/>
            <w:vAlign w:val="bottom"/>
            <w:hideMark/>
          </w:tcPr>
          <w:p w14:paraId="1D8F0F61" w14:textId="327D992C" w:rsidR="004322B5" w:rsidRPr="008246C1" w:rsidRDefault="004322B5" w:rsidP="004322B5">
            <w:pPr>
              <w:keepNext/>
              <w:keepLines/>
              <w:tabs>
                <w:tab w:val="clear" w:pos="567"/>
              </w:tabs>
              <w:spacing w:before="0" w:line="240" w:lineRule="auto"/>
              <w:jc w:val="right"/>
              <w:rPr>
                <w:rFonts w:eastAsia="Times New Roman" w:cs="Open Sans Light"/>
                <w:color w:val="000000"/>
                <w:sz w:val="16"/>
                <w:szCs w:val="16"/>
                <w:highlight w:val="yellow"/>
                <w:lang w:eastAsia="en-AU"/>
              </w:rPr>
            </w:pPr>
            <w:r>
              <w:rPr>
                <w:rFonts w:cs="Open Sans Light"/>
                <w:color w:val="000000"/>
                <w:sz w:val="16"/>
                <w:szCs w:val="16"/>
              </w:rPr>
              <w:t>16</w:t>
            </w:r>
          </w:p>
        </w:tc>
        <w:tc>
          <w:tcPr>
            <w:tcW w:w="616" w:type="dxa"/>
            <w:tcBorders>
              <w:top w:val="single" w:sz="4" w:space="0" w:color="ADD6EA"/>
              <w:left w:val="nil"/>
              <w:bottom w:val="nil"/>
              <w:right w:val="nil"/>
            </w:tcBorders>
            <w:shd w:val="clear" w:color="000000" w:fill="FFFFFF"/>
            <w:vAlign w:val="bottom"/>
            <w:hideMark/>
          </w:tcPr>
          <w:p w14:paraId="144DC419" w14:textId="5797D537" w:rsidR="004322B5" w:rsidRPr="008246C1" w:rsidRDefault="004322B5" w:rsidP="004322B5">
            <w:pPr>
              <w:keepNext/>
              <w:keepLines/>
              <w:tabs>
                <w:tab w:val="clear" w:pos="567"/>
              </w:tabs>
              <w:spacing w:before="0" w:line="240" w:lineRule="auto"/>
              <w:jc w:val="right"/>
              <w:rPr>
                <w:rFonts w:eastAsia="Times New Roman" w:cs="Open Sans Light"/>
                <w:color w:val="000000"/>
                <w:sz w:val="16"/>
                <w:szCs w:val="16"/>
                <w:highlight w:val="yellow"/>
                <w:lang w:eastAsia="en-AU"/>
              </w:rPr>
            </w:pPr>
            <w:r>
              <w:rPr>
                <w:rFonts w:cs="Open Sans Light"/>
                <w:color w:val="000000"/>
                <w:sz w:val="16"/>
                <w:szCs w:val="16"/>
              </w:rPr>
              <w:t>16</w:t>
            </w:r>
          </w:p>
        </w:tc>
        <w:tc>
          <w:tcPr>
            <w:tcW w:w="615" w:type="dxa"/>
            <w:tcBorders>
              <w:top w:val="single" w:sz="4" w:space="0" w:color="ADD6EA"/>
              <w:left w:val="nil"/>
              <w:bottom w:val="nil"/>
              <w:right w:val="nil"/>
            </w:tcBorders>
            <w:shd w:val="clear" w:color="000000" w:fill="FFFFFF"/>
            <w:vAlign w:val="bottom"/>
            <w:hideMark/>
          </w:tcPr>
          <w:p w14:paraId="0668ADFB" w14:textId="5CB9C1D5" w:rsidR="004322B5" w:rsidRPr="008246C1" w:rsidRDefault="004322B5" w:rsidP="004322B5">
            <w:pPr>
              <w:keepNext/>
              <w:keepLines/>
              <w:tabs>
                <w:tab w:val="clear" w:pos="567"/>
              </w:tabs>
              <w:spacing w:before="0" w:line="240" w:lineRule="auto"/>
              <w:jc w:val="right"/>
              <w:rPr>
                <w:rFonts w:eastAsia="Times New Roman" w:cs="Open Sans Light"/>
                <w:color w:val="000000"/>
                <w:sz w:val="16"/>
                <w:szCs w:val="16"/>
                <w:highlight w:val="yellow"/>
                <w:lang w:eastAsia="en-AU"/>
              </w:rPr>
            </w:pPr>
            <w:r>
              <w:rPr>
                <w:rFonts w:cs="Open Sans Light"/>
                <w:color w:val="000000"/>
                <w:sz w:val="16"/>
                <w:szCs w:val="16"/>
              </w:rPr>
              <w:t>-4</w:t>
            </w:r>
          </w:p>
        </w:tc>
        <w:tc>
          <w:tcPr>
            <w:tcW w:w="616" w:type="dxa"/>
            <w:tcBorders>
              <w:top w:val="single" w:sz="4" w:space="0" w:color="ADD6EA"/>
              <w:left w:val="nil"/>
              <w:bottom w:val="nil"/>
              <w:right w:val="nil"/>
            </w:tcBorders>
            <w:shd w:val="clear" w:color="000000" w:fill="FFFFFF"/>
            <w:vAlign w:val="bottom"/>
            <w:hideMark/>
          </w:tcPr>
          <w:p w14:paraId="78E720D1" w14:textId="0F3FD7C7" w:rsidR="004322B5" w:rsidRPr="008246C1" w:rsidRDefault="004322B5" w:rsidP="004322B5">
            <w:pPr>
              <w:keepNext/>
              <w:keepLines/>
              <w:tabs>
                <w:tab w:val="clear" w:pos="567"/>
              </w:tabs>
              <w:spacing w:before="0" w:line="240" w:lineRule="auto"/>
              <w:jc w:val="right"/>
              <w:rPr>
                <w:rFonts w:eastAsia="Times New Roman" w:cs="Open Sans Light"/>
                <w:color w:val="000000"/>
                <w:sz w:val="16"/>
                <w:szCs w:val="16"/>
                <w:highlight w:val="yellow"/>
                <w:lang w:eastAsia="en-AU"/>
              </w:rPr>
            </w:pPr>
            <w:r>
              <w:rPr>
                <w:rFonts w:cs="Open Sans Light"/>
                <w:color w:val="000000"/>
                <w:sz w:val="16"/>
                <w:szCs w:val="16"/>
              </w:rPr>
              <w:t>-14</w:t>
            </w:r>
          </w:p>
        </w:tc>
        <w:tc>
          <w:tcPr>
            <w:tcW w:w="615" w:type="dxa"/>
            <w:tcBorders>
              <w:top w:val="single" w:sz="4" w:space="0" w:color="ADD6EA"/>
              <w:left w:val="nil"/>
              <w:bottom w:val="nil"/>
              <w:right w:val="nil"/>
            </w:tcBorders>
            <w:shd w:val="clear" w:color="000000" w:fill="FFFFFF"/>
            <w:vAlign w:val="bottom"/>
            <w:hideMark/>
          </w:tcPr>
          <w:p w14:paraId="55E2D953" w14:textId="4FB39A87" w:rsidR="004322B5" w:rsidRPr="008246C1" w:rsidRDefault="004322B5" w:rsidP="004322B5">
            <w:pPr>
              <w:keepNext/>
              <w:keepLines/>
              <w:tabs>
                <w:tab w:val="clear" w:pos="567"/>
              </w:tabs>
              <w:spacing w:before="0" w:line="240" w:lineRule="auto"/>
              <w:jc w:val="right"/>
              <w:rPr>
                <w:rFonts w:eastAsia="Times New Roman" w:cs="Open Sans Light"/>
                <w:color w:val="000000"/>
                <w:sz w:val="16"/>
                <w:szCs w:val="16"/>
                <w:highlight w:val="yellow"/>
                <w:lang w:eastAsia="en-AU"/>
              </w:rPr>
            </w:pPr>
            <w:r>
              <w:rPr>
                <w:rFonts w:cs="Open Sans Light"/>
                <w:color w:val="000000"/>
                <w:sz w:val="16"/>
                <w:szCs w:val="16"/>
              </w:rPr>
              <w:t>-1</w:t>
            </w:r>
          </w:p>
        </w:tc>
        <w:tc>
          <w:tcPr>
            <w:tcW w:w="616" w:type="dxa"/>
            <w:tcBorders>
              <w:top w:val="single" w:sz="4" w:space="0" w:color="ADD6EA"/>
              <w:left w:val="nil"/>
              <w:bottom w:val="nil"/>
              <w:right w:val="nil"/>
            </w:tcBorders>
            <w:shd w:val="clear" w:color="000000" w:fill="FFFFFF"/>
            <w:vAlign w:val="bottom"/>
            <w:hideMark/>
          </w:tcPr>
          <w:p w14:paraId="7AB83877" w14:textId="72AFD476" w:rsidR="004322B5" w:rsidRPr="008246C1" w:rsidRDefault="004322B5" w:rsidP="004322B5">
            <w:pPr>
              <w:keepNext/>
              <w:keepLines/>
              <w:tabs>
                <w:tab w:val="clear" w:pos="567"/>
              </w:tabs>
              <w:spacing w:before="0" w:line="240" w:lineRule="auto"/>
              <w:jc w:val="right"/>
              <w:rPr>
                <w:rFonts w:eastAsia="Times New Roman" w:cs="Open Sans Light"/>
                <w:color w:val="000000"/>
                <w:sz w:val="16"/>
                <w:szCs w:val="16"/>
                <w:highlight w:val="yellow"/>
                <w:lang w:eastAsia="en-AU"/>
              </w:rPr>
            </w:pPr>
            <w:r>
              <w:rPr>
                <w:rFonts w:cs="Open Sans Light"/>
                <w:color w:val="000000"/>
                <w:sz w:val="16"/>
                <w:szCs w:val="16"/>
              </w:rPr>
              <w:t>-2</w:t>
            </w:r>
          </w:p>
        </w:tc>
        <w:tc>
          <w:tcPr>
            <w:tcW w:w="615" w:type="dxa"/>
            <w:tcBorders>
              <w:top w:val="single" w:sz="4" w:space="0" w:color="ADD6EA"/>
              <w:left w:val="nil"/>
              <w:bottom w:val="nil"/>
              <w:right w:val="nil"/>
            </w:tcBorders>
            <w:shd w:val="clear" w:color="000000" w:fill="FFFFFF"/>
            <w:vAlign w:val="bottom"/>
            <w:hideMark/>
          </w:tcPr>
          <w:p w14:paraId="085B1BFA" w14:textId="06767CB1" w:rsidR="004322B5" w:rsidRPr="008246C1" w:rsidRDefault="004322B5" w:rsidP="004322B5">
            <w:pPr>
              <w:keepNext/>
              <w:keepLines/>
              <w:tabs>
                <w:tab w:val="clear" w:pos="567"/>
              </w:tabs>
              <w:spacing w:before="0" w:line="240" w:lineRule="auto"/>
              <w:jc w:val="right"/>
              <w:rPr>
                <w:rFonts w:eastAsia="Times New Roman" w:cs="Open Sans Light"/>
                <w:color w:val="000000"/>
                <w:sz w:val="16"/>
                <w:szCs w:val="16"/>
                <w:highlight w:val="yellow"/>
                <w:lang w:eastAsia="en-AU"/>
              </w:rPr>
            </w:pPr>
            <w:r>
              <w:rPr>
                <w:rFonts w:cs="Open Sans Light"/>
                <w:color w:val="000000"/>
                <w:sz w:val="16"/>
                <w:szCs w:val="16"/>
              </w:rPr>
              <w:t>2</w:t>
            </w:r>
          </w:p>
        </w:tc>
        <w:tc>
          <w:tcPr>
            <w:tcW w:w="512" w:type="dxa"/>
            <w:tcBorders>
              <w:top w:val="single" w:sz="4" w:space="0" w:color="ADD6EA"/>
              <w:left w:val="nil"/>
              <w:bottom w:val="nil"/>
              <w:right w:val="nil"/>
            </w:tcBorders>
            <w:shd w:val="clear" w:color="000000" w:fill="FFFFFF"/>
            <w:vAlign w:val="bottom"/>
            <w:hideMark/>
          </w:tcPr>
          <w:p w14:paraId="2A4D0B48" w14:textId="5CA18762" w:rsidR="004322B5" w:rsidRPr="008246C1" w:rsidRDefault="004322B5" w:rsidP="004322B5">
            <w:pPr>
              <w:keepNext/>
              <w:keepLines/>
              <w:tabs>
                <w:tab w:val="clear" w:pos="567"/>
              </w:tabs>
              <w:spacing w:before="0" w:line="240" w:lineRule="auto"/>
              <w:jc w:val="right"/>
              <w:rPr>
                <w:rFonts w:eastAsia="Times New Roman" w:cs="Open Sans Light"/>
                <w:color w:val="000000"/>
                <w:sz w:val="16"/>
                <w:szCs w:val="16"/>
                <w:highlight w:val="yellow"/>
                <w:lang w:eastAsia="en-AU"/>
              </w:rPr>
            </w:pPr>
            <w:r>
              <w:rPr>
                <w:rFonts w:cs="Open Sans Light"/>
                <w:color w:val="000000"/>
                <w:sz w:val="16"/>
                <w:szCs w:val="16"/>
              </w:rPr>
              <w:t>-14</w:t>
            </w:r>
          </w:p>
        </w:tc>
        <w:tc>
          <w:tcPr>
            <w:tcW w:w="720" w:type="dxa"/>
            <w:tcBorders>
              <w:top w:val="single" w:sz="4" w:space="0" w:color="ADD6EA"/>
              <w:left w:val="nil"/>
              <w:bottom w:val="nil"/>
              <w:right w:val="nil"/>
            </w:tcBorders>
            <w:shd w:val="clear" w:color="000000" w:fill="FFFFFF"/>
            <w:vAlign w:val="bottom"/>
            <w:hideMark/>
          </w:tcPr>
          <w:p w14:paraId="68B68B3E" w14:textId="4305F5C7" w:rsidR="004322B5" w:rsidRPr="008246C1" w:rsidRDefault="004322B5" w:rsidP="004322B5">
            <w:pPr>
              <w:keepNext/>
              <w:keepLines/>
              <w:tabs>
                <w:tab w:val="clear" w:pos="567"/>
              </w:tabs>
              <w:spacing w:before="0" w:line="240" w:lineRule="auto"/>
              <w:jc w:val="right"/>
              <w:rPr>
                <w:rFonts w:eastAsia="Times New Roman" w:cs="Open Sans Light"/>
                <w:color w:val="000000"/>
                <w:sz w:val="16"/>
                <w:szCs w:val="16"/>
                <w:highlight w:val="yellow"/>
                <w:lang w:eastAsia="en-AU"/>
              </w:rPr>
            </w:pPr>
            <w:r>
              <w:rPr>
                <w:rFonts w:cs="Open Sans Light"/>
                <w:color w:val="000000"/>
                <w:sz w:val="16"/>
                <w:szCs w:val="16"/>
              </w:rPr>
              <w:t>34</w:t>
            </w:r>
          </w:p>
        </w:tc>
      </w:tr>
      <w:tr w:rsidR="004322B5" w:rsidRPr="00C37C1D" w14:paraId="41699838" w14:textId="77777777" w:rsidTr="00B06022">
        <w:trPr>
          <w:trHeight w:val="300"/>
        </w:trPr>
        <w:tc>
          <w:tcPr>
            <w:tcW w:w="3402" w:type="dxa"/>
            <w:tcBorders>
              <w:top w:val="single" w:sz="4" w:space="0" w:color="ADD6EA"/>
              <w:left w:val="nil"/>
              <w:bottom w:val="nil"/>
              <w:right w:val="nil"/>
            </w:tcBorders>
            <w:shd w:val="clear" w:color="000000" w:fill="FFFFFF"/>
            <w:vAlign w:val="bottom"/>
            <w:hideMark/>
          </w:tcPr>
          <w:p w14:paraId="6DA0AABF" w14:textId="77777777" w:rsidR="004322B5" w:rsidRPr="00C37C1D" w:rsidRDefault="004322B5" w:rsidP="004322B5">
            <w:pPr>
              <w:keepNext/>
              <w:keepLines/>
              <w:tabs>
                <w:tab w:val="clear" w:pos="567"/>
              </w:tabs>
              <w:spacing w:before="0" w:line="240" w:lineRule="auto"/>
              <w:rPr>
                <w:rFonts w:eastAsia="Times New Roman" w:cs="Open Sans Light"/>
                <w:color w:val="000000"/>
                <w:sz w:val="16"/>
                <w:szCs w:val="16"/>
                <w:lang w:eastAsia="en-AU"/>
              </w:rPr>
            </w:pPr>
            <w:r w:rsidRPr="00C37C1D">
              <w:rPr>
                <w:rFonts w:eastAsia="Times New Roman" w:cs="Open Sans Light"/>
                <w:color w:val="000000"/>
                <w:sz w:val="16"/>
                <w:szCs w:val="16"/>
                <w:lang w:eastAsia="en-AU"/>
              </w:rPr>
              <w:t>Combining remote and very remote</w:t>
            </w:r>
          </w:p>
        </w:tc>
        <w:tc>
          <w:tcPr>
            <w:tcW w:w="615" w:type="dxa"/>
            <w:tcBorders>
              <w:top w:val="single" w:sz="4" w:space="0" w:color="ADD6EA"/>
              <w:left w:val="nil"/>
              <w:bottom w:val="nil"/>
              <w:right w:val="nil"/>
            </w:tcBorders>
            <w:shd w:val="clear" w:color="000000" w:fill="FFFFFF"/>
            <w:vAlign w:val="bottom"/>
            <w:hideMark/>
          </w:tcPr>
          <w:p w14:paraId="47C3524E" w14:textId="1FA0236A" w:rsidR="004322B5" w:rsidRPr="008246C1" w:rsidRDefault="004322B5" w:rsidP="004322B5">
            <w:pPr>
              <w:keepNext/>
              <w:keepLines/>
              <w:tabs>
                <w:tab w:val="clear" w:pos="567"/>
              </w:tabs>
              <w:spacing w:before="0" w:line="240" w:lineRule="auto"/>
              <w:jc w:val="right"/>
              <w:rPr>
                <w:rFonts w:eastAsia="Times New Roman" w:cs="Open Sans Light"/>
                <w:color w:val="000000"/>
                <w:sz w:val="16"/>
                <w:szCs w:val="16"/>
                <w:highlight w:val="yellow"/>
                <w:lang w:eastAsia="en-AU"/>
              </w:rPr>
            </w:pPr>
            <w:r>
              <w:rPr>
                <w:rFonts w:cs="Open Sans Light"/>
                <w:color w:val="000000"/>
                <w:sz w:val="16"/>
                <w:szCs w:val="16"/>
              </w:rPr>
              <w:t>-2</w:t>
            </w:r>
          </w:p>
        </w:tc>
        <w:tc>
          <w:tcPr>
            <w:tcW w:w="616" w:type="dxa"/>
            <w:tcBorders>
              <w:top w:val="single" w:sz="4" w:space="0" w:color="ADD6EA"/>
              <w:left w:val="nil"/>
              <w:bottom w:val="nil"/>
              <w:right w:val="nil"/>
            </w:tcBorders>
            <w:shd w:val="clear" w:color="000000" w:fill="FFFFFF"/>
            <w:vAlign w:val="bottom"/>
            <w:hideMark/>
          </w:tcPr>
          <w:p w14:paraId="2B3949FC" w14:textId="600E3CA7" w:rsidR="004322B5" w:rsidRPr="008246C1" w:rsidRDefault="004322B5" w:rsidP="004322B5">
            <w:pPr>
              <w:keepNext/>
              <w:keepLines/>
              <w:tabs>
                <w:tab w:val="clear" w:pos="567"/>
              </w:tabs>
              <w:spacing w:before="0" w:line="240" w:lineRule="auto"/>
              <w:jc w:val="right"/>
              <w:rPr>
                <w:rFonts w:eastAsia="Times New Roman" w:cs="Open Sans Light"/>
                <w:color w:val="000000"/>
                <w:sz w:val="16"/>
                <w:szCs w:val="16"/>
                <w:highlight w:val="yellow"/>
                <w:lang w:eastAsia="en-AU"/>
              </w:rPr>
            </w:pPr>
            <w:r>
              <w:rPr>
                <w:rFonts w:cs="Open Sans Light"/>
                <w:color w:val="000000"/>
                <w:sz w:val="16"/>
                <w:szCs w:val="16"/>
              </w:rPr>
              <w:t>0</w:t>
            </w:r>
          </w:p>
        </w:tc>
        <w:tc>
          <w:tcPr>
            <w:tcW w:w="615" w:type="dxa"/>
            <w:tcBorders>
              <w:top w:val="single" w:sz="4" w:space="0" w:color="ADD6EA"/>
              <w:left w:val="nil"/>
              <w:bottom w:val="nil"/>
              <w:right w:val="nil"/>
            </w:tcBorders>
            <w:shd w:val="clear" w:color="000000" w:fill="FFFFFF"/>
            <w:vAlign w:val="bottom"/>
            <w:hideMark/>
          </w:tcPr>
          <w:p w14:paraId="4FD8259B" w14:textId="4DD46CC3" w:rsidR="004322B5" w:rsidRPr="008246C1" w:rsidRDefault="004322B5" w:rsidP="004322B5">
            <w:pPr>
              <w:keepNext/>
              <w:keepLines/>
              <w:tabs>
                <w:tab w:val="clear" w:pos="567"/>
              </w:tabs>
              <w:spacing w:before="0" w:line="240" w:lineRule="auto"/>
              <w:jc w:val="right"/>
              <w:rPr>
                <w:rFonts w:eastAsia="Times New Roman" w:cs="Open Sans Light"/>
                <w:color w:val="000000"/>
                <w:sz w:val="16"/>
                <w:szCs w:val="16"/>
                <w:highlight w:val="yellow"/>
                <w:lang w:eastAsia="en-AU"/>
              </w:rPr>
            </w:pPr>
            <w:r>
              <w:rPr>
                <w:rFonts w:cs="Open Sans Light"/>
                <w:color w:val="000000"/>
                <w:sz w:val="16"/>
                <w:szCs w:val="16"/>
              </w:rPr>
              <w:t>1</w:t>
            </w:r>
          </w:p>
        </w:tc>
        <w:tc>
          <w:tcPr>
            <w:tcW w:w="616" w:type="dxa"/>
            <w:tcBorders>
              <w:top w:val="single" w:sz="4" w:space="0" w:color="ADD6EA"/>
              <w:left w:val="nil"/>
              <w:bottom w:val="nil"/>
              <w:right w:val="nil"/>
            </w:tcBorders>
            <w:shd w:val="clear" w:color="000000" w:fill="FFFFFF"/>
            <w:vAlign w:val="bottom"/>
            <w:hideMark/>
          </w:tcPr>
          <w:p w14:paraId="32279C14" w14:textId="3BD6D86D" w:rsidR="004322B5" w:rsidRPr="008246C1" w:rsidRDefault="004322B5" w:rsidP="004322B5">
            <w:pPr>
              <w:keepNext/>
              <w:keepLines/>
              <w:tabs>
                <w:tab w:val="clear" w:pos="567"/>
              </w:tabs>
              <w:spacing w:before="0" w:line="240" w:lineRule="auto"/>
              <w:jc w:val="right"/>
              <w:rPr>
                <w:rFonts w:eastAsia="Times New Roman" w:cs="Open Sans Light"/>
                <w:color w:val="000000"/>
                <w:sz w:val="16"/>
                <w:szCs w:val="16"/>
                <w:highlight w:val="yellow"/>
                <w:lang w:eastAsia="en-AU"/>
              </w:rPr>
            </w:pPr>
            <w:r>
              <w:rPr>
                <w:rFonts w:cs="Open Sans Light"/>
                <w:color w:val="000000"/>
                <w:sz w:val="16"/>
                <w:szCs w:val="16"/>
              </w:rPr>
              <w:t>0</w:t>
            </w:r>
          </w:p>
        </w:tc>
        <w:tc>
          <w:tcPr>
            <w:tcW w:w="615" w:type="dxa"/>
            <w:tcBorders>
              <w:top w:val="single" w:sz="4" w:space="0" w:color="ADD6EA"/>
              <w:left w:val="nil"/>
              <w:bottom w:val="nil"/>
              <w:right w:val="nil"/>
            </w:tcBorders>
            <w:shd w:val="clear" w:color="000000" w:fill="FFFFFF"/>
            <w:vAlign w:val="bottom"/>
            <w:hideMark/>
          </w:tcPr>
          <w:p w14:paraId="349B6CE7" w14:textId="0A8BA8DB" w:rsidR="004322B5" w:rsidRPr="008246C1" w:rsidRDefault="004322B5" w:rsidP="004322B5">
            <w:pPr>
              <w:keepNext/>
              <w:keepLines/>
              <w:tabs>
                <w:tab w:val="clear" w:pos="567"/>
              </w:tabs>
              <w:spacing w:before="0" w:line="240" w:lineRule="auto"/>
              <w:jc w:val="right"/>
              <w:rPr>
                <w:rFonts w:eastAsia="Times New Roman" w:cs="Open Sans Light"/>
                <w:color w:val="000000"/>
                <w:sz w:val="16"/>
                <w:szCs w:val="16"/>
                <w:highlight w:val="yellow"/>
                <w:lang w:eastAsia="en-AU"/>
              </w:rPr>
            </w:pPr>
            <w:r>
              <w:rPr>
                <w:rFonts w:cs="Open Sans Light"/>
                <w:color w:val="000000"/>
                <w:sz w:val="16"/>
                <w:szCs w:val="16"/>
              </w:rPr>
              <w:t>-3</w:t>
            </w:r>
          </w:p>
        </w:tc>
        <w:tc>
          <w:tcPr>
            <w:tcW w:w="616" w:type="dxa"/>
            <w:tcBorders>
              <w:top w:val="single" w:sz="4" w:space="0" w:color="ADD6EA"/>
              <w:left w:val="nil"/>
              <w:bottom w:val="nil"/>
              <w:right w:val="nil"/>
            </w:tcBorders>
            <w:shd w:val="clear" w:color="000000" w:fill="FFFFFF"/>
            <w:vAlign w:val="bottom"/>
            <w:hideMark/>
          </w:tcPr>
          <w:p w14:paraId="49ADB841" w14:textId="76608B4F" w:rsidR="004322B5" w:rsidRPr="008246C1" w:rsidRDefault="004322B5" w:rsidP="004322B5">
            <w:pPr>
              <w:keepNext/>
              <w:keepLines/>
              <w:tabs>
                <w:tab w:val="clear" w:pos="567"/>
              </w:tabs>
              <w:spacing w:before="0" w:line="240" w:lineRule="auto"/>
              <w:jc w:val="right"/>
              <w:rPr>
                <w:rFonts w:eastAsia="Times New Roman" w:cs="Open Sans Light"/>
                <w:color w:val="000000"/>
                <w:sz w:val="16"/>
                <w:szCs w:val="16"/>
                <w:highlight w:val="yellow"/>
                <w:lang w:eastAsia="en-AU"/>
              </w:rPr>
            </w:pPr>
            <w:r>
              <w:rPr>
                <w:rFonts w:cs="Open Sans Light"/>
                <w:color w:val="000000"/>
                <w:sz w:val="16"/>
                <w:szCs w:val="16"/>
              </w:rPr>
              <w:t>0</w:t>
            </w:r>
          </w:p>
        </w:tc>
        <w:tc>
          <w:tcPr>
            <w:tcW w:w="615" w:type="dxa"/>
            <w:tcBorders>
              <w:top w:val="single" w:sz="4" w:space="0" w:color="ADD6EA"/>
              <w:left w:val="nil"/>
              <w:bottom w:val="nil"/>
              <w:right w:val="nil"/>
            </w:tcBorders>
            <w:shd w:val="clear" w:color="000000" w:fill="FFFFFF"/>
            <w:vAlign w:val="bottom"/>
            <w:hideMark/>
          </w:tcPr>
          <w:p w14:paraId="28826364" w14:textId="11092939" w:rsidR="004322B5" w:rsidRPr="008246C1" w:rsidRDefault="004322B5" w:rsidP="004322B5">
            <w:pPr>
              <w:keepNext/>
              <w:keepLines/>
              <w:tabs>
                <w:tab w:val="clear" w:pos="567"/>
              </w:tabs>
              <w:spacing w:before="0" w:line="240" w:lineRule="auto"/>
              <w:jc w:val="right"/>
              <w:rPr>
                <w:rFonts w:eastAsia="Times New Roman" w:cs="Open Sans Light"/>
                <w:color w:val="000000"/>
                <w:sz w:val="16"/>
                <w:szCs w:val="16"/>
                <w:highlight w:val="yellow"/>
                <w:lang w:eastAsia="en-AU"/>
              </w:rPr>
            </w:pPr>
            <w:r>
              <w:rPr>
                <w:rFonts w:cs="Open Sans Light"/>
                <w:color w:val="000000"/>
                <w:sz w:val="16"/>
                <w:szCs w:val="16"/>
              </w:rPr>
              <w:t>0</w:t>
            </w:r>
          </w:p>
        </w:tc>
        <w:tc>
          <w:tcPr>
            <w:tcW w:w="512" w:type="dxa"/>
            <w:tcBorders>
              <w:top w:val="single" w:sz="4" w:space="0" w:color="ADD6EA"/>
              <w:left w:val="nil"/>
              <w:bottom w:val="nil"/>
              <w:right w:val="nil"/>
            </w:tcBorders>
            <w:shd w:val="clear" w:color="000000" w:fill="FFFFFF"/>
            <w:vAlign w:val="bottom"/>
            <w:hideMark/>
          </w:tcPr>
          <w:p w14:paraId="2D2BBBA3" w14:textId="52B21C8A" w:rsidR="004322B5" w:rsidRPr="008246C1" w:rsidRDefault="004322B5" w:rsidP="004322B5">
            <w:pPr>
              <w:keepNext/>
              <w:keepLines/>
              <w:tabs>
                <w:tab w:val="clear" w:pos="567"/>
              </w:tabs>
              <w:spacing w:before="0" w:line="240" w:lineRule="auto"/>
              <w:jc w:val="right"/>
              <w:rPr>
                <w:rFonts w:eastAsia="Times New Roman" w:cs="Open Sans Light"/>
                <w:color w:val="000000"/>
                <w:sz w:val="16"/>
                <w:szCs w:val="16"/>
                <w:highlight w:val="yellow"/>
                <w:lang w:eastAsia="en-AU"/>
              </w:rPr>
            </w:pPr>
            <w:r>
              <w:rPr>
                <w:rFonts w:cs="Open Sans Light"/>
                <w:color w:val="000000"/>
                <w:sz w:val="16"/>
                <w:szCs w:val="16"/>
              </w:rPr>
              <w:t>3</w:t>
            </w:r>
          </w:p>
        </w:tc>
        <w:tc>
          <w:tcPr>
            <w:tcW w:w="720" w:type="dxa"/>
            <w:tcBorders>
              <w:top w:val="single" w:sz="4" w:space="0" w:color="ADD6EA"/>
              <w:left w:val="nil"/>
              <w:bottom w:val="nil"/>
              <w:right w:val="nil"/>
            </w:tcBorders>
            <w:shd w:val="clear" w:color="000000" w:fill="FFFFFF"/>
            <w:vAlign w:val="bottom"/>
            <w:hideMark/>
          </w:tcPr>
          <w:p w14:paraId="01CA1A8F" w14:textId="429D55BB" w:rsidR="004322B5" w:rsidRPr="008246C1" w:rsidRDefault="004322B5" w:rsidP="004322B5">
            <w:pPr>
              <w:keepNext/>
              <w:keepLines/>
              <w:tabs>
                <w:tab w:val="clear" w:pos="567"/>
              </w:tabs>
              <w:spacing w:before="0" w:line="240" w:lineRule="auto"/>
              <w:jc w:val="right"/>
              <w:rPr>
                <w:rFonts w:eastAsia="Times New Roman" w:cs="Open Sans Light"/>
                <w:color w:val="000000"/>
                <w:sz w:val="16"/>
                <w:szCs w:val="16"/>
                <w:highlight w:val="yellow"/>
                <w:lang w:eastAsia="en-AU"/>
              </w:rPr>
            </w:pPr>
            <w:r>
              <w:rPr>
                <w:rFonts w:cs="Open Sans Light"/>
                <w:color w:val="000000"/>
                <w:sz w:val="16"/>
                <w:szCs w:val="16"/>
              </w:rPr>
              <w:t>5</w:t>
            </w:r>
          </w:p>
        </w:tc>
      </w:tr>
      <w:tr w:rsidR="004322B5" w:rsidRPr="00C37C1D" w14:paraId="16ACEFDF" w14:textId="77777777" w:rsidTr="00B06022">
        <w:trPr>
          <w:trHeight w:val="318"/>
        </w:trPr>
        <w:tc>
          <w:tcPr>
            <w:tcW w:w="3402" w:type="dxa"/>
            <w:tcBorders>
              <w:top w:val="single" w:sz="4" w:space="0" w:color="ADD6EA"/>
              <w:left w:val="nil"/>
              <w:bottom w:val="nil"/>
              <w:right w:val="nil"/>
            </w:tcBorders>
            <w:shd w:val="clear" w:color="000000" w:fill="FFFFFF"/>
            <w:vAlign w:val="bottom"/>
            <w:hideMark/>
          </w:tcPr>
          <w:p w14:paraId="0B018600" w14:textId="06E9C2E3" w:rsidR="004322B5" w:rsidRPr="00C37C1D" w:rsidRDefault="004322B5" w:rsidP="004322B5">
            <w:pPr>
              <w:keepNext/>
              <w:keepLines/>
              <w:tabs>
                <w:tab w:val="clear" w:pos="567"/>
              </w:tabs>
              <w:spacing w:before="0" w:line="240" w:lineRule="auto"/>
              <w:rPr>
                <w:rFonts w:eastAsia="Times New Roman" w:cs="Open Sans Light"/>
                <w:color w:val="000000"/>
                <w:sz w:val="16"/>
                <w:szCs w:val="16"/>
                <w:lang w:eastAsia="en-AU"/>
              </w:rPr>
            </w:pPr>
            <w:r w:rsidRPr="00C37C1D">
              <w:rPr>
                <w:rFonts w:eastAsia="Times New Roman" w:cs="Open Sans Light"/>
                <w:color w:val="000000"/>
                <w:sz w:val="16"/>
                <w:szCs w:val="16"/>
                <w:lang w:eastAsia="en-AU"/>
              </w:rPr>
              <w:t xml:space="preserve">Changing </w:t>
            </w:r>
            <w:r w:rsidR="009A3AB3">
              <w:rPr>
                <w:rFonts w:eastAsia="Times New Roman" w:cs="Open Sans Light"/>
                <w:color w:val="000000"/>
                <w:sz w:val="16"/>
                <w:szCs w:val="16"/>
                <w:lang w:eastAsia="en-AU"/>
              </w:rPr>
              <w:t>socio</w:t>
            </w:r>
            <w:r w:rsidR="009A3AB3" w:rsidRPr="00CB58CC">
              <w:t>-</w:t>
            </w:r>
            <w:r w:rsidR="009A3AB3" w:rsidRPr="009A3AB3">
              <w:rPr>
                <w:sz w:val="16"/>
                <w:szCs w:val="18"/>
              </w:rPr>
              <w:t>economic status</w:t>
            </w:r>
            <w:r w:rsidR="009A3AB3" w:rsidRPr="009A3AB3">
              <w:rPr>
                <w:rFonts w:eastAsia="Times New Roman" w:cs="Open Sans Light"/>
                <w:color w:val="000000"/>
                <w:sz w:val="12"/>
                <w:szCs w:val="12"/>
                <w:lang w:eastAsia="en-AU"/>
              </w:rPr>
              <w:t xml:space="preserve"> </w:t>
            </w:r>
            <w:r w:rsidRPr="00C37C1D">
              <w:rPr>
                <w:rFonts w:eastAsia="Times New Roman" w:cs="Open Sans Light"/>
                <w:color w:val="000000"/>
                <w:sz w:val="16"/>
                <w:szCs w:val="16"/>
                <w:lang w:eastAsia="en-AU"/>
              </w:rPr>
              <w:t>structure</w:t>
            </w:r>
          </w:p>
        </w:tc>
        <w:tc>
          <w:tcPr>
            <w:tcW w:w="615" w:type="dxa"/>
            <w:tcBorders>
              <w:top w:val="single" w:sz="4" w:space="0" w:color="ADD6EA"/>
              <w:left w:val="nil"/>
              <w:bottom w:val="nil"/>
              <w:right w:val="nil"/>
            </w:tcBorders>
            <w:shd w:val="clear" w:color="000000" w:fill="FFFFFF"/>
            <w:vAlign w:val="bottom"/>
            <w:hideMark/>
          </w:tcPr>
          <w:p w14:paraId="547E5676" w14:textId="69AE45E0" w:rsidR="004322B5" w:rsidRPr="008246C1" w:rsidRDefault="004322B5" w:rsidP="004322B5">
            <w:pPr>
              <w:keepNext/>
              <w:keepLines/>
              <w:tabs>
                <w:tab w:val="clear" w:pos="567"/>
              </w:tabs>
              <w:spacing w:before="0" w:line="240" w:lineRule="auto"/>
              <w:jc w:val="right"/>
              <w:rPr>
                <w:rFonts w:eastAsia="Times New Roman" w:cs="Open Sans Light"/>
                <w:color w:val="000000"/>
                <w:sz w:val="16"/>
                <w:szCs w:val="16"/>
                <w:highlight w:val="yellow"/>
                <w:lang w:eastAsia="en-AU"/>
              </w:rPr>
            </w:pPr>
            <w:r>
              <w:rPr>
                <w:rFonts w:cs="Open Sans Light"/>
                <w:color w:val="000000"/>
                <w:sz w:val="16"/>
                <w:szCs w:val="16"/>
              </w:rPr>
              <w:t>0</w:t>
            </w:r>
          </w:p>
        </w:tc>
        <w:tc>
          <w:tcPr>
            <w:tcW w:w="616" w:type="dxa"/>
            <w:tcBorders>
              <w:top w:val="single" w:sz="4" w:space="0" w:color="ADD6EA"/>
              <w:left w:val="nil"/>
              <w:bottom w:val="nil"/>
              <w:right w:val="nil"/>
            </w:tcBorders>
            <w:shd w:val="clear" w:color="000000" w:fill="FFFFFF"/>
            <w:vAlign w:val="bottom"/>
            <w:hideMark/>
          </w:tcPr>
          <w:p w14:paraId="0DC7CA02" w14:textId="018FA27F" w:rsidR="004322B5" w:rsidRPr="008246C1" w:rsidRDefault="004322B5" w:rsidP="004322B5">
            <w:pPr>
              <w:keepNext/>
              <w:keepLines/>
              <w:tabs>
                <w:tab w:val="clear" w:pos="567"/>
              </w:tabs>
              <w:spacing w:before="0" w:line="240" w:lineRule="auto"/>
              <w:jc w:val="right"/>
              <w:rPr>
                <w:rFonts w:eastAsia="Times New Roman" w:cs="Open Sans Light"/>
                <w:color w:val="000000"/>
                <w:sz w:val="16"/>
                <w:szCs w:val="16"/>
                <w:highlight w:val="yellow"/>
                <w:lang w:eastAsia="en-AU"/>
              </w:rPr>
            </w:pPr>
            <w:r>
              <w:rPr>
                <w:rFonts w:cs="Open Sans Light"/>
                <w:color w:val="000000"/>
                <w:sz w:val="16"/>
                <w:szCs w:val="16"/>
              </w:rPr>
              <w:t>-8</w:t>
            </w:r>
          </w:p>
        </w:tc>
        <w:tc>
          <w:tcPr>
            <w:tcW w:w="615" w:type="dxa"/>
            <w:tcBorders>
              <w:top w:val="single" w:sz="4" w:space="0" w:color="ADD6EA"/>
              <w:left w:val="nil"/>
              <w:bottom w:val="nil"/>
              <w:right w:val="nil"/>
            </w:tcBorders>
            <w:shd w:val="clear" w:color="000000" w:fill="FFFFFF"/>
            <w:vAlign w:val="bottom"/>
            <w:hideMark/>
          </w:tcPr>
          <w:p w14:paraId="449D59BC" w14:textId="4AF91A4C" w:rsidR="004322B5" w:rsidRPr="008246C1" w:rsidRDefault="004322B5" w:rsidP="004322B5">
            <w:pPr>
              <w:keepNext/>
              <w:keepLines/>
              <w:tabs>
                <w:tab w:val="clear" w:pos="567"/>
              </w:tabs>
              <w:spacing w:before="0" w:line="240" w:lineRule="auto"/>
              <w:jc w:val="right"/>
              <w:rPr>
                <w:rFonts w:eastAsia="Times New Roman" w:cs="Open Sans Light"/>
                <w:color w:val="000000"/>
                <w:sz w:val="16"/>
                <w:szCs w:val="16"/>
                <w:highlight w:val="yellow"/>
                <w:lang w:eastAsia="en-AU"/>
              </w:rPr>
            </w:pPr>
            <w:r>
              <w:rPr>
                <w:rFonts w:cs="Open Sans Light"/>
                <w:color w:val="000000"/>
                <w:sz w:val="16"/>
                <w:szCs w:val="16"/>
              </w:rPr>
              <w:t>-16</w:t>
            </w:r>
          </w:p>
        </w:tc>
        <w:tc>
          <w:tcPr>
            <w:tcW w:w="616" w:type="dxa"/>
            <w:tcBorders>
              <w:top w:val="single" w:sz="4" w:space="0" w:color="ADD6EA"/>
              <w:left w:val="nil"/>
              <w:bottom w:val="nil"/>
              <w:right w:val="nil"/>
            </w:tcBorders>
            <w:shd w:val="clear" w:color="000000" w:fill="FFFFFF"/>
            <w:vAlign w:val="bottom"/>
            <w:hideMark/>
          </w:tcPr>
          <w:p w14:paraId="6388652D" w14:textId="39D288A7" w:rsidR="004322B5" w:rsidRPr="008246C1" w:rsidRDefault="004322B5" w:rsidP="004322B5">
            <w:pPr>
              <w:keepNext/>
              <w:keepLines/>
              <w:tabs>
                <w:tab w:val="clear" w:pos="567"/>
              </w:tabs>
              <w:spacing w:before="0" w:line="240" w:lineRule="auto"/>
              <w:jc w:val="right"/>
              <w:rPr>
                <w:rFonts w:eastAsia="Times New Roman" w:cs="Open Sans Light"/>
                <w:color w:val="000000"/>
                <w:sz w:val="16"/>
                <w:szCs w:val="16"/>
                <w:highlight w:val="yellow"/>
                <w:lang w:eastAsia="en-AU"/>
              </w:rPr>
            </w:pPr>
            <w:r>
              <w:rPr>
                <w:rFonts w:cs="Open Sans Light"/>
                <w:color w:val="000000"/>
                <w:sz w:val="16"/>
                <w:szCs w:val="16"/>
              </w:rPr>
              <w:t>10</w:t>
            </w:r>
          </w:p>
        </w:tc>
        <w:tc>
          <w:tcPr>
            <w:tcW w:w="615" w:type="dxa"/>
            <w:tcBorders>
              <w:top w:val="single" w:sz="4" w:space="0" w:color="ADD6EA"/>
              <w:left w:val="nil"/>
              <w:bottom w:val="nil"/>
              <w:right w:val="nil"/>
            </w:tcBorders>
            <w:shd w:val="clear" w:color="000000" w:fill="FFFFFF"/>
            <w:vAlign w:val="bottom"/>
            <w:hideMark/>
          </w:tcPr>
          <w:p w14:paraId="029E4E10" w14:textId="651F2627" w:rsidR="004322B5" w:rsidRPr="008246C1" w:rsidRDefault="004322B5" w:rsidP="004322B5">
            <w:pPr>
              <w:keepNext/>
              <w:keepLines/>
              <w:tabs>
                <w:tab w:val="clear" w:pos="567"/>
              </w:tabs>
              <w:spacing w:before="0" w:line="240" w:lineRule="auto"/>
              <w:jc w:val="right"/>
              <w:rPr>
                <w:rFonts w:eastAsia="Times New Roman" w:cs="Open Sans Light"/>
                <w:color w:val="000000"/>
                <w:sz w:val="16"/>
                <w:szCs w:val="16"/>
                <w:highlight w:val="yellow"/>
                <w:lang w:eastAsia="en-AU"/>
              </w:rPr>
            </w:pPr>
            <w:r>
              <w:rPr>
                <w:rFonts w:cs="Open Sans Light"/>
                <w:color w:val="000000"/>
                <w:sz w:val="16"/>
                <w:szCs w:val="16"/>
              </w:rPr>
              <w:t>4</w:t>
            </w:r>
          </w:p>
        </w:tc>
        <w:tc>
          <w:tcPr>
            <w:tcW w:w="616" w:type="dxa"/>
            <w:tcBorders>
              <w:top w:val="single" w:sz="4" w:space="0" w:color="ADD6EA"/>
              <w:left w:val="nil"/>
              <w:bottom w:val="nil"/>
              <w:right w:val="nil"/>
            </w:tcBorders>
            <w:shd w:val="clear" w:color="000000" w:fill="FFFFFF"/>
            <w:vAlign w:val="bottom"/>
            <w:hideMark/>
          </w:tcPr>
          <w:p w14:paraId="0E255FB5" w14:textId="7A0AED40" w:rsidR="004322B5" w:rsidRPr="008246C1" w:rsidRDefault="004322B5" w:rsidP="004322B5">
            <w:pPr>
              <w:keepNext/>
              <w:keepLines/>
              <w:tabs>
                <w:tab w:val="clear" w:pos="567"/>
              </w:tabs>
              <w:spacing w:before="0" w:line="240" w:lineRule="auto"/>
              <w:jc w:val="right"/>
              <w:rPr>
                <w:rFonts w:eastAsia="Times New Roman" w:cs="Open Sans Light"/>
                <w:color w:val="000000"/>
                <w:sz w:val="16"/>
                <w:szCs w:val="16"/>
                <w:highlight w:val="yellow"/>
                <w:lang w:eastAsia="en-AU"/>
              </w:rPr>
            </w:pPr>
            <w:r>
              <w:rPr>
                <w:rFonts w:cs="Open Sans Light"/>
                <w:color w:val="000000"/>
                <w:sz w:val="16"/>
                <w:szCs w:val="16"/>
              </w:rPr>
              <w:t>3</w:t>
            </w:r>
          </w:p>
        </w:tc>
        <w:tc>
          <w:tcPr>
            <w:tcW w:w="615" w:type="dxa"/>
            <w:tcBorders>
              <w:top w:val="single" w:sz="4" w:space="0" w:color="ADD6EA"/>
              <w:left w:val="nil"/>
              <w:bottom w:val="nil"/>
              <w:right w:val="nil"/>
            </w:tcBorders>
            <w:shd w:val="clear" w:color="000000" w:fill="FFFFFF"/>
            <w:vAlign w:val="bottom"/>
            <w:hideMark/>
          </w:tcPr>
          <w:p w14:paraId="4AD55675" w14:textId="04471883" w:rsidR="004322B5" w:rsidRPr="008246C1" w:rsidRDefault="004322B5" w:rsidP="004322B5">
            <w:pPr>
              <w:keepNext/>
              <w:keepLines/>
              <w:tabs>
                <w:tab w:val="clear" w:pos="567"/>
              </w:tabs>
              <w:spacing w:before="0" w:line="240" w:lineRule="auto"/>
              <w:jc w:val="right"/>
              <w:rPr>
                <w:rFonts w:eastAsia="Times New Roman" w:cs="Open Sans Light"/>
                <w:color w:val="000000"/>
                <w:sz w:val="16"/>
                <w:szCs w:val="16"/>
                <w:highlight w:val="yellow"/>
                <w:lang w:eastAsia="en-AU"/>
              </w:rPr>
            </w:pPr>
            <w:r>
              <w:rPr>
                <w:rFonts w:cs="Open Sans Light"/>
                <w:color w:val="000000"/>
                <w:sz w:val="16"/>
                <w:szCs w:val="16"/>
              </w:rPr>
              <w:t>-3</w:t>
            </w:r>
          </w:p>
        </w:tc>
        <w:tc>
          <w:tcPr>
            <w:tcW w:w="512" w:type="dxa"/>
            <w:tcBorders>
              <w:top w:val="single" w:sz="4" w:space="0" w:color="ADD6EA"/>
              <w:left w:val="nil"/>
              <w:bottom w:val="nil"/>
              <w:right w:val="nil"/>
            </w:tcBorders>
            <w:shd w:val="clear" w:color="000000" w:fill="FFFFFF"/>
            <w:vAlign w:val="bottom"/>
            <w:hideMark/>
          </w:tcPr>
          <w:p w14:paraId="75629DB8" w14:textId="0155499B" w:rsidR="004322B5" w:rsidRPr="008246C1" w:rsidRDefault="004322B5" w:rsidP="004322B5">
            <w:pPr>
              <w:keepNext/>
              <w:keepLines/>
              <w:tabs>
                <w:tab w:val="clear" w:pos="567"/>
              </w:tabs>
              <w:spacing w:before="0" w:line="240" w:lineRule="auto"/>
              <w:jc w:val="right"/>
              <w:rPr>
                <w:rFonts w:eastAsia="Times New Roman" w:cs="Open Sans Light"/>
                <w:color w:val="000000"/>
                <w:sz w:val="16"/>
                <w:szCs w:val="16"/>
                <w:highlight w:val="yellow"/>
                <w:lang w:eastAsia="en-AU"/>
              </w:rPr>
            </w:pPr>
            <w:r>
              <w:rPr>
                <w:rFonts w:cs="Open Sans Light"/>
                <w:color w:val="000000"/>
                <w:sz w:val="16"/>
                <w:szCs w:val="16"/>
              </w:rPr>
              <w:t>10</w:t>
            </w:r>
          </w:p>
        </w:tc>
        <w:tc>
          <w:tcPr>
            <w:tcW w:w="720" w:type="dxa"/>
            <w:tcBorders>
              <w:top w:val="single" w:sz="4" w:space="0" w:color="ADD6EA"/>
              <w:left w:val="nil"/>
              <w:bottom w:val="nil"/>
              <w:right w:val="nil"/>
            </w:tcBorders>
            <w:shd w:val="clear" w:color="000000" w:fill="FFFFFF"/>
            <w:vAlign w:val="bottom"/>
            <w:hideMark/>
          </w:tcPr>
          <w:p w14:paraId="6349862A" w14:textId="43C05788" w:rsidR="004322B5" w:rsidRPr="008246C1" w:rsidRDefault="004322B5" w:rsidP="004322B5">
            <w:pPr>
              <w:keepNext/>
              <w:keepLines/>
              <w:tabs>
                <w:tab w:val="clear" w:pos="567"/>
              </w:tabs>
              <w:spacing w:before="0" w:line="240" w:lineRule="auto"/>
              <w:jc w:val="right"/>
              <w:rPr>
                <w:rFonts w:eastAsia="Times New Roman" w:cs="Open Sans Light"/>
                <w:color w:val="000000"/>
                <w:sz w:val="16"/>
                <w:szCs w:val="16"/>
                <w:highlight w:val="yellow"/>
                <w:lang w:eastAsia="en-AU"/>
              </w:rPr>
            </w:pPr>
            <w:r>
              <w:rPr>
                <w:rFonts w:cs="Open Sans Light"/>
                <w:color w:val="000000"/>
                <w:sz w:val="16"/>
                <w:szCs w:val="16"/>
              </w:rPr>
              <w:t>26</w:t>
            </w:r>
          </w:p>
        </w:tc>
      </w:tr>
      <w:tr w:rsidR="004322B5" w:rsidRPr="00C37C1D" w14:paraId="56B05A89" w14:textId="77777777" w:rsidTr="00B06022">
        <w:trPr>
          <w:trHeight w:val="318"/>
        </w:trPr>
        <w:tc>
          <w:tcPr>
            <w:tcW w:w="3402" w:type="dxa"/>
            <w:tcBorders>
              <w:top w:val="single" w:sz="4" w:space="0" w:color="ADD6EA"/>
              <w:left w:val="nil"/>
              <w:bottom w:val="nil"/>
              <w:right w:val="nil"/>
            </w:tcBorders>
            <w:shd w:val="clear" w:color="000000" w:fill="FFFFFF"/>
            <w:vAlign w:val="bottom"/>
            <w:hideMark/>
          </w:tcPr>
          <w:p w14:paraId="037B0619" w14:textId="6030AC8B" w:rsidR="004322B5" w:rsidRPr="00C37C1D" w:rsidRDefault="004322B5" w:rsidP="004322B5">
            <w:pPr>
              <w:keepNext/>
              <w:keepLines/>
              <w:tabs>
                <w:tab w:val="clear" w:pos="567"/>
              </w:tabs>
              <w:spacing w:before="0" w:line="240" w:lineRule="auto"/>
              <w:rPr>
                <w:rFonts w:ascii="Open Sans Semibold" w:eastAsia="Times New Roman" w:hAnsi="Open Sans Semibold" w:cs="Open Sans Semibold"/>
                <w:color w:val="000000"/>
                <w:sz w:val="16"/>
                <w:szCs w:val="16"/>
                <w:lang w:eastAsia="en-AU"/>
              </w:rPr>
            </w:pPr>
            <w:r w:rsidRPr="00C37C1D">
              <w:rPr>
                <w:rFonts w:ascii="Open Sans Semibold" w:eastAsia="Times New Roman" w:hAnsi="Open Sans Semibold" w:cs="Open Sans Semibold"/>
                <w:color w:val="000000"/>
                <w:sz w:val="16"/>
                <w:szCs w:val="16"/>
                <w:lang w:eastAsia="en-AU"/>
              </w:rPr>
              <w:t xml:space="preserve">Criminal </w:t>
            </w:r>
            <w:r w:rsidR="00E81004">
              <w:rPr>
                <w:rFonts w:ascii="Open Sans Semibold" w:eastAsia="Times New Roman" w:hAnsi="Open Sans Semibold" w:cs="Open Sans Semibold"/>
                <w:color w:val="000000"/>
                <w:sz w:val="16"/>
                <w:szCs w:val="16"/>
                <w:lang w:eastAsia="en-AU"/>
              </w:rPr>
              <w:t>c</w:t>
            </w:r>
            <w:r w:rsidRPr="00C37C1D">
              <w:rPr>
                <w:rFonts w:ascii="Open Sans Semibold" w:eastAsia="Times New Roman" w:hAnsi="Open Sans Semibold" w:cs="Open Sans Semibold"/>
                <w:color w:val="000000"/>
                <w:sz w:val="16"/>
                <w:szCs w:val="16"/>
                <w:lang w:eastAsia="en-AU"/>
              </w:rPr>
              <w:t>ourts and OLS</w:t>
            </w:r>
            <w:r>
              <w:rPr>
                <w:rFonts w:ascii="Open Sans Semibold" w:eastAsia="Times New Roman" w:hAnsi="Open Sans Semibold" w:cs="Open Sans Semibold"/>
                <w:color w:val="000000"/>
                <w:sz w:val="16"/>
                <w:szCs w:val="16"/>
                <w:lang w:eastAsia="en-AU"/>
              </w:rPr>
              <w:t xml:space="preserve"> (a)</w:t>
            </w:r>
          </w:p>
        </w:tc>
        <w:tc>
          <w:tcPr>
            <w:tcW w:w="615" w:type="dxa"/>
            <w:tcBorders>
              <w:top w:val="single" w:sz="4" w:space="0" w:color="ADD6EA"/>
              <w:left w:val="nil"/>
              <w:bottom w:val="nil"/>
              <w:right w:val="nil"/>
            </w:tcBorders>
            <w:shd w:val="clear" w:color="000000" w:fill="FFFFFF"/>
            <w:vAlign w:val="bottom"/>
            <w:hideMark/>
          </w:tcPr>
          <w:p w14:paraId="21A59685" w14:textId="018E7087" w:rsidR="004322B5" w:rsidRPr="008246C1" w:rsidRDefault="004322B5" w:rsidP="004322B5">
            <w:pPr>
              <w:keepNext/>
              <w:keepLines/>
              <w:tabs>
                <w:tab w:val="clear" w:pos="567"/>
              </w:tabs>
              <w:spacing w:before="0" w:line="240" w:lineRule="auto"/>
              <w:jc w:val="right"/>
              <w:rPr>
                <w:rFonts w:ascii="Open Sans Semibold" w:eastAsia="Times New Roman" w:hAnsi="Open Sans Semibold" w:cs="Open Sans Semibold"/>
                <w:color w:val="000000"/>
                <w:sz w:val="16"/>
                <w:szCs w:val="16"/>
                <w:highlight w:val="yellow"/>
                <w:lang w:eastAsia="en-AU"/>
              </w:rPr>
            </w:pPr>
            <w:r>
              <w:rPr>
                <w:rFonts w:ascii="Open Sans Semibold" w:hAnsi="Open Sans Semibold" w:cs="Open Sans Semibold"/>
                <w:color w:val="000000"/>
                <w:sz w:val="16"/>
                <w:szCs w:val="16"/>
              </w:rPr>
              <w:t>18</w:t>
            </w:r>
          </w:p>
        </w:tc>
        <w:tc>
          <w:tcPr>
            <w:tcW w:w="616" w:type="dxa"/>
            <w:tcBorders>
              <w:top w:val="single" w:sz="4" w:space="0" w:color="ADD6EA"/>
              <w:left w:val="nil"/>
              <w:bottom w:val="nil"/>
              <w:right w:val="nil"/>
            </w:tcBorders>
            <w:shd w:val="clear" w:color="000000" w:fill="FFFFFF"/>
            <w:vAlign w:val="bottom"/>
            <w:hideMark/>
          </w:tcPr>
          <w:p w14:paraId="688C30F3" w14:textId="49087BF9" w:rsidR="004322B5" w:rsidRPr="008246C1" w:rsidRDefault="004322B5" w:rsidP="004322B5">
            <w:pPr>
              <w:keepNext/>
              <w:keepLines/>
              <w:tabs>
                <w:tab w:val="clear" w:pos="567"/>
              </w:tabs>
              <w:spacing w:before="0" w:line="240" w:lineRule="auto"/>
              <w:jc w:val="right"/>
              <w:rPr>
                <w:rFonts w:ascii="Open Sans Semibold" w:eastAsia="Times New Roman" w:hAnsi="Open Sans Semibold" w:cs="Open Sans Semibold"/>
                <w:color w:val="000000"/>
                <w:sz w:val="16"/>
                <w:szCs w:val="16"/>
                <w:highlight w:val="yellow"/>
                <w:lang w:eastAsia="en-AU"/>
              </w:rPr>
            </w:pPr>
            <w:r>
              <w:rPr>
                <w:rFonts w:ascii="Open Sans Semibold" w:hAnsi="Open Sans Semibold" w:cs="Open Sans Semibold"/>
                <w:color w:val="000000"/>
                <w:sz w:val="16"/>
                <w:szCs w:val="16"/>
              </w:rPr>
              <w:t>1</w:t>
            </w:r>
          </w:p>
        </w:tc>
        <w:tc>
          <w:tcPr>
            <w:tcW w:w="615" w:type="dxa"/>
            <w:tcBorders>
              <w:top w:val="single" w:sz="4" w:space="0" w:color="ADD6EA"/>
              <w:left w:val="nil"/>
              <w:bottom w:val="nil"/>
              <w:right w:val="nil"/>
            </w:tcBorders>
            <w:shd w:val="clear" w:color="000000" w:fill="FFFFFF"/>
            <w:vAlign w:val="bottom"/>
            <w:hideMark/>
          </w:tcPr>
          <w:p w14:paraId="653EC2CD" w14:textId="512CC5F1" w:rsidR="004322B5" w:rsidRPr="008246C1" w:rsidRDefault="004322B5" w:rsidP="004322B5">
            <w:pPr>
              <w:keepNext/>
              <w:keepLines/>
              <w:tabs>
                <w:tab w:val="clear" w:pos="567"/>
              </w:tabs>
              <w:spacing w:before="0" w:line="240" w:lineRule="auto"/>
              <w:jc w:val="right"/>
              <w:rPr>
                <w:rFonts w:ascii="Open Sans Semibold" w:eastAsia="Times New Roman" w:hAnsi="Open Sans Semibold" w:cs="Open Sans Semibold"/>
                <w:color w:val="000000"/>
                <w:sz w:val="16"/>
                <w:szCs w:val="16"/>
                <w:highlight w:val="yellow"/>
                <w:lang w:eastAsia="en-AU"/>
              </w:rPr>
            </w:pPr>
            <w:r>
              <w:rPr>
                <w:rFonts w:ascii="Open Sans Semibold" w:hAnsi="Open Sans Semibold" w:cs="Open Sans Semibold"/>
                <w:color w:val="000000"/>
                <w:sz w:val="16"/>
                <w:szCs w:val="16"/>
              </w:rPr>
              <w:t>5</w:t>
            </w:r>
          </w:p>
        </w:tc>
        <w:tc>
          <w:tcPr>
            <w:tcW w:w="616" w:type="dxa"/>
            <w:tcBorders>
              <w:top w:val="single" w:sz="4" w:space="0" w:color="ADD6EA"/>
              <w:left w:val="nil"/>
              <w:bottom w:val="nil"/>
              <w:right w:val="nil"/>
            </w:tcBorders>
            <w:shd w:val="clear" w:color="000000" w:fill="FFFFFF"/>
            <w:vAlign w:val="bottom"/>
            <w:hideMark/>
          </w:tcPr>
          <w:p w14:paraId="33C41B39" w14:textId="0404E311" w:rsidR="004322B5" w:rsidRPr="008246C1" w:rsidRDefault="004322B5" w:rsidP="004322B5">
            <w:pPr>
              <w:keepNext/>
              <w:keepLines/>
              <w:tabs>
                <w:tab w:val="clear" w:pos="567"/>
              </w:tabs>
              <w:spacing w:before="0" w:line="240" w:lineRule="auto"/>
              <w:jc w:val="right"/>
              <w:rPr>
                <w:rFonts w:ascii="Open Sans Semibold" w:eastAsia="Times New Roman" w:hAnsi="Open Sans Semibold" w:cs="Open Sans Semibold"/>
                <w:color w:val="000000"/>
                <w:sz w:val="16"/>
                <w:szCs w:val="16"/>
                <w:highlight w:val="yellow"/>
                <w:lang w:eastAsia="en-AU"/>
              </w:rPr>
            </w:pPr>
            <w:r>
              <w:rPr>
                <w:rFonts w:ascii="Open Sans Semibold" w:hAnsi="Open Sans Semibold" w:cs="Open Sans Semibold"/>
                <w:color w:val="000000"/>
                <w:sz w:val="16"/>
                <w:szCs w:val="16"/>
              </w:rPr>
              <w:t>-9</w:t>
            </w:r>
          </w:p>
        </w:tc>
        <w:tc>
          <w:tcPr>
            <w:tcW w:w="615" w:type="dxa"/>
            <w:tcBorders>
              <w:top w:val="single" w:sz="4" w:space="0" w:color="ADD6EA"/>
              <w:left w:val="nil"/>
              <w:bottom w:val="nil"/>
              <w:right w:val="nil"/>
            </w:tcBorders>
            <w:shd w:val="clear" w:color="000000" w:fill="FFFFFF"/>
            <w:vAlign w:val="bottom"/>
            <w:hideMark/>
          </w:tcPr>
          <w:p w14:paraId="05553101" w14:textId="52886113" w:rsidR="004322B5" w:rsidRPr="008246C1" w:rsidRDefault="004322B5" w:rsidP="004322B5">
            <w:pPr>
              <w:keepNext/>
              <w:keepLines/>
              <w:tabs>
                <w:tab w:val="clear" w:pos="567"/>
              </w:tabs>
              <w:spacing w:before="0" w:line="240" w:lineRule="auto"/>
              <w:jc w:val="right"/>
              <w:rPr>
                <w:rFonts w:ascii="Open Sans Semibold" w:eastAsia="Times New Roman" w:hAnsi="Open Sans Semibold" w:cs="Open Sans Semibold"/>
                <w:color w:val="000000"/>
                <w:sz w:val="16"/>
                <w:szCs w:val="16"/>
                <w:highlight w:val="yellow"/>
                <w:lang w:eastAsia="en-AU"/>
              </w:rPr>
            </w:pPr>
            <w:r>
              <w:rPr>
                <w:rFonts w:ascii="Open Sans Semibold" w:hAnsi="Open Sans Semibold" w:cs="Open Sans Semibold"/>
                <w:color w:val="000000"/>
                <w:sz w:val="16"/>
                <w:szCs w:val="16"/>
              </w:rPr>
              <w:t>-1</w:t>
            </w:r>
          </w:p>
        </w:tc>
        <w:tc>
          <w:tcPr>
            <w:tcW w:w="616" w:type="dxa"/>
            <w:tcBorders>
              <w:top w:val="single" w:sz="4" w:space="0" w:color="ADD6EA"/>
              <w:left w:val="nil"/>
              <w:bottom w:val="nil"/>
              <w:right w:val="nil"/>
            </w:tcBorders>
            <w:shd w:val="clear" w:color="000000" w:fill="FFFFFF"/>
            <w:vAlign w:val="bottom"/>
            <w:hideMark/>
          </w:tcPr>
          <w:p w14:paraId="304597EE" w14:textId="1F6D4409" w:rsidR="004322B5" w:rsidRPr="008246C1" w:rsidRDefault="004322B5" w:rsidP="004322B5">
            <w:pPr>
              <w:keepNext/>
              <w:keepLines/>
              <w:tabs>
                <w:tab w:val="clear" w:pos="567"/>
              </w:tabs>
              <w:spacing w:before="0" w:line="240" w:lineRule="auto"/>
              <w:jc w:val="right"/>
              <w:rPr>
                <w:rFonts w:ascii="Open Sans Semibold" w:eastAsia="Times New Roman" w:hAnsi="Open Sans Semibold" w:cs="Open Sans Semibold"/>
                <w:color w:val="000000"/>
                <w:sz w:val="16"/>
                <w:szCs w:val="16"/>
                <w:highlight w:val="yellow"/>
                <w:lang w:eastAsia="en-AU"/>
              </w:rPr>
            </w:pPr>
            <w:r>
              <w:rPr>
                <w:rFonts w:ascii="Open Sans Semibold" w:hAnsi="Open Sans Semibold" w:cs="Open Sans Semibold"/>
                <w:color w:val="000000"/>
                <w:sz w:val="16"/>
                <w:szCs w:val="16"/>
              </w:rPr>
              <w:t>2</w:t>
            </w:r>
          </w:p>
        </w:tc>
        <w:tc>
          <w:tcPr>
            <w:tcW w:w="615" w:type="dxa"/>
            <w:tcBorders>
              <w:top w:val="single" w:sz="4" w:space="0" w:color="ADD6EA"/>
              <w:left w:val="nil"/>
              <w:bottom w:val="nil"/>
              <w:right w:val="nil"/>
            </w:tcBorders>
            <w:shd w:val="clear" w:color="000000" w:fill="FFFFFF"/>
            <w:vAlign w:val="bottom"/>
            <w:hideMark/>
          </w:tcPr>
          <w:p w14:paraId="78E25183" w14:textId="1A7D0061" w:rsidR="004322B5" w:rsidRPr="008246C1" w:rsidRDefault="004322B5" w:rsidP="004322B5">
            <w:pPr>
              <w:keepNext/>
              <w:keepLines/>
              <w:tabs>
                <w:tab w:val="clear" w:pos="567"/>
              </w:tabs>
              <w:spacing w:before="0" w:line="240" w:lineRule="auto"/>
              <w:jc w:val="right"/>
              <w:rPr>
                <w:rFonts w:ascii="Open Sans Semibold" w:eastAsia="Times New Roman" w:hAnsi="Open Sans Semibold" w:cs="Open Sans Semibold"/>
                <w:color w:val="000000"/>
                <w:sz w:val="16"/>
                <w:szCs w:val="16"/>
                <w:highlight w:val="yellow"/>
                <w:lang w:eastAsia="en-AU"/>
              </w:rPr>
            </w:pPr>
            <w:r>
              <w:rPr>
                <w:rFonts w:ascii="Open Sans Semibold" w:hAnsi="Open Sans Semibold" w:cs="Open Sans Semibold"/>
                <w:color w:val="000000"/>
                <w:sz w:val="16"/>
                <w:szCs w:val="16"/>
              </w:rPr>
              <w:t>0</w:t>
            </w:r>
          </w:p>
        </w:tc>
        <w:tc>
          <w:tcPr>
            <w:tcW w:w="512" w:type="dxa"/>
            <w:tcBorders>
              <w:top w:val="single" w:sz="4" w:space="0" w:color="ADD6EA"/>
              <w:left w:val="nil"/>
              <w:bottom w:val="nil"/>
              <w:right w:val="nil"/>
            </w:tcBorders>
            <w:shd w:val="clear" w:color="000000" w:fill="FFFFFF"/>
            <w:vAlign w:val="bottom"/>
            <w:hideMark/>
          </w:tcPr>
          <w:p w14:paraId="1D5DF671" w14:textId="14DAA17E" w:rsidR="004322B5" w:rsidRPr="008246C1" w:rsidRDefault="004322B5" w:rsidP="004322B5">
            <w:pPr>
              <w:keepNext/>
              <w:keepLines/>
              <w:tabs>
                <w:tab w:val="clear" w:pos="567"/>
              </w:tabs>
              <w:spacing w:before="0" w:line="240" w:lineRule="auto"/>
              <w:jc w:val="right"/>
              <w:rPr>
                <w:rFonts w:ascii="Open Sans Semibold" w:eastAsia="Times New Roman" w:hAnsi="Open Sans Semibold" w:cs="Open Sans Semibold"/>
                <w:color w:val="000000"/>
                <w:sz w:val="16"/>
                <w:szCs w:val="16"/>
                <w:highlight w:val="yellow"/>
                <w:lang w:eastAsia="en-AU"/>
              </w:rPr>
            </w:pPr>
            <w:r>
              <w:rPr>
                <w:rFonts w:ascii="Open Sans Semibold" w:hAnsi="Open Sans Semibold" w:cs="Open Sans Semibold"/>
                <w:color w:val="000000"/>
                <w:sz w:val="16"/>
                <w:szCs w:val="16"/>
              </w:rPr>
              <w:t>-15</w:t>
            </w:r>
          </w:p>
        </w:tc>
        <w:tc>
          <w:tcPr>
            <w:tcW w:w="720" w:type="dxa"/>
            <w:tcBorders>
              <w:top w:val="single" w:sz="4" w:space="0" w:color="ADD6EA"/>
              <w:left w:val="nil"/>
              <w:bottom w:val="nil"/>
              <w:right w:val="nil"/>
            </w:tcBorders>
            <w:shd w:val="clear" w:color="000000" w:fill="FFFFFF"/>
            <w:vAlign w:val="bottom"/>
            <w:hideMark/>
          </w:tcPr>
          <w:p w14:paraId="38C41D99" w14:textId="0BFF60C3" w:rsidR="004322B5" w:rsidRPr="008246C1" w:rsidRDefault="004322B5" w:rsidP="004322B5">
            <w:pPr>
              <w:keepNext/>
              <w:keepLines/>
              <w:tabs>
                <w:tab w:val="clear" w:pos="567"/>
              </w:tabs>
              <w:spacing w:before="0" w:line="240" w:lineRule="auto"/>
              <w:jc w:val="right"/>
              <w:rPr>
                <w:rFonts w:ascii="Open Sans Semibold" w:eastAsia="Times New Roman" w:hAnsi="Open Sans Semibold" w:cs="Open Sans Semibold"/>
                <w:color w:val="000000"/>
                <w:sz w:val="16"/>
                <w:szCs w:val="16"/>
                <w:highlight w:val="yellow"/>
                <w:lang w:eastAsia="en-AU"/>
              </w:rPr>
            </w:pPr>
            <w:r>
              <w:rPr>
                <w:rFonts w:ascii="Open Sans Semibold" w:hAnsi="Open Sans Semibold" w:cs="Open Sans Semibold"/>
                <w:color w:val="000000"/>
                <w:sz w:val="16"/>
                <w:szCs w:val="16"/>
              </w:rPr>
              <w:t>26</w:t>
            </w:r>
          </w:p>
        </w:tc>
      </w:tr>
      <w:tr w:rsidR="004322B5" w:rsidRPr="00C37C1D" w14:paraId="60642CB9" w14:textId="77777777" w:rsidTr="00B06022">
        <w:trPr>
          <w:trHeight w:val="318"/>
        </w:trPr>
        <w:tc>
          <w:tcPr>
            <w:tcW w:w="3402" w:type="dxa"/>
            <w:tcBorders>
              <w:top w:val="single" w:sz="4" w:space="0" w:color="ADD6EA"/>
              <w:left w:val="nil"/>
              <w:bottom w:val="nil"/>
              <w:right w:val="nil"/>
            </w:tcBorders>
            <w:shd w:val="clear" w:color="000000" w:fill="FFFFFF"/>
            <w:vAlign w:val="bottom"/>
            <w:hideMark/>
          </w:tcPr>
          <w:p w14:paraId="468E1F72" w14:textId="77777777" w:rsidR="004322B5" w:rsidRPr="00C37C1D" w:rsidRDefault="004322B5" w:rsidP="004322B5">
            <w:pPr>
              <w:keepNext/>
              <w:keepLines/>
              <w:tabs>
                <w:tab w:val="clear" w:pos="567"/>
              </w:tabs>
              <w:spacing w:before="0" w:line="240" w:lineRule="auto"/>
              <w:rPr>
                <w:rFonts w:eastAsia="Times New Roman" w:cs="Open Sans Light"/>
                <w:color w:val="000000"/>
                <w:sz w:val="16"/>
                <w:szCs w:val="16"/>
                <w:lang w:eastAsia="en-AU"/>
              </w:rPr>
            </w:pPr>
            <w:r w:rsidRPr="00C37C1D">
              <w:rPr>
                <w:rFonts w:eastAsia="Times New Roman" w:cs="Open Sans Light"/>
                <w:color w:val="000000"/>
                <w:sz w:val="16"/>
                <w:szCs w:val="16"/>
                <w:lang w:eastAsia="en-AU"/>
              </w:rPr>
              <w:t>New non-stated method</w:t>
            </w:r>
          </w:p>
        </w:tc>
        <w:tc>
          <w:tcPr>
            <w:tcW w:w="615" w:type="dxa"/>
            <w:tcBorders>
              <w:top w:val="single" w:sz="4" w:space="0" w:color="ADD6EA"/>
              <w:left w:val="nil"/>
              <w:bottom w:val="nil"/>
              <w:right w:val="nil"/>
            </w:tcBorders>
            <w:shd w:val="clear" w:color="000000" w:fill="FFFFFF"/>
            <w:vAlign w:val="bottom"/>
            <w:hideMark/>
          </w:tcPr>
          <w:p w14:paraId="555944E9" w14:textId="4A841127" w:rsidR="004322B5" w:rsidRPr="008246C1" w:rsidRDefault="004322B5" w:rsidP="004322B5">
            <w:pPr>
              <w:keepNext/>
              <w:keepLines/>
              <w:tabs>
                <w:tab w:val="clear" w:pos="567"/>
              </w:tabs>
              <w:spacing w:before="0" w:line="240" w:lineRule="auto"/>
              <w:jc w:val="right"/>
              <w:rPr>
                <w:rFonts w:eastAsia="Times New Roman" w:cs="Open Sans Light"/>
                <w:color w:val="000000"/>
                <w:sz w:val="16"/>
                <w:szCs w:val="16"/>
                <w:highlight w:val="yellow"/>
                <w:lang w:eastAsia="en-AU"/>
              </w:rPr>
            </w:pPr>
            <w:r>
              <w:rPr>
                <w:rFonts w:cs="Open Sans Light"/>
                <w:color w:val="000000"/>
                <w:sz w:val="16"/>
                <w:szCs w:val="16"/>
              </w:rPr>
              <w:t>4</w:t>
            </w:r>
          </w:p>
        </w:tc>
        <w:tc>
          <w:tcPr>
            <w:tcW w:w="616" w:type="dxa"/>
            <w:tcBorders>
              <w:top w:val="single" w:sz="4" w:space="0" w:color="ADD6EA"/>
              <w:left w:val="nil"/>
              <w:bottom w:val="nil"/>
              <w:right w:val="nil"/>
            </w:tcBorders>
            <w:shd w:val="clear" w:color="000000" w:fill="FFFFFF"/>
            <w:vAlign w:val="bottom"/>
            <w:hideMark/>
          </w:tcPr>
          <w:p w14:paraId="5CB57915" w14:textId="6B1FE343" w:rsidR="004322B5" w:rsidRPr="008246C1" w:rsidRDefault="004322B5" w:rsidP="004322B5">
            <w:pPr>
              <w:keepNext/>
              <w:keepLines/>
              <w:tabs>
                <w:tab w:val="clear" w:pos="567"/>
              </w:tabs>
              <w:spacing w:before="0" w:line="240" w:lineRule="auto"/>
              <w:jc w:val="right"/>
              <w:rPr>
                <w:rFonts w:eastAsia="Times New Roman" w:cs="Open Sans Light"/>
                <w:color w:val="000000"/>
                <w:sz w:val="16"/>
                <w:szCs w:val="16"/>
                <w:highlight w:val="yellow"/>
                <w:lang w:eastAsia="en-AU"/>
              </w:rPr>
            </w:pPr>
            <w:r>
              <w:rPr>
                <w:rFonts w:cs="Open Sans Light"/>
                <w:color w:val="000000"/>
                <w:sz w:val="16"/>
                <w:szCs w:val="16"/>
              </w:rPr>
              <w:t>-11</w:t>
            </w:r>
          </w:p>
        </w:tc>
        <w:tc>
          <w:tcPr>
            <w:tcW w:w="615" w:type="dxa"/>
            <w:tcBorders>
              <w:top w:val="single" w:sz="4" w:space="0" w:color="ADD6EA"/>
              <w:left w:val="nil"/>
              <w:bottom w:val="nil"/>
              <w:right w:val="nil"/>
            </w:tcBorders>
            <w:shd w:val="clear" w:color="000000" w:fill="FFFFFF"/>
            <w:vAlign w:val="bottom"/>
            <w:hideMark/>
          </w:tcPr>
          <w:p w14:paraId="38F2FDAF" w14:textId="61602608" w:rsidR="004322B5" w:rsidRPr="008246C1" w:rsidRDefault="004322B5" w:rsidP="004322B5">
            <w:pPr>
              <w:keepNext/>
              <w:keepLines/>
              <w:tabs>
                <w:tab w:val="clear" w:pos="567"/>
              </w:tabs>
              <w:spacing w:before="0" w:line="240" w:lineRule="auto"/>
              <w:jc w:val="right"/>
              <w:rPr>
                <w:rFonts w:eastAsia="Times New Roman" w:cs="Open Sans Light"/>
                <w:color w:val="000000"/>
                <w:sz w:val="16"/>
                <w:szCs w:val="16"/>
                <w:highlight w:val="yellow"/>
                <w:lang w:eastAsia="en-AU"/>
              </w:rPr>
            </w:pPr>
            <w:r>
              <w:rPr>
                <w:rFonts w:cs="Open Sans Light"/>
                <w:color w:val="000000"/>
                <w:sz w:val="16"/>
                <w:szCs w:val="16"/>
              </w:rPr>
              <w:t>6</w:t>
            </w:r>
          </w:p>
        </w:tc>
        <w:tc>
          <w:tcPr>
            <w:tcW w:w="616" w:type="dxa"/>
            <w:tcBorders>
              <w:top w:val="single" w:sz="4" w:space="0" w:color="ADD6EA"/>
              <w:left w:val="nil"/>
              <w:bottom w:val="nil"/>
              <w:right w:val="nil"/>
            </w:tcBorders>
            <w:shd w:val="clear" w:color="000000" w:fill="FFFFFF"/>
            <w:vAlign w:val="bottom"/>
            <w:hideMark/>
          </w:tcPr>
          <w:p w14:paraId="5CFB015B" w14:textId="53159AD6" w:rsidR="004322B5" w:rsidRPr="008246C1" w:rsidRDefault="004322B5" w:rsidP="004322B5">
            <w:pPr>
              <w:keepNext/>
              <w:keepLines/>
              <w:tabs>
                <w:tab w:val="clear" w:pos="567"/>
              </w:tabs>
              <w:spacing w:before="0" w:line="240" w:lineRule="auto"/>
              <w:jc w:val="right"/>
              <w:rPr>
                <w:rFonts w:eastAsia="Times New Roman" w:cs="Open Sans Light"/>
                <w:color w:val="000000"/>
                <w:sz w:val="16"/>
                <w:szCs w:val="16"/>
                <w:highlight w:val="yellow"/>
                <w:lang w:eastAsia="en-AU"/>
              </w:rPr>
            </w:pPr>
            <w:r>
              <w:rPr>
                <w:rFonts w:cs="Open Sans Light"/>
                <w:color w:val="000000"/>
                <w:sz w:val="16"/>
                <w:szCs w:val="16"/>
              </w:rPr>
              <w:t>0</w:t>
            </w:r>
          </w:p>
        </w:tc>
        <w:tc>
          <w:tcPr>
            <w:tcW w:w="615" w:type="dxa"/>
            <w:tcBorders>
              <w:top w:val="single" w:sz="4" w:space="0" w:color="ADD6EA"/>
              <w:left w:val="nil"/>
              <w:bottom w:val="nil"/>
              <w:right w:val="nil"/>
            </w:tcBorders>
            <w:shd w:val="clear" w:color="000000" w:fill="FFFFFF"/>
            <w:vAlign w:val="bottom"/>
            <w:hideMark/>
          </w:tcPr>
          <w:p w14:paraId="246FF7A5" w14:textId="3D542864" w:rsidR="004322B5" w:rsidRPr="008246C1" w:rsidRDefault="004322B5" w:rsidP="004322B5">
            <w:pPr>
              <w:keepNext/>
              <w:keepLines/>
              <w:tabs>
                <w:tab w:val="clear" w:pos="567"/>
              </w:tabs>
              <w:spacing w:before="0" w:line="240" w:lineRule="auto"/>
              <w:jc w:val="right"/>
              <w:rPr>
                <w:rFonts w:eastAsia="Times New Roman" w:cs="Open Sans Light"/>
                <w:color w:val="000000"/>
                <w:sz w:val="16"/>
                <w:szCs w:val="16"/>
                <w:highlight w:val="yellow"/>
                <w:lang w:eastAsia="en-AU"/>
              </w:rPr>
            </w:pPr>
            <w:r>
              <w:rPr>
                <w:rFonts w:cs="Open Sans Light"/>
                <w:color w:val="000000"/>
                <w:sz w:val="16"/>
                <w:szCs w:val="16"/>
              </w:rPr>
              <w:t>-2</w:t>
            </w:r>
          </w:p>
        </w:tc>
        <w:tc>
          <w:tcPr>
            <w:tcW w:w="616" w:type="dxa"/>
            <w:tcBorders>
              <w:top w:val="single" w:sz="4" w:space="0" w:color="ADD6EA"/>
              <w:left w:val="nil"/>
              <w:bottom w:val="nil"/>
              <w:right w:val="nil"/>
            </w:tcBorders>
            <w:shd w:val="clear" w:color="000000" w:fill="FFFFFF"/>
            <w:vAlign w:val="bottom"/>
            <w:hideMark/>
          </w:tcPr>
          <w:p w14:paraId="767C4AE2" w14:textId="370DE39A" w:rsidR="004322B5" w:rsidRPr="008246C1" w:rsidRDefault="004322B5" w:rsidP="004322B5">
            <w:pPr>
              <w:keepNext/>
              <w:keepLines/>
              <w:tabs>
                <w:tab w:val="clear" w:pos="567"/>
              </w:tabs>
              <w:spacing w:before="0" w:line="240" w:lineRule="auto"/>
              <w:jc w:val="right"/>
              <w:rPr>
                <w:rFonts w:eastAsia="Times New Roman" w:cs="Open Sans Light"/>
                <w:color w:val="000000"/>
                <w:sz w:val="16"/>
                <w:szCs w:val="16"/>
                <w:highlight w:val="yellow"/>
                <w:lang w:eastAsia="en-AU"/>
              </w:rPr>
            </w:pPr>
            <w:r>
              <w:rPr>
                <w:rFonts w:cs="Open Sans Light"/>
                <w:color w:val="000000"/>
                <w:sz w:val="16"/>
                <w:szCs w:val="16"/>
              </w:rPr>
              <w:t>1</w:t>
            </w:r>
          </w:p>
        </w:tc>
        <w:tc>
          <w:tcPr>
            <w:tcW w:w="615" w:type="dxa"/>
            <w:tcBorders>
              <w:top w:val="single" w:sz="4" w:space="0" w:color="ADD6EA"/>
              <w:left w:val="nil"/>
              <w:bottom w:val="nil"/>
              <w:right w:val="nil"/>
            </w:tcBorders>
            <w:shd w:val="clear" w:color="000000" w:fill="FFFFFF"/>
            <w:vAlign w:val="bottom"/>
            <w:hideMark/>
          </w:tcPr>
          <w:p w14:paraId="1951A70E" w14:textId="2565735D" w:rsidR="004322B5" w:rsidRPr="008246C1" w:rsidRDefault="004322B5" w:rsidP="004322B5">
            <w:pPr>
              <w:keepNext/>
              <w:keepLines/>
              <w:tabs>
                <w:tab w:val="clear" w:pos="567"/>
              </w:tabs>
              <w:spacing w:before="0" w:line="240" w:lineRule="auto"/>
              <w:jc w:val="right"/>
              <w:rPr>
                <w:rFonts w:eastAsia="Times New Roman" w:cs="Open Sans Light"/>
                <w:color w:val="000000"/>
                <w:sz w:val="16"/>
                <w:szCs w:val="16"/>
                <w:highlight w:val="yellow"/>
                <w:lang w:eastAsia="en-AU"/>
              </w:rPr>
            </w:pPr>
            <w:r>
              <w:rPr>
                <w:rFonts w:cs="Open Sans Light"/>
                <w:color w:val="000000"/>
                <w:sz w:val="16"/>
                <w:szCs w:val="16"/>
              </w:rPr>
              <w:t>0</w:t>
            </w:r>
          </w:p>
        </w:tc>
        <w:tc>
          <w:tcPr>
            <w:tcW w:w="512" w:type="dxa"/>
            <w:tcBorders>
              <w:top w:val="single" w:sz="4" w:space="0" w:color="ADD6EA"/>
              <w:left w:val="nil"/>
              <w:bottom w:val="nil"/>
              <w:right w:val="nil"/>
            </w:tcBorders>
            <w:shd w:val="clear" w:color="000000" w:fill="FFFFFF"/>
            <w:vAlign w:val="bottom"/>
            <w:hideMark/>
          </w:tcPr>
          <w:p w14:paraId="6C828DBD" w14:textId="7AEE36B1" w:rsidR="004322B5" w:rsidRPr="008246C1" w:rsidRDefault="004322B5" w:rsidP="004322B5">
            <w:pPr>
              <w:keepNext/>
              <w:keepLines/>
              <w:tabs>
                <w:tab w:val="clear" w:pos="567"/>
              </w:tabs>
              <w:spacing w:before="0" w:line="240" w:lineRule="auto"/>
              <w:jc w:val="right"/>
              <w:rPr>
                <w:rFonts w:eastAsia="Times New Roman" w:cs="Open Sans Light"/>
                <w:color w:val="000000"/>
                <w:sz w:val="16"/>
                <w:szCs w:val="16"/>
                <w:highlight w:val="yellow"/>
                <w:lang w:eastAsia="en-AU"/>
              </w:rPr>
            </w:pPr>
            <w:r>
              <w:rPr>
                <w:rFonts w:cs="Open Sans Light"/>
                <w:color w:val="000000"/>
                <w:sz w:val="16"/>
                <w:szCs w:val="16"/>
              </w:rPr>
              <w:t>3</w:t>
            </w:r>
          </w:p>
        </w:tc>
        <w:tc>
          <w:tcPr>
            <w:tcW w:w="720" w:type="dxa"/>
            <w:tcBorders>
              <w:top w:val="single" w:sz="4" w:space="0" w:color="ADD6EA"/>
              <w:left w:val="nil"/>
              <w:bottom w:val="nil"/>
              <w:right w:val="nil"/>
            </w:tcBorders>
            <w:shd w:val="clear" w:color="000000" w:fill="FFFFFF"/>
            <w:vAlign w:val="bottom"/>
            <w:hideMark/>
          </w:tcPr>
          <w:p w14:paraId="67847AB4" w14:textId="052EE4A1" w:rsidR="004322B5" w:rsidRPr="008246C1" w:rsidRDefault="004322B5" w:rsidP="004322B5">
            <w:pPr>
              <w:keepNext/>
              <w:keepLines/>
              <w:tabs>
                <w:tab w:val="clear" w:pos="567"/>
              </w:tabs>
              <w:spacing w:before="0" w:line="240" w:lineRule="auto"/>
              <w:jc w:val="right"/>
              <w:rPr>
                <w:rFonts w:eastAsia="Times New Roman" w:cs="Open Sans Light"/>
                <w:color w:val="000000"/>
                <w:sz w:val="16"/>
                <w:szCs w:val="16"/>
                <w:highlight w:val="yellow"/>
                <w:lang w:eastAsia="en-AU"/>
              </w:rPr>
            </w:pPr>
            <w:r>
              <w:rPr>
                <w:rFonts w:cs="Open Sans Light"/>
                <w:color w:val="000000"/>
                <w:sz w:val="16"/>
                <w:szCs w:val="16"/>
              </w:rPr>
              <w:t>13</w:t>
            </w:r>
          </w:p>
        </w:tc>
      </w:tr>
      <w:tr w:rsidR="004322B5" w:rsidRPr="00C37C1D" w14:paraId="6131173C" w14:textId="77777777" w:rsidTr="00B06022">
        <w:trPr>
          <w:trHeight w:val="318"/>
        </w:trPr>
        <w:tc>
          <w:tcPr>
            <w:tcW w:w="3402" w:type="dxa"/>
            <w:tcBorders>
              <w:top w:val="single" w:sz="4" w:space="0" w:color="ADD6EA"/>
              <w:left w:val="nil"/>
              <w:bottom w:val="nil"/>
              <w:right w:val="nil"/>
            </w:tcBorders>
            <w:shd w:val="clear" w:color="000000" w:fill="FFFFFF"/>
            <w:vAlign w:val="bottom"/>
            <w:hideMark/>
          </w:tcPr>
          <w:p w14:paraId="7E148D2B" w14:textId="77777777" w:rsidR="004322B5" w:rsidRPr="00C37C1D" w:rsidRDefault="004322B5" w:rsidP="004322B5">
            <w:pPr>
              <w:keepNext/>
              <w:keepLines/>
              <w:tabs>
                <w:tab w:val="clear" w:pos="567"/>
              </w:tabs>
              <w:spacing w:before="0" w:line="240" w:lineRule="auto"/>
              <w:rPr>
                <w:rFonts w:eastAsia="Times New Roman" w:cs="Open Sans Light"/>
                <w:color w:val="000000"/>
                <w:sz w:val="16"/>
                <w:szCs w:val="16"/>
                <w:lang w:eastAsia="en-AU"/>
              </w:rPr>
            </w:pPr>
            <w:r w:rsidRPr="00C37C1D">
              <w:rPr>
                <w:rFonts w:eastAsia="Times New Roman" w:cs="Open Sans Light"/>
                <w:color w:val="000000"/>
                <w:sz w:val="16"/>
                <w:szCs w:val="16"/>
                <w:lang w:eastAsia="en-AU"/>
              </w:rPr>
              <w:t>Removing regional costs in criminal courts</w:t>
            </w:r>
          </w:p>
        </w:tc>
        <w:tc>
          <w:tcPr>
            <w:tcW w:w="615" w:type="dxa"/>
            <w:tcBorders>
              <w:top w:val="single" w:sz="4" w:space="0" w:color="ADD6EA"/>
              <w:left w:val="nil"/>
              <w:bottom w:val="nil"/>
              <w:right w:val="nil"/>
            </w:tcBorders>
            <w:shd w:val="clear" w:color="000000" w:fill="FFFFFF"/>
            <w:vAlign w:val="bottom"/>
            <w:hideMark/>
          </w:tcPr>
          <w:p w14:paraId="7578B443" w14:textId="3A82667B" w:rsidR="004322B5" w:rsidRPr="008246C1" w:rsidRDefault="004322B5" w:rsidP="004322B5">
            <w:pPr>
              <w:keepNext/>
              <w:keepLines/>
              <w:tabs>
                <w:tab w:val="clear" w:pos="567"/>
              </w:tabs>
              <w:spacing w:before="0" w:line="240" w:lineRule="auto"/>
              <w:jc w:val="right"/>
              <w:rPr>
                <w:rFonts w:eastAsia="Times New Roman" w:cs="Open Sans Light"/>
                <w:color w:val="000000"/>
                <w:sz w:val="16"/>
                <w:szCs w:val="16"/>
                <w:highlight w:val="yellow"/>
                <w:lang w:eastAsia="en-AU"/>
              </w:rPr>
            </w:pPr>
            <w:r>
              <w:rPr>
                <w:rFonts w:cs="Open Sans Light"/>
                <w:color w:val="000000"/>
                <w:sz w:val="16"/>
                <w:szCs w:val="16"/>
              </w:rPr>
              <w:t>13</w:t>
            </w:r>
          </w:p>
        </w:tc>
        <w:tc>
          <w:tcPr>
            <w:tcW w:w="616" w:type="dxa"/>
            <w:tcBorders>
              <w:top w:val="single" w:sz="4" w:space="0" w:color="ADD6EA"/>
              <w:left w:val="nil"/>
              <w:bottom w:val="nil"/>
              <w:right w:val="nil"/>
            </w:tcBorders>
            <w:shd w:val="clear" w:color="000000" w:fill="FFFFFF"/>
            <w:vAlign w:val="bottom"/>
            <w:hideMark/>
          </w:tcPr>
          <w:p w14:paraId="32A8621B" w14:textId="6A17A1C3" w:rsidR="004322B5" w:rsidRPr="008246C1" w:rsidRDefault="004322B5" w:rsidP="004322B5">
            <w:pPr>
              <w:keepNext/>
              <w:keepLines/>
              <w:tabs>
                <w:tab w:val="clear" w:pos="567"/>
              </w:tabs>
              <w:spacing w:before="0" w:line="240" w:lineRule="auto"/>
              <w:jc w:val="right"/>
              <w:rPr>
                <w:rFonts w:eastAsia="Times New Roman" w:cs="Open Sans Light"/>
                <w:color w:val="000000"/>
                <w:sz w:val="16"/>
                <w:szCs w:val="16"/>
                <w:highlight w:val="yellow"/>
                <w:lang w:eastAsia="en-AU"/>
              </w:rPr>
            </w:pPr>
            <w:r>
              <w:rPr>
                <w:rFonts w:cs="Open Sans Light"/>
                <w:color w:val="000000"/>
                <w:sz w:val="16"/>
                <w:szCs w:val="16"/>
              </w:rPr>
              <w:t>11</w:t>
            </w:r>
          </w:p>
        </w:tc>
        <w:tc>
          <w:tcPr>
            <w:tcW w:w="615" w:type="dxa"/>
            <w:tcBorders>
              <w:top w:val="single" w:sz="4" w:space="0" w:color="ADD6EA"/>
              <w:left w:val="nil"/>
              <w:bottom w:val="nil"/>
              <w:right w:val="nil"/>
            </w:tcBorders>
            <w:shd w:val="clear" w:color="000000" w:fill="FFFFFF"/>
            <w:vAlign w:val="bottom"/>
            <w:hideMark/>
          </w:tcPr>
          <w:p w14:paraId="00C871B7" w14:textId="1A59E046" w:rsidR="004322B5" w:rsidRPr="008246C1" w:rsidRDefault="004322B5" w:rsidP="004322B5">
            <w:pPr>
              <w:keepNext/>
              <w:keepLines/>
              <w:tabs>
                <w:tab w:val="clear" w:pos="567"/>
              </w:tabs>
              <w:spacing w:before="0" w:line="240" w:lineRule="auto"/>
              <w:jc w:val="right"/>
              <w:rPr>
                <w:rFonts w:eastAsia="Times New Roman" w:cs="Open Sans Light"/>
                <w:color w:val="000000"/>
                <w:sz w:val="16"/>
                <w:szCs w:val="16"/>
                <w:highlight w:val="yellow"/>
                <w:lang w:eastAsia="en-AU"/>
              </w:rPr>
            </w:pPr>
            <w:r>
              <w:rPr>
                <w:rFonts w:cs="Open Sans Light"/>
                <w:color w:val="000000"/>
                <w:sz w:val="16"/>
                <w:szCs w:val="16"/>
              </w:rPr>
              <w:t>-1</w:t>
            </w:r>
          </w:p>
        </w:tc>
        <w:tc>
          <w:tcPr>
            <w:tcW w:w="616" w:type="dxa"/>
            <w:tcBorders>
              <w:top w:val="single" w:sz="4" w:space="0" w:color="ADD6EA"/>
              <w:left w:val="nil"/>
              <w:bottom w:val="nil"/>
              <w:right w:val="nil"/>
            </w:tcBorders>
            <w:shd w:val="clear" w:color="000000" w:fill="FFFFFF"/>
            <w:vAlign w:val="bottom"/>
            <w:hideMark/>
          </w:tcPr>
          <w:p w14:paraId="24BF2D08" w14:textId="1341B131" w:rsidR="004322B5" w:rsidRPr="008246C1" w:rsidRDefault="004322B5" w:rsidP="004322B5">
            <w:pPr>
              <w:keepNext/>
              <w:keepLines/>
              <w:tabs>
                <w:tab w:val="clear" w:pos="567"/>
              </w:tabs>
              <w:spacing w:before="0" w:line="240" w:lineRule="auto"/>
              <w:jc w:val="right"/>
              <w:rPr>
                <w:rFonts w:eastAsia="Times New Roman" w:cs="Open Sans Light"/>
                <w:color w:val="000000"/>
                <w:sz w:val="16"/>
                <w:szCs w:val="16"/>
                <w:highlight w:val="yellow"/>
                <w:lang w:eastAsia="en-AU"/>
              </w:rPr>
            </w:pPr>
            <w:r>
              <w:rPr>
                <w:rFonts w:cs="Open Sans Light"/>
                <w:color w:val="000000"/>
                <w:sz w:val="16"/>
                <w:szCs w:val="16"/>
              </w:rPr>
              <w:t>-8</w:t>
            </w:r>
          </w:p>
        </w:tc>
        <w:tc>
          <w:tcPr>
            <w:tcW w:w="615" w:type="dxa"/>
            <w:tcBorders>
              <w:top w:val="single" w:sz="4" w:space="0" w:color="ADD6EA"/>
              <w:left w:val="nil"/>
              <w:bottom w:val="nil"/>
              <w:right w:val="nil"/>
            </w:tcBorders>
            <w:shd w:val="clear" w:color="000000" w:fill="FFFFFF"/>
            <w:vAlign w:val="bottom"/>
            <w:hideMark/>
          </w:tcPr>
          <w:p w14:paraId="552F648C" w14:textId="192E22DD" w:rsidR="004322B5" w:rsidRPr="008246C1" w:rsidRDefault="004322B5" w:rsidP="004322B5">
            <w:pPr>
              <w:keepNext/>
              <w:keepLines/>
              <w:tabs>
                <w:tab w:val="clear" w:pos="567"/>
              </w:tabs>
              <w:spacing w:before="0" w:line="240" w:lineRule="auto"/>
              <w:jc w:val="right"/>
              <w:rPr>
                <w:rFonts w:eastAsia="Times New Roman" w:cs="Open Sans Light"/>
                <w:color w:val="000000"/>
                <w:sz w:val="16"/>
                <w:szCs w:val="16"/>
                <w:highlight w:val="yellow"/>
                <w:lang w:eastAsia="en-AU"/>
              </w:rPr>
            </w:pPr>
            <w:r>
              <w:rPr>
                <w:rFonts w:cs="Open Sans Light"/>
                <w:color w:val="000000"/>
                <w:sz w:val="16"/>
                <w:szCs w:val="16"/>
              </w:rPr>
              <w:t>0</w:t>
            </w:r>
          </w:p>
        </w:tc>
        <w:tc>
          <w:tcPr>
            <w:tcW w:w="616" w:type="dxa"/>
            <w:tcBorders>
              <w:top w:val="single" w:sz="4" w:space="0" w:color="ADD6EA"/>
              <w:left w:val="nil"/>
              <w:bottom w:val="nil"/>
              <w:right w:val="nil"/>
            </w:tcBorders>
            <w:shd w:val="clear" w:color="000000" w:fill="FFFFFF"/>
            <w:vAlign w:val="bottom"/>
            <w:hideMark/>
          </w:tcPr>
          <w:p w14:paraId="16312FA2" w14:textId="7B301D9C" w:rsidR="004322B5" w:rsidRPr="008246C1" w:rsidRDefault="004322B5" w:rsidP="004322B5">
            <w:pPr>
              <w:keepNext/>
              <w:keepLines/>
              <w:tabs>
                <w:tab w:val="clear" w:pos="567"/>
              </w:tabs>
              <w:spacing w:before="0" w:line="240" w:lineRule="auto"/>
              <w:jc w:val="right"/>
              <w:rPr>
                <w:rFonts w:eastAsia="Times New Roman" w:cs="Open Sans Light"/>
                <w:color w:val="000000"/>
                <w:sz w:val="16"/>
                <w:szCs w:val="16"/>
                <w:highlight w:val="yellow"/>
                <w:lang w:eastAsia="en-AU"/>
              </w:rPr>
            </w:pPr>
            <w:r>
              <w:rPr>
                <w:rFonts w:cs="Open Sans Light"/>
                <w:color w:val="000000"/>
                <w:sz w:val="16"/>
                <w:szCs w:val="16"/>
              </w:rPr>
              <w:t>1</w:t>
            </w:r>
          </w:p>
        </w:tc>
        <w:tc>
          <w:tcPr>
            <w:tcW w:w="615" w:type="dxa"/>
            <w:tcBorders>
              <w:top w:val="single" w:sz="4" w:space="0" w:color="ADD6EA"/>
              <w:left w:val="nil"/>
              <w:bottom w:val="nil"/>
              <w:right w:val="nil"/>
            </w:tcBorders>
            <w:shd w:val="clear" w:color="000000" w:fill="FFFFFF"/>
            <w:vAlign w:val="bottom"/>
            <w:hideMark/>
          </w:tcPr>
          <w:p w14:paraId="77FD10B2" w14:textId="3F704123" w:rsidR="004322B5" w:rsidRPr="008246C1" w:rsidRDefault="004322B5" w:rsidP="004322B5">
            <w:pPr>
              <w:keepNext/>
              <w:keepLines/>
              <w:tabs>
                <w:tab w:val="clear" w:pos="567"/>
              </w:tabs>
              <w:spacing w:before="0" w:line="240" w:lineRule="auto"/>
              <w:jc w:val="right"/>
              <w:rPr>
                <w:rFonts w:eastAsia="Times New Roman" w:cs="Open Sans Light"/>
                <w:color w:val="000000"/>
                <w:sz w:val="16"/>
                <w:szCs w:val="16"/>
                <w:highlight w:val="yellow"/>
                <w:lang w:eastAsia="en-AU"/>
              </w:rPr>
            </w:pPr>
            <w:r>
              <w:rPr>
                <w:rFonts w:cs="Open Sans Light"/>
                <w:color w:val="000000"/>
                <w:sz w:val="16"/>
                <w:szCs w:val="16"/>
              </w:rPr>
              <w:t>1</w:t>
            </w:r>
          </w:p>
        </w:tc>
        <w:tc>
          <w:tcPr>
            <w:tcW w:w="512" w:type="dxa"/>
            <w:tcBorders>
              <w:top w:val="single" w:sz="4" w:space="0" w:color="ADD6EA"/>
              <w:left w:val="nil"/>
              <w:bottom w:val="nil"/>
              <w:right w:val="nil"/>
            </w:tcBorders>
            <w:shd w:val="clear" w:color="000000" w:fill="FFFFFF"/>
            <w:vAlign w:val="bottom"/>
            <w:hideMark/>
          </w:tcPr>
          <w:p w14:paraId="42767B5E" w14:textId="508701AF" w:rsidR="004322B5" w:rsidRPr="008246C1" w:rsidRDefault="004322B5" w:rsidP="004322B5">
            <w:pPr>
              <w:keepNext/>
              <w:keepLines/>
              <w:tabs>
                <w:tab w:val="clear" w:pos="567"/>
              </w:tabs>
              <w:spacing w:before="0" w:line="240" w:lineRule="auto"/>
              <w:jc w:val="right"/>
              <w:rPr>
                <w:rFonts w:eastAsia="Times New Roman" w:cs="Open Sans Light"/>
                <w:color w:val="000000"/>
                <w:sz w:val="16"/>
                <w:szCs w:val="16"/>
                <w:highlight w:val="yellow"/>
                <w:lang w:eastAsia="en-AU"/>
              </w:rPr>
            </w:pPr>
            <w:r>
              <w:rPr>
                <w:rFonts w:cs="Open Sans Light"/>
                <w:color w:val="000000"/>
                <w:sz w:val="16"/>
                <w:szCs w:val="16"/>
              </w:rPr>
              <w:t>-17</w:t>
            </w:r>
          </w:p>
        </w:tc>
        <w:tc>
          <w:tcPr>
            <w:tcW w:w="720" w:type="dxa"/>
            <w:tcBorders>
              <w:top w:val="single" w:sz="4" w:space="0" w:color="ADD6EA"/>
              <w:left w:val="nil"/>
              <w:bottom w:val="nil"/>
              <w:right w:val="nil"/>
            </w:tcBorders>
            <w:shd w:val="clear" w:color="000000" w:fill="FFFFFF"/>
            <w:vAlign w:val="bottom"/>
            <w:hideMark/>
          </w:tcPr>
          <w:p w14:paraId="5667A4FB" w14:textId="6D303DE6" w:rsidR="004322B5" w:rsidRPr="008246C1" w:rsidRDefault="004322B5" w:rsidP="004322B5">
            <w:pPr>
              <w:keepNext/>
              <w:keepLines/>
              <w:tabs>
                <w:tab w:val="clear" w:pos="567"/>
              </w:tabs>
              <w:spacing w:before="0" w:line="240" w:lineRule="auto"/>
              <w:jc w:val="right"/>
              <w:rPr>
                <w:rFonts w:eastAsia="Times New Roman" w:cs="Open Sans Light"/>
                <w:color w:val="000000"/>
                <w:sz w:val="16"/>
                <w:szCs w:val="16"/>
                <w:highlight w:val="yellow"/>
                <w:lang w:eastAsia="en-AU"/>
              </w:rPr>
            </w:pPr>
            <w:r>
              <w:rPr>
                <w:rFonts w:cs="Open Sans Light"/>
                <w:color w:val="000000"/>
                <w:sz w:val="16"/>
                <w:szCs w:val="16"/>
              </w:rPr>
              <w:t>26</w:t>
            </w:r>
          </w:p>
        </w:tc>
      </w:tr>
      <w:tr w:rsidR="004322B5" w:rsidRPr="00C37C1D" w14:paraId="4DF20F6F" w14:textId="77777777" w:rsidTr="00B06022">
        <w:trPr>
          <w:trHeight w:val="318"/>
        </w:trPr>
        <w:tc>
          <w:tcPr>
            <w:tcW w:w="3402" w:type="dxa"/>
            <w:tcBorders>
              <w:top w:val="single" w:sz="4" w:space="0" w:color="ADD6EA"/>
              <w:left w:val="nil"/>
              <w:bottom w:val="nil"/>
              <w:right w:val="nil"/>
            </w:tcBorders>
            <w:shd w:val="clear" w:color="000000" w:fill="FFFFFF"/>
            <w:vAlign w:val="bottom"/>
            <w:hideMark/>
          </w:tcPr>
          <w:p w14:paraId="335541C6" w14:textId="77777777" w:rsidR="004322B5" w:rsidRPr="00C37C1D" w:rsidRDefault="004322B5" w:rsidP="004322B5">
            <w:pPr>
              <w:keepNext/>
              <w:keepLines/>
              <w:tabs>
                <w:tab w:val="clear" w:pos="567"/>
              </w:tabs>
              <w:spacing w:before="0" w:line="240" w:lineRule="auto"/>
              <w:rPr>
                <w:rFonts w:eastAsia="Times New Roman" w:cs="Open Sans Light"/>
                <w:color w:val="000000"/>
                <w:sz w:val="16"/>
                <w:szCs w:val="16"/>
                <w:lang w:eastAsia="en-AU"/>
              </w:rPr>
            </w:pPr>
            <w:r w:rsidRPr="00C37C1D">
              <w:rPr>
                <w:rFonts w:eastAsia="Times New Roman" w:cs="Open Sans Light"/>
                <w:color w:val="000000"/>
                <w:sz w:val="16"/>
                <w:szCs w:val="16"/>
                <w:lang w:eastAsia="en-AU"/>
              </w:rPr>
              <w:t>Removing regional costs in OLS</w:t>
            </w:r>
            <w:r>
              <w:rPr>
                <w:rFonts w:eastAsia="Times New Roman" w:cs="Open Sans Light"/>
                <w:color w:val="000000"/>
                <w:sz w:val="16"/>
                <w:szCs w:val="16"/>
                <w:lang w:eastAsia="en-AU"/>
              </w:rPr>
              <w:t xml:space="preserve"> (a)</w:t>
            </w:r>
          </w:p>
        </w:tc>
        <w:tc>
          <w:tcPr>
            <w:tcW w:w="615" w:type="dxa"/>
            <w:tcBorders>
              <w:top w:val="single" w:sz="4" w:space="0" w:color="ADD6EA"/>
              <w:left w:val="nil"/>
              <w:bottom w:val="nil"/>
              <w:right w:val="nil"/>
            </w:tcBorders>
            <w:shd w:val="clear" w:color="000000" w:fill="FFFFFF"/>
            <w:vAlign w:val="bottom"/>
            <w:hideMark/>
          </w:tcPr>
          <w:p w14:paraId="68C90EC3" w14:textId="5D54F9C3" w:rsidR="004322B5" w:rsidRPr="008246C1" w:rsidRDefault="004322B5" w:rsidP="004322B5">
            <w:pPr>
              <w:keepNext/>
              <w:keepLines/>
              <w:tabs>
                <w:tab w:val="clear" w:pos="567"/>
              </w:tabs>
              <w:spacing w:before="0" w:line="240" w:lineRule="auto"/>
              <w:jc w:val="right"/>
              <w:rPr>
                <w:rFonts w:eastAsia="Times New Roman" w:cs="Open Sans Light"/>
                <w:color w:val="000000"/>
                <w:sz w:val="16"/>
                <w:szCs w:val="16"/>
                <w:highlight w:val="yellow"/>
                <w:lang w:eastAsia="en-AU"/>
              </w:rPr>
            </w:pPr>
            <w:r>
              <w:rPr>
                <w:rFonts w:cs="Open Sans Light"/>
                <w:color w:val="000000"/>
                <w:sz w:val="16"/>
                <w:szCs w:val="16"/>
              </w:rPr>
              <w:t>1</w:t>
            </w:r>
          </w:p>
        </w:tc>
        <w:tc>
          <w:tcPr>
            <w:tcW w:w="616" w:type="dxa"/>
            <w:tcBorders>
              <w:top w:val="single" w:sz="4" w:space="0" w:color="ADD6EA"/>
              <w:left w:val="nil"/>
              <w:bottom w:val="nil"/>
              <w:right w:val="nil"/>
            </w:tcBorders>
            <w:shd w:val="clear" w:color="000000" w:fill="FFFFFF"/>
            <w:vAlign w:val="bottom"/>
            <w:hideMark/>
          </w:tcPr>
          <w:p w14:paraId="044833C6" w14:textId="065C8536" w:rsidR="004322B5" w:rsidRPr="008246C1" w:rsidRDefault="004322B5" w:rsidP="004322B5">
            <w:pPr>
              <w:keepNext/>
              <w:keepLines/>
              <w:tabs>
                <w:tab w:val="clear" w:pos="567"/>
              </w:tabs>
              <w:spacing w:before="0" w:line="240" w:lineRule="auto"/>
              <w:jc w:val="right"/>
              <w:rPr>
                <w:rFonts w:eastAsia="Times New Roman" w:cs="Open Sans Light"/>
                <w:color w:val="000000"/>
                <w:sz w:val="16"/>
                <w:szCs w:val="16"/>
                <w:highlight w:val="yellow"/>
                <w:lang w:eastAsia="en-AU"/>
              </w:rPr>
            </w:pPr>
            <w:r>
              <w:rPr>
                <w:rFonts w:cs="Open Sans Light"/>
                <w:color w:val="000000"/>
                <w:sz w:val="16"/>
                <w:szCs w:val="16"/>
              </w:rPr>
              <w:t>1</w:t>
            </w:r>
          </w:p>
        </w:tc>
        <w:tc>
          <w:tcPr>
            <w:tcW w:w="615" w:type="dxa"/>
            <w:tcBorders>
              <w:top w:val="single" w:sz="4" w:space="0" w:color="ADD6EA"/>
              <w:left w:val="nil"/>
              <w:bottom w:val="nil"/>
              <w:right w:val="nil"/>
            </w:tcBorders>
            <w:shd w:val="clear" w:color="000000" w:fill="FFFFFF"/>
            <w:vAlign w:val="bottom"/>
            <w:hideMark/>
          </w:tcPr>
          <w:p w14:paraId="60F6D9BE" w14:textId="0CEF34EA" w:rsidR="004322B5" w:rsidRPr="008246C1" w:rsidRDefault="004322B5" w:rsidP="004322B5">
            <w:pPr>
              <w:keepNext/>
              <w:keepLines/>
              <w:tabs>
                <w:tab w:val="clear" w:pos="567"/>
              </w:tabs>
              <w:spacing w:before="0" w:line="240" w:lineRule="auto"/>
              <w:jc w:val="right"/>
              <w:rPr>
                <w:rFonts w:eastAsia="Times New Roman" w:cs="Open Sans Light"/>
                <w:color w:val="000000"/>
                <w:sz w:val="16"/>
                <w:szCs w:val="16"/>
                <w:highlight w:val="yellow"/>
                <w:lang w:eastAsia="en-AU"/>
              </w:rPr>
            </w:pPr>
            <w:r>
              <w:rPr>
                <w:rFonts w:cs="Open Sans Light"/>
                <w:color w:val="000000"/>
                <w:sz w:val="16"/>
                <w:szCs w:val="16"/>
              </w:rPr>
              <w:t>0</w:t>
            </w:r>
          </w:p>
        </w:tc>
        <w:tc>
          <w:tcPr>
            <w:tcW w:w="616" w:type="dxa"/>
            <w:tcBorders>
              <w:top w:val="single" w:sz="4" w:space="0" w:color="ADD6EA"/>
              <w:left w:val="nil"/>
              <w:bottom w:val="nil"/>
              <w:right w:val="nil"/>
            </w:tcBorders>
            <w:shd w:val="clear" w:color="000000" w:fill="FFFFFF"/>
            <w:vAlign w:val="bottom"/>
            <w:hideMark/>
          </w:tcPr>
          <w:p w14:paraId="790C2B4E" w14:textId="21B99838" w:rsidR="004322B5" w:rsidRPr="008246C1" w:rsidRDefault="004322B5" w:rsidP="004322B5">
            <w:pPr>
              <w:keepNext/>
              <w:keepLines/>
              <w:tabs>
                <w:tab w:val="clear" w:pos="567"/>
              </w:tabs>
              <w:spacing w:before="0" w:line="240" w:lineRule="auto"/>
              <w:jc w:val="right"/>
              <w:rPr>
                <w:rFonts w:eastAsia="Times New Roman" w:cs="Open Sans Light"/>
                <w:color w:val="000000"/>
                <w:sz w:val="16"/>
                <w:szCs w:val="16"/>
                <w:highlight w:val="yellow"/>
                <w:lang w:eastAsia="en-AU"/>
              </w:rPr>
            </w:pPr>
            <w:r>
              <w:rPr>
                <w:rFonts w:cs="Open Sans Light"/>
                <w:color w:val="000000"/>
                <w:sz w:val="16"/>
                <w:szCs w:val="16"/>
              </w:rPr>
              <w:t>-1</w:t>
            </w:r>
          </w:p>
        </w:tc>
        <w:tc>
          <w:tcPr>
            <w:tcW w:w="615" w:type="dxa"/>
            <w:tcBorders>
              <w:top w:val="single" w:sz="4" w:space="0" w:color="ADD6EA"/>
              <w:left w:val="nil"/>
              <w:bottom w:val="nil"/>
              <w:right w:val="nil"/>
            </w:tcBorders>
            <w:shd w:val="clear" w:color="000000" w:fill="FFFFFF"/>
            <w:vAlign w:val="bottom"/>
            <w:hideMark/>
          </w:tcPr>
          <w:p w14:paraId="62E65502" w14:textId="7CE4E94D" w:rsidR="004322B5" w:rsidRPr="008246C1" w:rsidRDefault="004322B5" w:rsidP="004322B5">
            <w:pPr>
              <w:keepNext/>
              <w:keepLines/>
              <w:tabs>
                <w:tab w:val="clear" w:pos="567"/>
              </w:tabs>
              <w:spacing w:before="0" w:line="240" w:lineRule="auto"/>
              <w:jc w:val="right"/>
              <w:rPr>
                <w:rFonts w:eastAsia="Times New Roman" w:cs="Open Sans Light"/>
                <w:color w:val="000000"/>
                <w:sz w:val="16"/>
                <w:szCs w:val="16"/>
                <w:highlight w:val="yellow"/>
                <w:lang w:eastAsia="en-AU"/>
              </w:rPr>
            </w:pPr>
            <w:r>
              <w:rPr>
                <w:rFonts w:cs="Open Sans Light"/>
                <w:color w:val="000000"/>
                <w:sz w:val="16"/>
                <w:szCs w:val="16"/>
              </w:rPr>
              <w:t>0</w:t>
            </w:r>
          </w:p>
        </w:tc>
        <w:tc>
          <w:tcPr>
            <w:tcW w:w="616" w:type="dxa"/>
            <w:tcBorders>
              <w:top w:val="single" w:sz="4" w:space="0" w:color="ADD6EA"/>
              <w:left w:val="nil"/>
              <w:bottom w:val="nil"/>
              <w:right w:val="nil"/>
            </w:tcBorders>
            <w:shd w:val="clear" w:color="000000" w:fill="FFFFFF"/>
            <w:vAlign w:val="bottom"/>
            <w:hideMark/>
          </w:tcPr>
          <w:p w14:paraId="3958095D" w14:textId="7C457998" w:rsidR="004322B5" w:rsidRPr="008246C1" w:rsidRDefault="004322B5" w:rsidP="004322B5">
            <w:pPr>
              <w:keepNext/>
              <w:keepLines/>
              <w:tabs>
                <w:tab w:val="clear" w:pos="567"/>
              </w:tabs>
              <w:spacing w:before="0" w:line="240" w:lineRule="auto"/>
              <w:jc w:val="right"/>
              <w:rPr>
                <w:rFonts w:eastAsia="Times New Roman" w:cs="Open Sans Light"/>
                <w:color w:val="000000"/>
                <w:sz w:val="16"/>
                <w:szCs w:val="16"/>
                <w:highlight w:val="yellow"/>
                <w:lang w:eastAsia="en-AU"/>
              </w:rPr>
            </w:pPr>
            <w:r>
              <w:rPr>
                <w:rFonts w:cs="Open Sans Light"/>
                <w:color w:val="000000"/>
                <w:sz w:val="16"/>
                <w:szCs w:val="16"/>
              </w:rPr>
              <w:t>0</w:t>
            </w:r>
          </w:p>
        </w:tc>
        <w:tc>
          <w:tcPr>
            <w:tcW w:w="615" w:type="dxa"/>
            <w:tcBorders>
              <w:top w:val="single" w:sz="4" w:space="0" w:color="ADD6EA"/>
              <w:left w:val="nil"/>
              <w:bottom w:val="nil"/>
              <w:right w:val="nil"/>
            </w:tcBorders>
            <w:shd w:val="clear" w:color="000000" w:fill="FFFFFF"/>
            <w:vAlign w:val="bottom"/>
            <w:hideMark/>
          </w:tcPr>
          <w:p w14:paraId="016C143F" w14:textId="69BE1608" w:rsidR="004322B5" w:rsidRPr="008246C1" w:rsidRDefault="004322B5" w:rsidP="004322B5">
            <w:pPr>
              <w:keepNext/>
              <w:keepLines/>
              <w:tabs>
                <w:tab w:val="clear" w:pos="567"/>
              </w:tabs>
              <w:spacing w:before="0" w:line="240" w:lineRule="auto"/>
              <w:jc w:val="right"/>
              <w:rPr>
                <w:rFonts w:eastAsia="Times New Roman" w:cs="Open Sans Light"/>
                <w:color w:val="000000"/>
                <w:sz w:val="16"/>
                <w:szCs w:val="16"/>
                <w:highlight w:val="yellow"/>
                <w:lang w:eastAsia="en-AU"/>
              </w:rPr>
            </w:pPr>
            <w:r>
              <w:rPr>
                <w:rFonts w:cs="Open Sans Light"/>
                <w:color w:val="000000"/>
                <w:sz w:val="16"/>
                <w:szCs w:val="16"/>
              </w:rPr>
              <w:t>0</w:t>
            </w:r>
          </w:p>
        </w:tc>
        <w:tc>
          <w:tcPr>
            <w:tcW w:w="512" w:type="dxa"/>
            <w:tcBorders>
              <w:top w:val="single" w:sz="4" w:space="0" w:color="ADD6EA"/>
              <w:left w:val="nil"/>
              <w:bottom w:val="nil"/>
              <w:right w:val="nil"/>
            </w:tcBorders>
            <w:shd w:val="clear" w:color="000000" w:fill="FFFFFF"/>
            <w:vAlign w:val="bottom"/>
            <w:hideMark/>
          </w:tcPr>
          <w:p w14:paraId="2A517819" w14:textId="4F7FC568" w:rsidR="004322B5" w:rsidRPr="008246C1" w:rsidRDefault="004322B5" w:rsidP="004322B5">
            <w:pPr>
              <w:keepNext/>
              <w:keepLines/>
              <w:tabs>
                <w:tab w:val="clear" w:pos="567"/>
              </w:tabs>
              <w:spacing w:before="0" w:line="240" w:lineRule="auto"/>
              <w:jc w:val="right"/>
              <w:rPr>
                <w:rFonts w:eastAsia="Times New Roman" w:cs="Open Sans Light"/>
                <w:color w:val="000000"/>
                <w:sz w:val="16"/>
                <w:szCs w:val="16"/>
                <w:highlight w:val="yellow"/>
                <w:lang w:eastAsia="en-AU"/>
              </w:rPr>
            </w:pPr>
            <w:r>
              <w:rPr>
                <w:rFonts w:cs="Open Sans Light"/>
                <w:color w:val="000000"/>
                <w:sz w:val="16"/>
                <w:szCs w:val="16"/>
              </w:rPr>
              <w:t>-1</w:t>
            </w:r>
          </w:p>
        </w:tc>
        <w:tc>
          <w:tcPr>
            <w:tcW w:w="720" w:type="dxa"/>
            <w:tcBorders>
              <w:top w:val="single" w:sz="4" w:space="0" w:color="ADD6EA"/>
              <w:left w:val="nil"/>
              <w:bottom w:val="nil"/>
              <w:right w:val="nil"/>
            </w:tcBorders>
            <w:shd w:val="clear" w:color="000000" w:fill="FFFFFF"/>
            <w:vAlign w:val="bottom"/>
            <w:hideMark/>
          </w:tcPr>
          <w:p w14:paraId="12792E4E" w14:textId="681A40E8" w:rsidR="004322B5" w:rsidRPr="008246C1" w:rsidRDefault="004322B5" w:rsidP="004322B5">
            <w:pPr>
              <w:keepNext/>
              <w:keepLines/>
              <w:tabs>
                <w:tab w:val="clear" w:pos="567"/>
              </w:tabs>
              <w:spacing w:before="0" w:line="240" w:lineRule="auto"/>
              <w:jc w:val="right"/>
              <w:rPr>
                <w:rFonts w:eastAsia="Times New Roman" w:cs="Open Sans Light"/>
                <w:color w:val="000000"/>
                <w:sz w:val="16"/>
                <w:szCs w:val="16"/>
                <w:highlight w:val="yellow"/>
                <w:lang w:eastAsia="en-AU"/>
              </w:rPr>
            </w:pPr>
            <w:r>
              <w:rPr>
                <w:rFonts w:cs="Open Sans Light"/>
                <w:color w:val="000000"/>
                <w:sz w:val="16"/>
                <w:szCs w:val="16"/>
              </w:rPr>
              <w:t>2</w:t>
            </w:r>
          </w:p>
        </w:tc>
      </w:tr>
      <w:tr w:rsidR="004322B5" w:rsidRPr="00C37C1D" w14:paraId="5EAB54DD" w14:textId="77777777" w:rsidTr="00B06022">
        <w:trPr>
          <w:trHeight w:val="318"/>
        </w:trPr>
        <w:tc>
          <w:tcPr>
            <w:tcW w:w="3402" w:type="dxa"/>
            <w:tcBorders>
              <w:top w:val="single" w:sz="4" w:space="0" w:color="ADD6EA"/>
              <w:left w:val="nil"/>
              <w:bottom w:val="nil"/>
              <w:right w:val="nil"/>
            </w:tcBorders>
            <w:shd w:val="clear" w:color="000000" w:fill="FFFFFF"/>
            <w:vAlign w:val="bottom"/>
            <w:hideMark/>
          </w:tcPr>
          <w:p w14:paraId="5A46F425" w14:textId="77777777" w:rsidR="004322B5" w:rsidRPr="00C37C1D" w:rsidRDefault="004322B5" w:rsidP="004322B5">
            <w:pPr>
              <w:keepNext/>
              <w:keepLines/>
              <w:tabs>
                <w:tab w:val="clear" w:pos="567"/>
              </w:tabs>
              <w:spacing w:before="0" w:line="240" w:lineRule="auto"/>
              <w:rPr>
                <w:rFonts w:ascii="Open Sans Semibold" w:eastAsia="Times New Roman" w:hAnsi="Open Sans Semibold" w:cs="Open Sans Semibold"/>
                <w:color w:val="000000"/>
                <w:sz w:val="16"/>
                <w:szCs w:val="16"/>
                <w:lang w:eastAsia="en-AU"/>
              </w:rPr>
            </w:pPr>
            <w:r w:rsidRPr="00C37C1D">
              <w:rPr>
                <w:rFonts w:ascii="Open Sans Semibold" w:eastAsia="Times New Roman" w:hAnsi="Open Sans Semibold" w:cs="Open Sans Semibold"/>
                <w:color w:val="000000"/>
                <w:sz w:val="16"/>
                <w:szCs w:val="16"/>
                <w:lang w:eastAsia="en-AU"/>
              </w:rPr>
              <w:t>Prisons</w:t>
            </w:r>
          </w:p>
        </w:tc>
        <w:tc>
          <w:tcPr>
            <w:tcW w:w="615" w:type="dxa"/>
            <w:tcBorders>
              <w:top w:val="single" w:sz="4" w:space="0" w:color="ADD6EA"/>
              <w:left w:val="nil"/>
              <w:bottom w:val="nil"/>
              <w:right w:val="nil"/>
            </w:tcBorders>
            <w:shd w:val="clear" w:color="000000" w:fill="FFFFFF"/>
            <w:vAlign w:val="bottom"/>
            <w:hideMark/>
          </w:tcPr>
          <w:p w14:paraId="6F11174A" w14:textId="6C014DAC" w:rsidR="004322B5" w:rsidRPr="008246C1" w:rsidRDefault="004322B5" w:rsidP="004322B5">
            <w:pPr>
              <w:keepNext/>
              <w:keepLines/>
              <w:tabs>
                <w:tab w:val="clear" w:pos="567"/>
              </w:tabs>
              <w:spacing w:before="0" w:line="240" w:lineRule="auto"/>
              <w:jc w:val="right"/>
              <w:rPr>
                <w:rFonts w:ascii="Open Sans Semibold" w:eastAsia="Times New Roman" w:hAnsi="Open Sans Semibold" w:cs="Open Sans Semibold"/>
                <w:color w:val="000000"/>
                <w:sz w:val="16"/>
                <w:szCs w:val="16"/>
                <w:highlight w:val="yellow"/>
                <w:lang w:eastAsia="en-AU"/>
              </w:rPr>
            </w:pPr>
            <w:r>
              <w:rPr>
                <w:rFonts w:ascii="Open Sans Semibold" w:hAnsi="Open Sans Semibold" w:cs="Open Sans Semibold"/>
                <w:color w:val="000000"/>
                <w:sz w:val="16"/>
                <w:szCs w:val="16"/>
              </w:rPr>
              <w:t>16</w:t>
            </w:r>
          </w:p>
        </w:tc>
        <w:tc>
          <w:tcPr>
            <w:tcW w:w="616" w:type="dxa"/>
            <w:tcBorders>
              <w:top w:val="single" w:sz="4" w:space="0" w:color="ADD6EA"/>
              <w:left w:val="nil"/>
              <w:bottom w:val="nil"/>
              <w:right w:val="nil"/>
            </w:tcBorders>
            <w:shd w:val="clear" w:color="000000" w:fill="FFFFFF"/>
            <w:vAlign w:val="bottom"/>
            <w:hideMark/>
          </w:tcPr>
          <w:p w14:paraId="7DB768A4" w14:textId="6B8BC234" w:rsidR="004322B5" w:rsidRPr="008246C1" w:rsidRDefault="004322B5" w:rsidP="004322B5">
            <w:pPr>
              <w:keepNext/>
              <w:keepLines/>
              <w:tabs>
                <w:tab w:val="clear" w:pos="567"/>
              </w:tabs>
              <w:spacing w:before="0" w:line="240" w:lineRule="auto"/>
              <w:jc w:val="right"/>
              <w:rPr>
                <w:rFonts w:ascii="Open Sans Semibold" w:eastAsia="Times New Roman" w:hAnsi="Open Sans Semibold" w:cs="Open Sans Semibold"/>
                <w:color w:val="000000"/>
                <w:sz w:val="16"/>
                <w:szCs w:val="16"/>
                <w:highlight w:val="yellow"/>
                <w:lang w:eastAsia="en-AU"/>
              </w:rPr>
            </w:pPr>
            <w:r>
              <w:rPr>
                <w:rFonts w:ascii="Open Sans Semibold" w:hAnsi="Open Sans Semibold" w:cs="Open Sans Semibold"/>
                <w:color w:val="000000"/>
                <w:sz w:val="16"/>
                <w:szCs w:val="16"/>
              </w:rPr>
              <w:t>-68</w:t>
            </w:r>
          </w:p>
        </w:tc>
        <w:tc>
          <w:tcPr>
            <w:tcW w:w="615" w:type="dxa"/>
            <w:tcBorders>
              <w:top w:val="single" w:sz="4" w:space="0" w:color="ADD6EA"/>
              <w:left w:val="nil"/>
              <w:bottom w:val="nil"/>
              <w:right w:val="nil"/>
            </w:tcBorders>
            <w:shd w:val="clear" w:color="000000" w:fill="FFFFFF"/>
            <w:vAlign w:val="bottom"/>
            <w:hideMark/>
          </w:tcPr>
          <w:p w14:paraId="0036580A" w14:textId="649B9CB4" w:rsidR="004322B5" w:rsidRPr="008246C1" w:rsidRDefault="004322B5" w:rsidP="004322B5">
            <w:pPr>
              <w:keepNext/>
              <w:keepLines/>
              <w:tabs>
                <w:tab w:val="clear" w:pos="567"/>
              </w:tabs>
              <w:spacing w:before="0" w:line="240" w:lineRule="auto"/>
              <w:jc w:val="right"/>
              <w:rPr>
                <w:rFonts w:ascii="Open Sans Semibold" w:eastAsia="Times New Roman" w:hAnsi="Open Sans Semibold" w:cs="Open Sans Semibold"/>
                <w:color w:val="000000"/>
                <w:sz w:val="16"/>
                <w:szCs w:val="16"/>
                <w:highlight w:val="yellow"/>
                <w:lang w:eastAsia="en-AU"/>
              </w:rPr>
            </w:pPr>
            <w:r>
              <w:rPr>
                <w:rFonts w:ascii="Open Sans Semibold" w:hAnsi="Open Sans Semibold" w:cs="Open Sans Semibold"/>
                <w:color w:val="000000"/>
                <w:sz w:val="16"/>
                <w:szCs w:val="16"/>
              </w:rPr>
              <w:t>50</w:t>
            </w:r>
          </w:p>
        </w:tc>
        <w:tc>
          <w:tcPr>
            <w:tcW w:w="616" w:type="dxa"/>
            <w:tcBorders>
              <w:top w:val="single" w:sz="4" w:space="0" w:color="ADD6EA"/>
              <w:left w:val="nil"/>
              <w:bottom w:val="nil"/>
              <w:right w:val="nil"/>
            </w:tcBorders>
            <w:shd w:val="clear" w:color="000000" w:fill="FFFFFF"/>
            <w:vAlign w:val="bottom"/>
            <w:hideMark/>
          </w:tcPr>
          <w:p w14:paraId="3FDC1FDF" w14:textId="281036E6" w:rsidR="004322B5" w:rsidRPr="008246C1" w:rsidRDefault="004322B5" w:rsidP="004322B5">
            <w:pPr>
              <w:keepNext/>
              <w:keepLines/>
              <w:tabs>
                <w:tab w:val="clear" w:pos="567"/>
              </w:tabs>
              <w:spacing w:before="0" w:line="240" w:lineRule="auto"/>
              <w:jc w:val="right"/>
              <w:rPr>
                <w:rFonts w:ascii="Open Sans Semibold" w:eastAsia="Times New Roman" w:hAnsi="Open Sans Semibold" w:cs="Open Sans Semibold"/>
                <w:color w:val="000000"/>
                <w:sz w:val="16"/>
                <w:szCs w:val="16"/>
                <w:highlight w:val="yellow"/>
                <w:lang w:eastAsia="en-AU"/>
              </w:rPr>
            </w:pPr>
            <w:r>
              <w:rPr>
                <w:rFonts w:ascii="Open Sans Semibold" w:hAnsi="Open Sans Semibold" w:cs="Open Sans Semibold"/>
                <w:color w:val="000000"/>
                <w:sz w:val="16"/>
                <w:szCs w:val="16"/>
              </w:rPr>
              <w:t>-4</w:t>
            </w:r>
          </w:p>
        </w:tc>
        <w:tc>
          <w:tcPr>
            <w:tcW w:w="615" w:type="dxa"/>
            <w:tcBorders>
              <w:top w:val="single" w:sz="4" w:space="0" w:color="ADD6EA"/>
              <w:left w:val="nil"/>
              <w:bottom w:val="nil"/>
              <w:right w:val="nil"/>
            </w:tcBorders>
            <w:shd w:val="clear" w:color="000000" w:fill="FFFFFF"/>
            <w:vAlign w:val="bottom"/>
            <w:hideMark/>
          </w:tcPr>
          <w:p w14:paraId="7ABF763E" w14:textId="344D3102" w:rsidR="004322B5" w:rsidRPr="008246C1" w:rsidRDefault="004322B5" w:rsidP="004322B5">
            <w:pPr>
              <w:keepNext/>
              <w:keepLines/>
              <w:tabs>
                <w:tab w:val="clear" w:pos="567"/>
              </w:tabs>
              <w:spacing w:before="0" w:line="240" w:lineRule="auto"/>
              <w:jc w:val="right"/>
              <w:rPr>
                <w:rFonts w:ascii="Open Sans Semibold" w:eastAsia="Times New Roman" w:hAnsi="Open Sans Semibold" w:cs="Open Sans Semibold"/>
                <w:color w:val="000000"/>
                <w:sz w:val="16"/>
                <w:szCs w:val="16"/>
                <w:highlight w:val="yellow"/>
                <w:lang w:eastAsia="en-AU"/>
              </w:rPr>
            </w:pPr>
            <w:r>
              <w:rPr>
                <w:rFonts w:ascii="Open Sans Semibold" w:hAnsi="Open Sans Semibold" w:cs="Open Sans Semibold"/>
                <w:color w:val="000000"/>
                <w:sz w:val="16"/>
                <w:szCs w:val="16"/>
              </w:rPr>
              <w:t>-9</w:t>
            </w:r>
          </w:p>
        </w:tc>
        <w:tc>
          <w:tcPr>
            <w:tcW w:w="616" w:type="dxa"/>
            <w:tcBorders>
              <w:top w:val="single" w:sz="4" w:space="0" w:color="ADD6EA"/>
              <w:left w:val="nil"/>
              <w:bottom w:val="nil"/>
              <w:right w:val="nil"/>
            </w:tcBorders>
            <w:shd w:val="clear" w:color="000000" w:fill="FFFFFF"/>
            <w:vAlign w:val="bottom"/>
            <w:hideMark/>
          </w:tcPr>
          <w:p w14:paraId="1E2814A6" w14:textId="7CE8EF47" w:rsidR="004322B5" w:rsidRPr="008246C1" w:rsidRDefault="004322B5" w:rsidP="004322B5">
            <w:pPr>
              <w:keepNext/>
              <w:keepLines/>
              <w:tabs>
                <w:tab w:val="clear" w:pos="567"/>
              </w:tabs>
              <w:spacing w:before="0" w:line="240" w:lineRule="auto"/>
              <w:jc w:val="right"/>
              <w:rPr>
                <w:rFonts w:ascii="Open Sans Semibold" w:eastAsia="Times New Roman" w:hAnsi="Open Sans Semibold" w:cs="Open Sans Semibold"/>
                <w:color w:val="000000"/>
                <w:sz w:val="16"/>
                <w:szCs w:val="16"/>
                <w:highlight w:val="yellow"/>
                <w:lang w:eastAsia="en-AU"/>
              </w:rPr>
            </w:pPr>
            <w:r>
              <w:rPr>
                <w:rFonts w:ascii="Open Sans Semibold" w:hAnsi="Open Sans Semibold" w:cs="Open Sans Semibold"/>
                <w:color w:val="000000"/>
                <w:sz w:val="16"/>
                <w:szCs w:val="16"/>
              </w:rPr>
              <w:t>8</w:t>
            </w:r>
          </w:p>
        </w:tc>
        <w:tc>
          <w:tcPr>
            <w:tcW w:w="615" w:type="dxa"/>
            <w:tcBorders>
              <w:top w:val="single" w:sz="4" w:space="0" w:color="ADD6EA"/>
              <w:left w:val="nil"/>
              <w:bottom w:val="nil"/>
              <w:right w:val="nil"/>
            </w:tcBorders>
            <w:shd w:val="clear" w:color="000000" w:fill="FFFFFF"/>
            <w:vAlign w:val="bottom"/>
            <w:hideMark/>
          </w:tcPr>
          <w:p w14:paraId="02ACDBFB" w14:textId="526B99B5" w:rsidR="004322B5" w:rsidRPr="008246C1" w:rsidRDefault="004322B5" w:rsidP="004322B5">
            <w:pPr>
              <w:keepNext/>
              <w:keepLines/>
              <w:tabs>
                <w:tab w:val="clear" w:pos="567"/>
              </w:tabs>
              <w:spacing w:before="0" w:line="240" w:lineRule="auto"/>
              <w:jc w:val="right"/>
              <w:rPr>
                <w:rFonts w:ascii="Open Sans Semibold" w:eastAsia="Times New Roman" w:hAnsi="Open Sans Semibold" w:cs="Open Sans Semibold"/>
                <w:color w:val="000000"/>
                <w:sz w:val="16"/>
                <w:szCs w:val="16"/>
                <w:highlight w:val="yellow"/>
                <w:lang w:eastAsia="en-AU"/>
              </w:rPr>
            </w:pPr>
            <w:r>
              <w:rPr>
                <w:rFonts w:ascii="Open Sans Semibold" w:hAnsi="Open Sans Semibold" w:cs="Open Sans Semibold"/>
                <w:color w:val="000000"/>
                <w:sz w:val="16"/>
                <w:szCs w:val="16"/>
              </w:rPr>
              <w:t>-4</w:t>
            </w:r>
          </w:p>
        </w:tc>
        <w:tc>
          <w:tcPr>
            <w:tcW w:w="512" w:type="dxa"/>
            <w:tcBorders>
              <w:top w:val="single" w:sz="4" w:space="0" w:color="ADD6EA"/>
              <w:left w:val="nil"/>
              <w:bottom w:val="nil"/>
              <w:right w:val="nil"/>
            </w:tcBorders>
            <w:shd w:val="clear" w:color="000000" w:fill="FFFFFF"/>
            <w:vAlign w:val="bottom"/>
            <w:hideMark/>
          </w:tcPr>
          <w:p w14:paraId="3C7FDE16" w14:textId="38C0E458" w:rsidR="004322B5" w:rsidRPr="008246C1" w:rsidRDefault="004322B5" w:rsidP="004322B5">
            <w:pPr>
              <w:keepNext/>
              <w:keepLines/>
              <w:tabs>
                <w:tab w:val="clear" w:pos="567"/>
              </w:tabs>
              <w:spacing w:before="0" w:line="240" w:lineRule="auto"/>
              <w:jc w:val="right"/>
              <w:rPr>
                <w:rFonts w:ascii="Open Sans Semibold" w:eastAsia="Times New Roman" w:hAnsi="Open Sans Semibold" w:cs="Open Sans Semibold"/>
                <w:color w:val="000000"/>
                <w:sz w:val="16"/>
                <w:szCs w:val="16"/>
                <w:highlight w:val="yellow"/>
                <w:lang w:eastAsia="en-AU"/>
              </w:rPr>
            </w:pPr>
            <w:r>
              <w:rPr>
                <w:rFonts w:ascii="Open Sans Semibold" w:hAnsi="Open Sans Semibold" w:cs="Open Sans Semibold"/>
                <w:color w:val="000000"/>
                <w:sz w:val="16"/>
                <w:szCs w:val="16"/>
              </w:rPr>
              <w:t>10</w:t>
            </w:r>
          </w:p>
        </w:tc>
        <w:tc>
          <w:tcPr>
            <w:tcW w:w="720" w:type="dxa"/>
            <w:tcBorders>
              <w:top w:val="single" w:sz="4" w:space="0" w:color="ADD6EA"/>
              <w:left w:val="nil"/>
              <w:bottom w:val="nil"/>
              <w:right w:val="nil"/>
            </w:tcBorders>
            <w:shd w:val="clear" w:color="000000" w:fill="FFFFFF"/>
            <w:vAlign w:val="bottom"/>
            <w:hideMark/>
          </w:tcPr>
          <w:p w14:paraId="1077CACA" w14:textId="62B5D747" w:rsidR="004322B5" w:rsidRPr="008246C1" w:rsidRDefault="004322B5" w:rsidP="004322B5">
            <w:pPr>
              <w:keepNext/>
              <w:keepLines/>
              <w:tabs>
                <w:tab w:val="clear" w:pos="567"/>
              </w:tabs>
              <w:spacing w:before="0" w:line="240" w:lineRule="auto"/>
              <w:jc w:val="right"/>
              <w:rPr>
                <w:rFonts w:ascii="Open Sans Semibold" w:eastAsia="Times New Roman" w:hAnsi="Open Sans Semibold" w:cs="Open Sans Semibold"/>
                <w:color w:val="000000"/>
                <w:sz w:val="16"/>
                <w:szCs w:val="16"/>
                <w:highlight w:val="yellow"/>
                <w:lang w:eastAsia="en-AU"/>
              </w:rPr>
            </w:pPr>
            <w:r>
              <w:rPr>
                <w:rFonts w:ascii="Open Sans Semibold" w:hAnsi="Open Sans Semibold" w:cs="Open Sans Semibold"/>
                <w:color w:val="000000"/>
                <w:sz w:val="16"/>
                <w:szCs w:val="16"/>
              </w:rPr>
              <w:t>84</w:t>
            </w:r>
          </w:p>
        </w:tc>
      </w:tr>
      <w:tr w:rsidR="004322B5" w:rsidRPr="00C37C1D" w14:paraId="1869E583" w14:textId="77777777" w:rsidTr="00B06022">
        <w:trPr>
          <w:trHeight w:val="318"/>
        </w:trPr>
        <w:tc>
          <w:tcPr>
            <w:tcW w:w="3402" w:type="dxa"/>
            <w:tcBorders>
              <w:top w:val="single" w:sz="4" w:space="0" w:color="ADD6EA"/>
              <w:left w:val="nil"/>
              <w:bottom w:val="nil"/>
              <w:right w:val="nil"/>
            </w:tcBorders>
            <w:shd w:val="clear" w:color="000000" w:fill="FFFFFF"/>
            <w:vAlign w:val="bottom"/>
            <w:hideMark/>
          </w:tcPr>
          <w:p w14:paraId="6DE385F0" w14:textId="77777777" w:rsidR="004322B5" w:rsidRPr="00C37C1D" w:rsidRDefault="004322B5" w:rsidP="004322B5">
            <w:pPr>
              <w:keepNext/>
              <w:keepLines/>
              <w:tabs>
                <w:tab w:val="clear" w:pos="567"/>
              </w:tabs>
              <w:spacing w:before="0" w:line="240" w:lineRule="auto"/>
              <w:rPr>
                <w:rFonts w:eastAsia="Times New Roman" w:cs="Open Sans Light"/>
                <w:color w:val="000000"/>
                <w:sz w:val="16"/>
                <w:szCs w:val="16"/>
                <w:lang w:eastAsia="en-AU"/>
              </w:rPr>
            </w:pPr>
            <w:r w:rsidRPr="00C37C1D">
              <w:rPr>
                <w:rFonts w:eastAsia="Times New Roman" w:cs="Open Sans Light"/>
                <w:color w:val="000000"/>
                <w:sz w:val="16"/>
                <w:szCs w:val="16"/>
                <w:lang w:eastAsia="en-AU"/>
              </w:rPr>
              <w:t>New non-stated method</w:t>
            </w:r>
          </w:p>
        </w:tc>
        <w:tc>
          <w:tcPr>
            <w:tcW w:w="615" w:type="dxa"/>
            <w:tcBorders>
              <w:top w:val="single" w:sz="4" w:space="0" w:color="ADD6EA"/>
              <w:left w:val="nil"/>
              <w:bottom w:val="nil"/>
              <w:right w:val="nil"/>
            </w:tcBorders>
            <w:shd w:val="clear" w:color="000000" w:fill="FFFFFF"/>
            <w:vAlign w:val="bottom"/>
            <w:hideMark/>
          </w:tcPr>
          <w:p w14:paraId="4C96385B" w14:textId="1B3793F2" w:rsidR="004322B5" w:rsidRPr="008246C1" w:rsidRDefault="004322B5" w:rsidP="004322B5">
            <w:pPr>
              <w:keepNext/>
              <w:keepLines/>
              <w:tabs>
                <w:tab w:val="clear" w:pos="567"/>
              </w:tabs>
              <w:spacing w:before="0" w:line="240" w:lineRule="auto"/>
              <w:jc w:val="right"/>
              <w:rPr>
                <w:rFonts w:eastAsia="Times New Roman" w:cs="Open Sans Light"/>
                <w:color w:val="000000"/>
                <w:sz w:val="16"/>
                <w:szCs w:val="16"/>
                <w:highlight w:val="yellow"/>
                <w:lang w:eastAsia="en-AU"/>
              </w:rPr>
            </w:pPr>
            <w:r>
              <w:rPr>
                <w:rFonts w:cs="Open Sans Light"/>
                <w:color w:val="000000"/>
                <w:sz w:val="16"/>
                <w:szCs w:val="16"/>
              </w:rPr>
              <w:t>12</w:t>
            </w:r>
          </w:p>
        </w:tc>
        <w:tc>
          <w:tcPr>
            <w:tcW w:w="616" w:type="dxa"/>
            <w:tcBorders>
              <w:top w:val="single" w:sz="4" w:space="0" w:color="ADD6EA"/>
              <w:left w:val="nil"/>
              <w:bottom w:val="nil"/>
              <w:right w:val="nil"/>
            </w:tcBorders>
            <w:shd w:val="clear" w:color="000000" w:fill="FFFFFF"/>
            <w:vAlign w:val="bottom"/>
            <w:hideMark/>
          </w:tcPr>
          <w:p w14:paraId="39FCD1C0" w14:textId="5528E372" w:rsidR="004322B5" w:rsidRPr="008246C1" w:rsidRDefault="004322B5" w:rsidP="004322B5">
            <w:pPr>
              <w:keepNext/>
              <w:keepLines/>
              <w:tabs>
                <w:tab w:val="clear" w:pos="567"/>
              </w:tabs>
              <w:spacing w:before="0" w:line="240" w:lineRule="auto"/>
              <w:jc w:val="right"/>
              <w:rPr>
                <w:rFonts w:eastAsia="Times New Roman" w:cs="Open Sans Light"/>
                <w:color w:val="000000"/>
                <w:sz w:val="16"/>
                <w:szCs w:val="16"/>
                <w:highlight w:val="yellow"/>
                <w:lang w:eastAsia="en-AU"/>
              </w:rPr>
            </w:pPr>
            <w:r>
              <w:rPr>
                <w:rFonts w:cs="Open Sans Light"/>
                <w:color w:val="000000"/>
                <w:sz w:val="16"/>
                <w:szCs w:val="16"/>
              </w:rPr>
              <w:t>10</w:t>
            </w:r>
          </w:p>
        </w:tc>
        <w:tc>
          <w:tcPr>
            <w:tcW w:w="615" w:type="dxa"/>
            <w:tcBorders>
              <w:top w:val="single" w:sz="4" w:space="0" w:color="ADD6EA"/>
              <w:left w:val="nil"/>
              <w:bottom w:val="nil"/>
              <w:right w:val="nil"/>
            </w:tcBorders>
            <w:shd w:val="clear" w:color="000000" w:fill="FFFFFF"/>
            <w:vAlign w:val="bottom"/>
            <w:hideMark/>
          </w:tcPr>
          <w:p w14:paraId="330792A9" w14:textId="51804D82" w:rsidR="004322B5" w:rsidRPr="008246C1" w:rsidRDefault="004322B5" w:rsidP="004322B5">
            <w:pPr>
              <w:keepNext/>
              <w:keepLines/>
              <w:tabs>
                <w:tab w:val="clear" w:pos="567"/>
              </w:tabs>
              <w:spacing w:before="0" w:line="240" w:lineRule="auto"/>
              <w:jc w:val="right"/>
              <w:rPr>
                <w:rFonts w:eastAsia="Times New Roman" w:cs="Open Sans Light"/>
                <w:color w:val="000000"/>
                <w:sz w:val="16"/>
                <w:szCs w:val="16"/>
                <w:highlight w:val="yellow"/>
                <w:lang w:eastAsia="en-AU"/>
              </w:rPr>
            </w:pPr>
            <w:r>
              <w:rPr>
                <w:rFonts w:cs="Open Sans Light"/>
                <w:color w:val="000000"/>
                <w:sz w:val="16"/>
                <w:szCs w:val="16"/>
              </w:rPr>
              <w:t>3</w:t>
            </w:r>
          </w:p>
        </w:tc>
        <w:tc>
          <w:tcPr>
            <w:tcW w:w="616" w:type="dxa"/>
            <w:tcBorders>
              <w:top w:val="single" w:sz="4" w:space="0" w:color="ADD6EA"/>
              <w:left w:val="nil"/>
              <w:bottom w:val="nil"/>
              <w:right w:val="nil"/>
            </w:tcBorders>
            <w:shd w:val="clear" w:color="000000" w:fill="FFFFFF"/>
            <w:vAlign w:val="bottom"/>
            <w:hideMark/>
          </w:tcPr>
          <w:p w14:paraId="4492240D" w14:textId="6B553B9B" w:rsidR="004322B5" w:rsidRPr="008246C1" w:rsidRDefault="004322B5" w:rsidP="004322B5">
            <w:pPr>
              <w:keepNext/>
              <w:keepLines/>
              <w:tabs>
                <w:tab w:val="clear" w:pos="567"/>
              </w:tabs>
              <w:spacing w:before="0" w:line="240" w:lineRule="auto"/>
              <w:jc w:val="right"/>
              <w:rPr>
                <w:rFonts w:eastAsia="Times New Roman" w:cs="Open Sans Light"/>
                <w:color w:val="000000"/>
                <w:sz w:val="16"/>
                <w:szCs w:val="16"/>
                <w:highlight w:val="yellow"/>
                <w:lang w:eastAsia="en-AU"/>
              </w:rPr>
            </w:pPr>
            <w:r>
              <w:rPr>
                <w:rFonts w:cs="Open Sans Light"/>
                <w:color w:val="000000"/>
                <w:sz w:val="16"/>
                <w:szCs w:val="16"/>
              </w:rPr>
              <w:t>-10</w:t>
            </w:r>
          </w:p>
        </w:tc>
        <w:tc>
          <w:tcPr>
            <w:tcW w:w="615" w:type="dxa"/>
            <w:tcBorders>
              <w:top w:val="single" w:sz="4" w:space="0" w:color="ADD6EA"/>
              <w:left w:val="nil"/>
              <w:bottom w:val="nil"/>
              <w:right w:val="nil"/>
            </w:tcBorders>
            <w:shd w:val="clear" w:color="000000" w:fill="FFFFFF"/>
            <w:vAlign w:val="bottom"/>
            <w:hideMark/>
          </w:tcPr>
          <w:p w14:paraId="357DEB94" w14:textId="0C1E3DD8" w:rsidR="004322B5" w:rsidRPr="008246C1" w:rsidRDefault="004322B5" w:rsidP="004322B5">
            <w:pPr>
              <w:keepNext/>
              <w:keepLines/>
              <w:tabs>
                <w:tab w:val="clear" w:pos="567"/>
              </w:tabs>
              <w:spacing w:before="0" w:line="240" w:lineRule="auto"/>
              <w:jc w:val="right"/>
              <w:rPr>
                <w:rFonts w:eastAsia="Times New Roman" w:cs="Open Sans Light"/>
                <w:color w:val="000000"/>
                <w:sz w:val="16"/>
                <w:szCs w:val="16"/>
                <w:highlight w:val="yellow"/>
                <w:lang w:eastAsia="en-AU"/>
              </w:rPr>
            </w:pPr>
            <w:r>
              <w:rPr>
                <w:rFonts w:cs="Open Sans Light"/>
                <w:color w:val="000000"/>
                <w:sz w:val="16"/>
                <w:szCs w:val="16"/>
              </w:rPr>
              <w:t>-2</w:t>
            </w:r>
          </w:p>
        </w:tc>
        <w:tc>
          <w:tcPr>
            <w:tcW w:w="616" w:type="dxa"/>
            <w:tcBorders>
              <w:top w:val="single" w:sz="4" w:space="0" w:color="ADD6EA"/>
              <w:left w:val="nil"/>
              <w:bottom w:val="nil"/>
              <w:right w:val="nil"/>
            </w:tcBorders>
            <w:shd w:val="clear" w:color="000000" w:fill="FFFFFF"/>
            <w:vAlign w:val="bottom"/>
            <w:hideMark/>
          </w:tcPr>
          <w:p w14:paraId="3AC352F9" w14:textId="06B77240" w:rsidR="004322B5" w:rsidRPr="008246C1" w:rsidRDefault="004322B5" w:rsidP="004322B5">
            <w:pPr>
              <w:keepNext/>
              <w:keepLines/>
              <w:tabs>
                <w:tab w:val="clear" w:pos="567"/>
              </w:tabs>
              <w:spacing w:before="0" w:line="240" w:lineRule="auto"/>
              <w:jc w:val="right"/>
              <w:rPr>
                <w:rFonts w:eastAsia="Times New Roman" w:cs="Open Sans Light"/>
                <w:color w:val="000000"/>
                <w:sz w:val="16"/>
                <w:szCs w:val="16"/>
                <w:highlight w:val="yellow"/>
                <w:lang w:eastAsia="en-AU"/>
              </w:rPr>
            </w:pPr>
            <w:r>
              <w:rPr>
                <w:rFonts w:cs="Open Sans Light"/>
                <w:color w:val="000000"/>
                <w:sz w:val="16"/>
                <w:szCs w:val="16"/>
              </w:rPr>
              <w:t>1</w:t>
            </w:r>
          </w:p>
        </w:tc>
        <w:tc>
          <w:tcPr>
            <w:tcW w:w="615" w:type="dxa"/>
            <w:tcBorders>
              <w:top w:val="single" w:sz="4" w:space="0" w:color="ADD6EA"/>
              <w:left w:val="nil"/>
              <w:bottom w:val="nil"/>
              <w:right w:val="nil"/>
            </w:tcBorders>
            <w:shd w:val="clear" w:color="000000" w:fill="FFFFFF"/>
            <w:vAlign w:val="bottom"/>
            <w:hideMark/>
          </w:tcPr>
          <w:p w14:paraId="7252FBDC" w14:textId="05F703A8" w:rsidR="004322B5" w:rsidRPr="008246C1" w:rsidRDefault="004322B5" w:rsidP="004322B5">
            <w:pPr>
              <w:keepNext/>
              <w:keepLines/>
              <w:tabs>
                <w:tab w:val="clear" w:pos="567"/>
              </w:tabs>
              <w:spacing w:before="0" w:line="240" w:lineRule="auto"/>
              <w:jc w:val="right"/>
              <w:rPr>
                <w:rFonts w:eastAsia="Times New Roman" w:cs="Open Sans Light"/>
                <w:color w:val="000000"/>
                <w:sz w:val="16"/>
                <w:szCs w:val="16"/>
                <w:highlight w:val="yellow"/>
                <w:lang w:eastAsia="en-AU"/>
              </w:rPr>
            </w:pPr>
            <w:r>
              <w:rPr>
                <w:rFonts w:cs="Open Sans Light"/>
                <w:color w:val="000000"/>
                <w:sz w:val="16"/>
                <w:szCs w:val="16"/>
              </w:rPr>
              <w:t>1</w:t>
            </w:r>
          </w:p>
        </w:tc>
        <w:tc>
          <w:tcPr>
            <w:tcW w:w="512" w:type="dxa"/>
            <w:tcBorders>
              <w:top w:val="single" w:sz="4" w:space="0" w:color="ADD6EA"/>
              <w:left w:val="nil"/>
              <w:bottom w:val="nil"/>
              <w:right w:val="nil"/>
            </w:tcBorders>
            <w:shd w:val="clear" w:color="000000" w:fill="FFFFFF"/>
            <w:vAlign w:val="bottom"/>
            <w:hideMark/>
          </w:tcPr>
          <w:p w14:paraId="74952C37" w14:textId="6278AECF" w:rsidR="004322B5" w:rsidRPr="008246C1" w:rsidRDefault="004322B5" w:rsidP="004322B5">
            <w:pPr>
              <w:keepNext/>
              <w:keepLines/>
              <w:tabs>
                <w:tab w:val="clear" w:pos="567"/>
              </w:tabs>
              <w:spacing w:before="0" w:line="240" w:lineRule="auto"/>
              <w:jc w:val="right"/>
              <w:rPr>
                <w:rFonts w:eastAsia="Times New Roman" w:cs="Open Sans Light"/>
                <w:color w:val="000000"/>
                <w:sz w:val="16"/>
                <w:szCs w:val="16"/>
                <w:highlight w:val="yellow"/>
                <w:lang w:eastAsia="en-AU"/>
              </w:rPr>
            </w:pPr>
            <w:r>
              <w:rPr>
                <w:rFonts w:cs="Open Sans Light"/>
                <w:color w:val="000000"/>
                <w:sz w:val="16"/>
                <w:szCs w:val="16"/>
              </w:rPr>
              <w:t>-15</w:t>
            </w:r>
          </w:p>
        </w:tc>
        <w:tc>
          <w:tcPr>
            <w:tcW w:w="720" w:type="dxa"/>
            <w:tcBorders>
              <w:top w:val="single" w:sz="4" w:space="0" w:color="ADD6EA"/>
              <w:left w:val="nil"/>
              <w:bottom w:val="nil"/>
              <w:right w:val="nil"/>
            </w:tcBorders>
            <w:shd w:val="clear" w:color="000000" w:fill="FFFFFF"/>
            <w:vAlign w:val="bottom"/>
            <w:hideMark/>
          </w:tcPr>
          <w:p w14:paraId="19CE3F95" w14:textId="3929687A" w:rsidR="004322B5" w:rsidRPr="008246C1" w:rsidRDefault="004322B5" w:rsidP="004322B5">
            <w:pPr>
              <w:keepNext/>
              <w:keepLines/>
              <w:tabs>
                <w:tab w:val="clear" w:pos="567"/>
              </w:tabs>
              <w:spacing w:before="0" w:line="240" w:lineRule="auto"/>
              <w:jc w:val="right"/>
              <w:rPr>
                <w:rFonts w:eastAsia="Times New Roman" w:cs="Open Sans Light"/>
                <w:color w:val="000000"/>
                <w:sz w:val="16"/>
                <w:szCs w:val="16"/>
                <w:highlight w:val="yellow"/>
                <w:lang w:eastAsia="en-AU"/>
              </w:rPr>
            </w:pPr>
            <w:r>
              <w:rPr>
                <w:rFonts w:cs="Open Sans Light"/>
                <w:color w:val="000000"/>
                <w:sz w:val="16"/>
                <w:szCs w:val="16"/>
              </w:rPr>
              <w:t>27</w:t>
            </w:r>
          </w:p>
        </w:tc>
      </w:tr>
      <w:tr w:rsidR="004322B5" w:rsidRPr="00C37C1D" w14:paraId="7B750A2C" w14:textId="77777777" w:rsidTr="00B06022">
        <w:trPr>
          <w:trHeight w:val="318"/>
        </w:trPr>
        <w:tc>
          <w:tcPr>
            <w:tcW w:w="3402" w:type="dxa"/>
            <w:tcBorders>
              <w:top w:val="single" w:sz="4" w:space="0" w:color="ADD6EA"/>
              <w:left w:val="nil"/>
              <w:bottom w:val="nil"/>
              <w:right w:val="nil"/>
            </w:tcBorders>
            <w:shd w:val="clear" w:color="000000" w:fill="FFFFFF"/>
            <w:vAlign w:val="bottom"/>
            <w:hideMark/>
          </w:tcPr>
          <w:p w14:paraId="319696C7" w14:textId="6BACA90D" w:rsidR="004322B5" w:rsidRPr="00C37C1D" w:rsidRDefault="004322B5" w:rsidP="004322B5">
            <w:pPr>
              <w:keepNext/>
              <w:keepLines/>
              <w:tabs>
                <w:tab w:val="clear" w:pos="567"/>
              </w:tabs>
              <w:spacing w:before="0" w:line="240" w:lineRule="auto"/>
              <w:rPr>
                <w:rFonts w:eastAsia="Times New Roman" w:cs="Open Sans Light"/>
                <w:color w:val="000000"/>
                <w:sz w:val="16"/>
                <w:szCs w:val="16"/>
                <w:lang w:eastAsia="en-AU"/>
              </w:rPr>
            </w:pPr>
            <w:r w:rsidRPr="00C37C1D">
              <w:rPr>
                <w:rFonts w:eastAsia="Times New Roman" w:cs="Open Sans Light"/>
                <w:color w:val="000000"/>
                <w:sz w:val="16"/>
                <w:szCs w:val="16"/>
                <w:lang w:eastAsia="en-AU"/>
              </w:rPr>
              <w:t xml:space="preserve">Replacing regional costs with </w:t>
            </w:r>
            <w:r w:rsidR="00B6738A">
              <w:rPr>
                <w:rFonts w:eastAsia="Times New Roman" w:cs="Open Sans Light"/>
                <w:color w:val="000000"/>
                <w:sz w:val="16"/>
                <w:szCs w:val="16"/>
                <w:lang w:eastAsia="en-AU"/>
              </w:rPr>
              <w:t>the general service delivery scale</w:t>
            </w:r>
            <w:r w:rsidR="00B6738A" w:rsidRPr="00C37C1D">
              <w:rPr>
                <w:rFonts w:eastAsia="Times New Roman" w:cs="Open Sans Light"/>
                <w:color w:val="000000"/>
                <w:sz w:val="16"/>
                <w:szCs w:val="16"/>
                <w:lang w:eastAsia="en-AU"/>
              </w:rPr>
              <w:t xml:space="preserve"> </w:t>
            </w:r>
            <w:r w:rsidR="00B6738A">
              <w:rPr>
                <w:rFonts w:eastAsia="Times New Roman" w:cs="Open Sans Light"/>
                <w:color w:val="000000"/>
                <w:sz w:val="16"/>
                <w:szCs w:val="16"/>
                <w:lang w:eastAsia="en-AU"/>
              </w:rPr>
              <w:t xml:space="preserve">costs </w:t>
            </w:r>
            <w:r w:rsidRPr="00C37C1D">
              <w:rPr>
                <w:rFonts w:eastAsia="Times New Roman" w:cs="Open Sans Light"/>
                <w:color w:val="000000"/>
                <w:sz w:val="16"/>
                <w:szCs w:val="16"/>
                <w:lang w:eastAsia="en-AU"/>
              </w:rPr>
              <w:t>gradient</w:t>
            </w:r>
          </w:p>
        </w:tc>
        <w:tc>
          <w:tcPr>
            <w:tcW w:w="615" w:type="dxa"/>
            <w:tcBorders>
              <w:top w:val="single" w:sz="4" w:space="0" w:color="ADD6EA"/>
              <w:left w:val="nil"/>
              <w:bottom w:val="nil"/>
              <w:right w:val="nil"/>
            </w:tcBorders>
            <w:shd w:val="clear" w:color="000000" w:fill="FFFFFF"/>
            <w:vAlign w:val="bottom"/>
            <w:hideMark/>
          </w:tcPr>
          <w:p w14:paraId="79230F01" w14:textId="1EB64435" w:rsidR="004322B5" w:rsidRPr="008246C1" w:rsidRDefault="004322B5" w:rsidP="004322B5">
            <w:pPr>
              <w:keepNext/>
              <w:keepLines/>
              <w:tabs>
                <w:tab w:val="clear" w:pos="567"/>
              </w:tabs>
              <w:spacing w:before="0" w:line="240" w:lineRule="auto"/>
              <w:jc w:val="right"/>
              <w:rPr>
                <w:rFonts w:eastAsia="Times New Roman" w:cs="Open Sans Light"/>
                <w:color w:val="000000"/>
                <w:sz w:val="16"/>
                <w:szCs w:val="16"/>
                <w:highlight w:val="yellow"/>
                <w:lang w:eastAsia="en-AU"/>
              </w:rPr>
            </w:pPr>
            <w:r>
              <w:rPr>
                <w:rFonts w:cs="Open Sans Light"/>
                <w:color w:val="000000"/>
                <w:sz w:val="16"/>
                <w:szCs w:val="16"/>
              </w:rPr>
              <w:t>-12</w:t>
            </w:r>
          </w:p>
        </w:tc>
        <w:tc>
          <w:tcPr>
            <w:tcW w:w="616" w:type="dxa"/>
            <w:tcBorders>
              <w:top w:val="single" w:sz="4" w:space="0" w:color="ADD6EA"/>
              <w:left w:val="nil"/>
              <w:bottom w:val="nil"/>
              <w:right w:val="nil"/>
            </w:tcBorders>
            <w:shd w:val="clear" w:color="000000" w:fill="FFFFFF"/>
            <w:vAlign w:val="bottom"/>
            <w:hideMark/>
          </w:tcPr>
          <w:p w14:paraId="51039AD7" w14:textId="6F15A426" w:rsidR="004322B5" w:rsidRPr="008246C1" w:rsidRDefault="004322B5" w:rsidP="004322B5">
            <w:pPr>
              <w:keepNext/>
              <w:keepLines/>
              <w:tabs>
                <w:tab w:val="clear" w:pos="567"/>
              </w:tabs>
              <w:spacing w:before="0" w:line="240" w:lineRule="auto"/>
              <w:jc w:val="right"/>
              <w:rPr>
                <w:rFonts w:eastAsia="Times New Roman" w:cs="Open Sans Light"/>
                <w:color w:val="000000"/>
                <w:sz w:val="16"/>
                <w:szCs w:val="16"/>
                <w:highlight w:val="yellow"/>
                <w:lang w:eastAsia="en-AU"/>
              </w:rPr>
            </w:pPr>
            <w:r>
              <w:rPr>
                <w:rFonts w:cs="Open Sans Light"/>
                <w:color w:val="000000"/>
                <w:sz w:val="16"/>
                <w:szCs w:val="16"/>
              </w:rPr>
              <w:t>-13</w:t>
            </w:r>
          </w:p>
        </w:tc>
        <w:tc>
          <w:tcPr>
            <w:tcW w:w="615" w:type="dxa"/>
            <w:tcBorders>
              <w:top w:val="single" w:sz="4" w:space="0" w:color="ADD6EA"/>
              <w:left w:val="nil"/>
              <w:bottom w:val="nil"/>
              <w:right w:val="nil"/>
            </w:tcBorders>
            <w:shd w:val="clear" w:color="000000" w:fill="FFFFFF"/>
            <w:vAlign w:val="bottom"/>
            <w:hideMark/>
          </w:tcPr>
          <w:p w14:paraId="1257FF27" w14:textId="44BA5375" w:rsidR="004322B5" w:rsidRPr="008246C1" w:rsidRDefault="004322B5" w:rsidP="004322B5">
            <w:pPr>
              <w:keepNext/>
              <w:keepLines/>
              <w:tabs>
                <w:tab w:val="clear" w:pos="567"/>
              </w:tabs>
              <w:spacing w:before="0" w:line="240" w:lineRule="auto"/>
              <w:jc w:val="right"/>
              <w:rPr>
                <w:rFonts w:eastAsia="Times New Roman" w:cs="Open Sans Light"/>
                <w:color w:val="000000"/>
                <w:sz w:val="16"/>
                <w:szCs w:val="16"/>
                <w:highlight w:val="yellow"/>
                <w:lang w:eastAsia="en-AU"/>
              </w:rPr>
            </w:pPr>
            <w:r>
              <w:rPr>
                <w:rFonts w:cs="Open Sans Light"/>
                <w:color w:val="000000"/>
                <w:sz w:val="16"/>
                <w:szCs w:val="16"/>
              </w:rPr>
              <w:t>10</w:t>
            </w:r>
          </w:p>
        </w:tc>
        <w:tc>
          <w:tcPr>
            <w:tcW w:w="616" w:type="dxa"/>
            <w:tcBorders>
              <w:top w:val="single" w:sz="4" w:space="0" w:color="ADD6EA"/>
              <w:left w:val="nil"/>
              <w:bottom w:val="nil"/>
              <w:right w:val="nil"/>
            </w:tcBorders>
            <w:shd w:val="clear" w:color="000000" w:fill="FFFFFF"/>
            <w:vAlign w:val="bottom"/>
            <w:hideMark/>
          </w:tcPr>
          <w:p w14:paraId="54E434DD" w14:textId="6A16A894" w:rsidR="004322B5" w:rsidRPr="008246C1" w:rsidRDefault="004322B5" w:rsidP="004322B5">
            <w:pPr>
              <w:keepNext/>
              <w:keepLines/>
              <w:tabs>
                <w:tab w:val="clear" w:pos="567"/>
              </w:tabs>
              <w:spacing w:before="0" w:line="240" w:lineRule="auto"/>
              <w:jc w:val="right"/>
              <w:rPr>
                <w:rFonts w:eastAsia="Times New Roman" w:cs="Open Sans Light"/>
                <w:color w:val="000000"/>
                <w:sz w:val="16"/>
                <w:szCs w:val="16"/>
                <w:highlight w:val="yellow"/>
                <w:lang w:eastAsia="en-AU"/>
              </w:rPr>
            </w:pPr>
            <w:r>
              <w:rPr>
                <w:rFonts w:cs="Open Sans Light"/>
                <w:color w:val="000000"/>
                <w:sz w:val="16"/>
                <w:szCs w:val="16"/>
              </w:rPr>
              <w:t>0</w:t>
            </w:r>
          </w:p>
        </w:tc>
        <w:tc>
          <w:tcPr>
            <w:tcW w:w="615" w:type="dxa"/>
            <w:tcBorders>
              <w:top w:val="single" w:sz="4" w:space="0" w:color="ADD6EA"/>
              <w:left w:val="nil"/>
              <w:bottom w:val="nil"/>
              <w:right w:val="nil"/>
            </w:tcBorders>
            <w:shd w:val="clear" w:color="000000" w:fill="FFFFFF"/>
            <w:vAlign w:val="bottom"/>
            <w:hideMark/>
          </w:tcPr>
          <w:p w14:paraId="51CCD6E1" w14:textId="0B2BF748" w:rsidR="004322B5" w:rsidRPr="008246C1" w:rsidRDefault="004322B5" w:rsidP="004322B5">
            <w:pPr>
              <w:keepNext/>
              <w:keepLines/>
              <w:tabs>
                <w:tab w:val="clear" w:pos="567"/>
              </w:tabs>
              <w:spacing w:before="0" w:line="240" w:lineRule="auto"/>
              <w:jc w:val="right"/>
              <w:rPr>
                <w:rFonts w:eastAsia="Times New Roman" w:cs="Open Sans Light"/>
                <w:color w:val="000000"/>
                <w:sz w:val="16"/>
                <w:szCs w:val="16"/>
                <w:highlight w:val="yellow"/>
                <w:lang w:eastAsia="en-AU"/>
              </w:rPr>
            </w:pPr>
            <w:r>
              <w:rPr>
                <w:rFonts w:cs="Open Sans Light"/>
                <w:color w:val="000000"/>
                <w:sz w:val="16"/>
                <w:szCs w:val="16"/>
              </w:rPr>
              <w:t>-1</w:t>
            </w:r>
          </w:p>
        </w:tc>
        <w:tc>
          <w:tcPr>
            <w:tcW w:w="616" w:type="dxa"/>
            <w:tcBorders>
              <w:top w:val="single" w:sz="4" w:space="0" w:color="ADD6EA"/>
              <w:left w:val="nil"/>
              <w:bottom w:val="nil"/>
              <w:right w:val="nil"/>
            </w:tcBorders>
            <w:shd w:val="clear" w:color="000000" w:fill="FFFFFF"/>
            <w:vAlign w:val="bottom"/>
            <w:hideMark/>
          </w:tcPr>
          <w:p w14:paraId="3A5C525A" w14:textId="7329E6DE" w:rsidR="004322B5" w:rsidRPr="008246C1" w:rsidRDefault="004322B5" w:rsidP="004322B5">
            <w:pPr>
              <w:keepNext/>
              <w:keepLines/>
              <w:tabs>
                <w:tab w:val="clear" w:pos="567"/>
              </w:tabs>
              <w:spacing w:before="0" w:line="240" w:lineRule="auto"/>
              <w:jc w:val="right"/>
              <w:rPr>
                <w:rFonts w:eastAsia="Times New Roman" w:cs="Open Sans Light"/>
                <w:color w:val="000000"/>
                <w:sz w:val="16"/>
                <w:szCs w:val="16"/>
                <w:highlight w:val="yellow"/>
                <w:lang w:eastAsia="en-AU"/>
              </w:rPr>
            </w:pPr>
            <w:r>
              <w:rPr>
                <w:rFonts w:cs="Open Sans Light"/>
                <w:color w:val="000000"/>
                <w:sz w:val="16"/>
                <w:szCs w:val="16"/>
              </w:rPr>
              <w:t>6</w:t>
            </w:r>
          </w:p>
        </w:tc>
        <w:tc>
          <w:tcPr>
            <w:tcW w:w="615" w:type="dxa"/>
            <w:tcBorders>
              <w:top w:val="single" w:sz="4" w:space="0" w:color="ADD6EA"/>
              <w:left w:val="nil"/>
              <w:bottom w:val="nil"/>
              <w:right w:val="nil"/>
            </w:tcBorders>
            <w:shd w:val="clear" w:color="000000" w:fill="FFFFFF"/>
            <w:vAlign w:val="bottom"/>
            <w:hideMark/>
          </w:tcPr>
          <w:p w14:paraId="02D00DA8" w14:textId="4CBB02FF" w:rsidR="004322B5" w:rsidRPr="008246C1" w:rsidRDefault="004322B5" w:rsidP="004322B5">
            <w:pPr>
              <w:keepNext/>
              <w:keepLines/>
              <w:tabs>
                <w:tab w:val="clear" w:pos="567"/>
              </w:tabs>
              <w:spacing w:before="0" w:line="240" w:lineRule="auto"/>
              <w:jc w:val="right"/>
              <w:rPr>
                <w:rFonts w:eastAsia="Times New Roman" w:cs="Open Sans Light"/>
                <w:color w:val="000000"/>
                <w:sz w:val="16"/>
                <w:szCs w:val="16"/>
                <w:highlight w:val="yellow"/>
                <w:lang w:eastAsia="en-AU"/>
              </w:rPr>
            </w:pPr>
            <w:r>
              <w:rPr>
                <w:rFonts w:cs="Open Sans Light"/>
                <w:color w:val="000000"/>
                <w:sz w:val="16"/>
                <w:szCs w:val="16"/>
              </w:rPr>
              <w:t>-2</w:t>
            </w:r>
          </w:p>
        </w:tc>
        <w:tc>
          <w:tcPr>
            <w:tcW w:w="512" w:type="dxa"/>
            <w:tcBorders>
              <w:top w:val="single" w:sz="4" w:space="0" w:color="ADD6EA"/>
              <w:left w:val="nil"/>
              <w:bottom w:val="nil"/>
              <w:right w:val="nil"/>
            </w:tcBorders>
            <w:shd w:val="clear" w:color="000000" w:fill="FFFFFF"/>
            <w:vAlign w:val="bottom"/>
            <w:hideMark/>
          </w:tcPr>
          <w:p w14:paraId="02A89A09" w14:textId="5F0F93D8" w:rsidR="004322B5" w:rsidRPr="008246C1" w:rsidRDefault="004322B5" w:rsidP="004322B5">
            <w:pPr>
              <w:keepNext/>
              <w:keepLines/>
              <w:tabs>
                <w:tab w:val="clear" w:pos="567"/>
              </w:tabs>
              <w:spacing w:before="0" w:line="240" w:lineRule="auto"/>
              <w:jc w:val="right"/>
              <w:rPr>
                <w:rFonts w:eastAsia="Times New Roman" w:cs="Open Sans Light"/>
                <w:color w:val="000000"/>
                <w:sz w:val="16"/>
                <w:szCs w:val="16"/>
                <w:highlight w:val="yellow"/>
                <w:lang w:eastAsia="en-AU"/>
              </w:rPr>
            </w:pPr>
            <w:r>
              <w:rPr>
                <w:rFonts w:cs="Open Sans Light"/>
                <w:color w:val="000000"/>
                <w:sz w:val="16"/>
                <w:szCs w:val="16"/>
              </w:rPr>
              <w:t>12</w:t>
            </w:r>
          </w:p>
        </w:tc>
        <w:tc>
          <w:tcPr>
            <w:tcW w:w="720" w:type="dxa"/>
            <w:tcBorders>
              <w:top w:val="single" w:sz="4" w:space="0" w:color="ADD6EA"/>
              <w:left w:val="nil"/>
              <w:bottom w:val="nil"/>
              <w:right w:val="nil"/>
            </w:tcBorders>
            <w:shd w:val="clear" w:color="000000" w:fill="FFFFFF"/>
            <w:vAlign w:val="bottom"/>
            <w:hideMark/>
          </w:tcPr>
          <w:p w14:paraId="192A0100" w14:textId="01DC3CC3" w:rsidR="004322B5" w:rsidRPr="008246C1" w:rsidRDefault="004322B5" w:rsidP="004322B5">
            <w:pPr>
              <w:keepNext/>
              <w:keepLines/>
              <w:tabs>
                <w:tab w:val="clear" w:pos="567"/>
              </w:tabs>
              <w:spacing w:before="0" w:line="240" w:lineRule="auto"/>
              <w:jc w:val="right"/>
              <w:rPr>
                <w:rFonts w:eastAsia="Times New Roman" w:cs="Open Sans Light"/>
                <w:color w:val="000000"/>
                <w:sz w:val="16"/>
                <w:szCs w:val="16"/>
                <w:highlight w:val="yellow"/>
                <w:lang w:eastAsia="en-AU"/>
              </w:rPr>
            </w:pPr>
            <w:r>
              <w:rPr>
                <w:rFonts w:cs="Open Sans Light"/>
                <w:color w:val="000000"/>
                <w:sz w:val="16"/>
                <w:szCs w:val="16"/>
              </w:rPr>
              <w:t>27</w:t>
            </w:r>
          </w:p>
        </w:tc>
      </w:tr>
      <w:tr w:rsidR="004322B5" w:rsidRPr="00C37C1D" w14:paraId="4E422A2B" w14:textId="77777777" w:rsidTr="00B06022">
        <w:trPr>
          <w:trHeight w:val="318"/>
        </w:trPr>
        <w:tc>
          <w:tcPr>
            <w:tcW w:w="3402" w:type="dxa"/>
            <w:tcBorders>
              <w:top w:val="single" w:sz="4" w:space="0" w:color="ADD6EA"/>
              <w:left w:val="nil"/>
              <w:bottom w:val="nil"/>
              <w:right w:val="nil"/>
            </w:tcBorders>
            <w:shd w:val="clear" w:color="000000" w:fill="FFFFFF"/>
            <w:vAlign w:val="bottom"/>
            <w:hideMark/>
          </w:tcPr>
          <w:p w14:paraId="541446DE" w14:textId="77777777" w:rsidR="004322B5" w:rsidRPr="00C37C1D" w:rsidRDefault="004322B5" w:rsidP="004322B5">
            <w:pPr>
              <w:keepNext/>
              <w:keepLines/>
              <w:tabs>
                <w:tab w:val="clear" w:pos="567"/>
              </w:tabs>
              <w:spacing w:before="0" w:line="240" w:lineRule="auto"/>
              <w:rPr>
                <w:rFonts w:eastAsia="Times New Roman" w:cs="Open Sans Light"/>
                <w:color w:val="000000"/>
                <w:sz w:val="16"/>
                <w:szCs w:val="16"/>
                <w:lang w:eastAsia="en-AU"/>
              </w:rPr>
            </w:pPr>
            <w:r w:rsidRPr="00C37C1D">
              <w:rPr>
                <w:rFonts w:eastAsia="Times New Roman" w:cs="Open Sans Light"/>
                <w:color w:val="000000"/>
                <w:sz w:val="16"/>
                <w:szCs w:val="16"/>
                <w:lang w:eastAsia="en-AU"/>
              </w:rPr>
              <w:t>Adding juvenile detainee cost weight</w:t>
            </w:r>
          </w:p>
        </w:tc>
        <w:tc>
          <w:tcPr>
            <w:tcW w:w="615" w:type="dxa"/>
            <w:tcBorders>
              <w:top w:val="single" w:sz="4" w:space="0" w:color="ADD6EA"/>
              <w:left w:val="nil"/>
              <w:bottom w:val="nil"/>
              <w:right w:val="nil"/>
            </w:tcBorders>
            <w:shd w:val="clear" w:color="000000" w:fill="FFFFFF"/>
            <w:vAlign w:val="bottom"/>
            <w:hideMark/>
          </w:tcPr>
          <w:p w14:paraId="28EF9747" w14:textId="03B856EF" w:rsidR="004322B5" w:rsidRPr="008246C1" w:rsidRDefault="004322B5" w:rsidP="004322B5">
            <w:pPr>
              <w:keepNext/>
              <w:keepLines/>
              <w:tabs>
                <w:tab w:val="clear" w:pos="567"/>
              </w:tabs>
              <w:spacing w:before="0" w:line="240" w:lineRule="auto"/>
              <w:jc w:val="right"/>
              <w:rPr>
                <w:rFonts w:eastAsia="Times New Roman" w:cs="Open Sans Light"/>
                <w:color w:val="000000"/>
                <w:sz w:val="16"/>
                <w:szCs w:val="16"/>
                <w:highlight w:val="yellow"/>
                <w:lang w:eastAsia="en-AU"/>
              </w:rPr>
            </w:pPr>
            <w:r>
              <w:rPr>
                <w:rFonts w:cs="Open Sans Light"/>
                <w:color w:val="000000"/>
                <w:sz w:val="16"/>
                <w:szCs w:val="16"/>
              </w:rPr>
              <w:t>16</w:t>
            </w:r>
          </w:p>
        </w:tc>
        <w:tc>
          <w:tcPr>
            <w:tcW w:w="616" w:type="dxa"/>
            <w:tcBorders>
              <w:top w:val="single" w:sz="4" w:space="0" w:color="ADD6EA"/>
              <w:left w:val="nil"/>
              <w:bottom w:val="nil"/>
              <w:right w:val="nil"/>
            </w:tcBorders>
            <w:shd w:val="clear" w:color="000000" w:fill="FFFFFF"/>
            <w:vAlign w:val="bottom"/>
            <w:hideMark/>
          </w:tcPr>
          <w:p w14:paraId="0A8B5676" w14:textId="5B1FA5F0" w:rsidR="004322B5" w:rsidRPr="008246C1" w:rsidRDefault="004322B5" w:rsidP="004322B5">
            <w:pPr>
              <w:keepNext/>
              <w:keepLines/>
              <w:tabs>
                <w:tab w:val="clear" w:pos="567"/>
              </w:tabs>
              <w:spacing w:before="0" w:line="240" w:lineRule="auto"/>
              <w:jc w:val="right"/>
              <w:rPr>
                <w:rFonts w:eastAsia="Times New Roman" w:cs="Open Sans Light"/>
                <w:color w:val="000000"/>
                <w:sz w:val="16"/>
                <w:szCs w:val="16"/>
                <w:highlight w:val="yellow"/>
                <w:lang w:eastAsia="en-AU"/>
              </w:rPr>
            </w:pPr>
            <w:r>
              <w:rPr>
                <w:rFonts w:cs="Open Sans Light"/>
                <w:color w:val="000000"/>
                <w:sz w:val="16"/>
                <w:szCs w:val="16"/>
              </w:rPr>
              <w:t>-65</w:t>
            </w:r>
          </w:p>
        </w:tc>
        <w:tc>
          <w:tcPr>
            <w:tcW w:w="615" w:type="dxa"/>
            <w:tcBorders>
              <w:top w:val="single" w:sz="4" w:space="0" w:color="ADD6EA"/>
              <w:left w:val="nil"/>
              <w:bottom w:val="nil"/>
              <w:right w:val="nil"/>
            </w:tcBorders>
            <w:shd w:val="clear" w:color="000000" w:fill="FFFFFF"/>
            <w:vAlign w:val="bottom"/>
            <w:hideMark/>
          </w:tcPr>
          <w:p w14:paraId="1E80B447" w14:textId="417BB58E" w:rsidR="004322B5" w:rsidRPr="008246C1" w:rsidRDefault="004322B5" w:rsidP="004322B5">
            <w:pPr>
              <w:keepNext/>
              <w:keepLines/>
              <w:tabs>
                <w:tab w:val="clear" w:pos="567"/>
              </w:tabs>
              <w:spacing w:before="0" w:line="240" w:lineRule="auto"/>
              <w:jc w:val="right"/>
              <w:rPr>
                <w:rFonts w:eastAsia="Times New Roman" w:cs="Open Sans Light"/>
                <w:color w:val="000000"/>
                <w:sz w:val="16"/>
                <w:szCs w:val="16"/>
                <w:highlight w:val="yellow"/>
                <w:lang w:eastAsia="en-AU"/>
              </w:rPr>
            </w:pPr>
            <w:r>
              <w:rPr>
                <w:rFonts w:cs="Open Sans Light"/>
                <w:color w:val="000000"/>
                <w:sz w:val="16"/>
                <w:szCs w:val="16"/>
              </w:rPr>
              <w:t>37</w:t>
            </w:r>
          </w:p>
        </w:tc>
        <w:tc>
          <w:tcPr>
            <w:tcW w:w="616" w:type="dxa"/>
            <w:tcBorders>
              <w:top w:val="single" w:sz="4" w:space="0" w:color="ADD6EA"/>
              <w:left w:val="nil"/>
              <w:bottom w:val="nil"/>
              <w:right w:val="nil"/>
            </w:tcBorders>
            <w:shd w:val="clear" w:color="000000" w:fill="FFFFFF"/>
            <w:vAlign w:val="bottom"/>
            <w:hideMark/>
          </w:tcPr>
          <w:p w14:paraId="4A90BF3D" w14:textId="52507414" w:rsidR="004322B5" w:rsidRPr="008246C1" w:rsidRDefault="004322B5" w:rsidP="004322B5">
            <w:pPr>
              <w:keepNext/>
              <w:keepLines/>
              <w:tabs>
                <w:tab w:val="clear" w:pos="567"/>
              </w:tabs>
              <w:spacing w:before="0" w:line="240" w:lineRule="auto"/>
              <w:jc w:val="right"/>
              <w:rPr>
                <w:rFonts w:eastAsia="Times New Roman" w:cs="Open Sans Light"/>
                <w:color w:val="000000"/>
                <w:sz w:val="16"/>
                <w:szCs w:val="16"/>
                <w:highlight w:val="yellow"/>
                <w:lang w:eastAsia="en-AU"/>
              </w:rPr>
            </w:pPr>
            <w:r>
              <w:rPr>
                <w:rFonts w:cs="Open Sans Light"/>
                <w:color w:val="000000"/>
                <w:sz w:val="16"/>
                <w:szCs w:val="16"/>
              </w:rPr>
              <w:t>7</w:t>
            </w:r>
          </w:p>
        </w:tc>
        <w:tc>
          <w:tcPr>
            <w:tcW w:w="615" w:type="dxa"/>
            <w:tcBorders>
              <w:top w:val="single" w:sz="4" w:space="0" w:color="ADD6EA"/>
              <w:left w:val="nil"/>
              <w:bottom w:val="nil"/>
              <w:right w:val="nil"/>
            </w:tcBorders>
            <w:shd w:val="clear" w:color="000000" w:fill="FFFFFF"/>
            <w:vAlign w:val="bottom"/>
            <w:hideMark/>
          </w:tcPr>
          <w:p w14:paraId="2E0570E3" w14:textId="5D05C469" w:rsidR="004322B5" w:rsidRPr="008246C1" w:rsidRDefault="004322B5" w:rsidP="004322B5">
            <w:pPr>
              <w:keepNext/>
              <w:keepLines/>
              <w:tabs>
                <w:tab w:val="clear" w:pos="567"/>
              </w:tabs>
              <w:spacing w:before="0" w:line="240" w:lineRule="auto"/>
              <w:jc w:val="right"/>
              <w:rPr>
                <w:rFonts w:eastAsia="Times New Roman" w:cs="Open Sans Light"/>
                <w:color w:val="000000"/>
                <w:sz w:val="16"/>
                <w:szCs w:val="16"/>
                <w:highlight w:val="yellow"/>
                <w:lang w:eastAsia="en-AU"/>
              </w:rPr>
            </w:pPr>
            <w:r>
              <w:rPr>
                <w:rFonts w:cs="Open Sans Light"/>
                <w:color w:val="000000"/>
                <w:sz w:val="16"/>
                <w:szCs w:val="16"/>
              </w:rPr>
              <w:t>-6</w:t>
            </w:r>
          </w:p>
        </w:tc>
        <w:tc>
          <w:tcPr>
            <w:tcW w:w="616" w:type="dxa"/>
            <w:tcBorders>
              <w:top w:val="single" w:sz="4" w:space="0" w:color="ADD6EA"/>
              <w:left w:val="nil"/>
              <w:bottom w:val="nil"/>
              <w:right w:val="nil"/>
            </w:tcBorders>
            <w:shd w:val="clear" w:color="000000" w:fill="FFFFFF"/>
            <w:vAlign w:val="bottom"/>
            <w:hideMark/>
          </w:tcPr>
          <w:p w14:paraId="21C87342" w14:textId="3B80081D" w:rsidR="004322B5" w:rsidRPr="008246C1" w:rsidRDefault="004322B5" w:rsidP="004322B5">
            <w:pPr>
              <w:keepNext/>
              <w:keepLines/>
              <w:tabs>
                <w:tab w:val="clear" w:pos="567"/>
              </w:tabs>
              <w:spacing w:before="0" w:line="240" w:lineRule="auto"/>
              <w:jc w:val="right"/>
              <w:rPr>
                <w:rFonts w:eastAsia="Times New Roman" w:cs="Open Sans Light"/>
                <w:color w:val="000000"/>
                <w:sz w:val="16"/>
                <w:szCs w:val="16"/>
                <w:highlight w:val="yellow"/>
                <w:lang w:eastAsia="en-AU"/>
              </w:rPr>
            </w:pPr>
            <w:r>
              <w:rPr>
                <w:rFonts w:cs="Open Sans Light"/>
                <w:color w:val="000000"/>
                <w:sz w:val="16"/>
                <w:szCs w:val="16"/>
              </w:rPr>
              <w:t>1</w:t>
            </w:r>
          </w:p>
        </w:tc>
        <w:tc>
          <w:tcPr>
            <w:tcW w:w="615" w:type="dxa"/>
            <w:tcBorders>
              <w:top w:val="single" w:sz="4" w:space="0" w:color="ADD6EA"/>
              <w:left w:val="nil"/>
              <w:bottom w:val="nil"/>
              <w:right w:val="nil"/>
            </w:tcBorders>
            <w:shd w:val="clear" w:color="000000" w:fill="FFFFFF"/>
            <w:vAlign w:val="bottom"/>
            <w:hideMark/>
          </w:tcPr>
          <w:p w14:paraId="21FA66B2" w14:textId="32E9E9E9" w:rsidR="004322B5" w:rsidRPr="008246C1" w:rsidRDefault="004322B5" w:rsidP="004322B5">
            <w:pPr>
              <w:keepNext/>
              <w:keepLines/>
              <w:tabs>
                <w:tab w:val="clear" w:pos="567"/>
              </w:tabs>
              <w:spacing w:before="0" w:line="240" w:lineRule="auto"/>
              <w:jc w:val="right"/>
              <w:rPr>
                <w:rFonts w:eastAsia="Times New Roman" w:cs="Open Sans Light"/>
                <w:color w:val="000000"/>
                <w:sz w:val="16"/>
                <w:szCs w:val="16"/>
                <w:highlight w:val="yellow"/>
                <w:lang w:eastAsia="en-AU"/>
              </w:rPr>
            </w:pPr>
            <w:r>
              <w:rPr>
                <w:rFonts w:cs="Open Sans Light"/>
                <w:color w:val="000000"/>
                <w:sz w:val="16"/>
                <w:szCs w:val="16"/>
              </w:rPr>
              <w:t>-3</w:t>
            </w:r>
          </w:p>
        </w:tc>
        <w:tc>
          <w:tcPr>
            <w:tcW w:w="512" w:type="dxa"/>
            <w:tcBorders>
              <w:top w:val="single" w:sz="4" w:space="0" w:color="ADD6EA"/>
              <w:left w:val="nil"/>
              <w:bottom w:val="nil"/>
              <w:right w:val="nil"/>
            </w:tcBorders>
            <w:shd w:val="clear" w:color="000000" w:fill="FFFFFF"/>
            <w:vAlign w:val="bottom"/>
            <w:hideMark/>
          </w:tcPr>
          <w:p w14:paraId="1E428B97" w14:textId="12FC9A35" w:rsidR="004322B5" w:rsidRPr="008246C1" w:rsidRDefault="004322B5" w:rsidP="004322B5">
            <w:pPr>
              <w:keepNext/>
              <w:keepLines/>
              <w:tabs>
                <w:tab w:val="clear" w:pos="567"/>
              </w:tabs>
              <w:spacing w:before="0" w:line="240" w:lineRule="auto"/>
              <w:jc w:val="right"/>
              <w:rPr>
                <w:rFonts w:eastAsia="Times New Roman" w:cs="Open Sans Light"/>
                <w:color w:val="000000"/>
                <w:sz w:val="16"/>
                <w:szCs w:val="16"/>
                <w:highlight w:val="yellow"/>
                <w:lang w:eastAsia="en-AU"/>
              </w:rPr>
            </w:pPr>
            <w:r>
              <w:rPr>
                <w:rFonts w:cs="Open Sans Light"/>
                <w:color w:val="000000"/>
                <w:sz w:val="16"/>
                <w:szCs w:val="16"/>
              </w:rPr>
              <w:t>14</w:t>
            </w:r>
          </w:p>
        </w:tc>
        <w:tc>
          <w:tcPr>
            <w:tcW w:w="720" w:type="dxa"/>
            <w:tcBorders>
              <w:top w:val="single" w:sz="4" w:space="0" w:color="ADD6EA"/>
              <w:left w:val="nil"/>
              <w:bottom w:val="nil"/>
              <w:right w:val="nil"/>
            </w:tcBorders>
            <w:shd w:val="clear" w:color="000000" w:fill="FFFFFF"/>
            <w:vAlign w:val="bottom"/>
            <w:hideMark/>
          </w:tcPr>
          <w:p w14:paraId="79F1D9EC" w14:textId="4E241450" w:rsidR="004322B5" w:rsidRPr="008246C1" w:rsidRDefault="004322B5" w:rsidP="004322B5">
            <w:pPr>
              <w:keepNext/>
              <w:keepLines/>
              <w:tabs>
                <w:tab w:val="clear" w:pos="567"/>
              </w:tabs>
              <w:spacing w:before="0" w:line="240" w:lineRule="auto"/>
              <w:jc w:val="right"/>
              <w:rPr>
                <w:rFonts w:eastAsia="Times New Roman" w:cs="Open Sans Light"/>
                <w:color w:val="000000"/>
                <w:sz w:val="16"/>
                <w:szCs w:val="16"/>
                <w:highlight w:val="yellow"/>
                <w:lang w:eastAsia="en-AU"/>
              </w:rPr>
            </w:pPr>
            <w:r>
              <w:rPr>
                <w:rFonts w:cs="Open Sans Light"/>
                <w:color w:val="000000"/>
                <w:sz w:val="16"/>
                <w:szCs w:val="16"/>
              </w:rPr>
              <w:t>74</w:t>
            </w:r>
          </w:p>
        </w:tc>
      </w:tr>
      <w:tr w:rsidR="004322B5" w:rsidRPr="00C37C1D" w14:paraId="4F58CC39" w14:textId="77777777" w:rsidTr="00B06022">
        <w:trPr>
          <w:trHeight w:val="318"/>
        </w:trPr>
        <w:tc>
          <w:tcPr>
            <w:tcW w:w="3402" w:type="dxa"/>
            <w:tcBorders>
              <w:top w:val="single" w:sz="4" w:space="0" w:color="ADD6EA"/>
              <w:left w:val="nil"/>
              <w:bottom w:val="nil"/>
              <w:right w:val="nil"/>
            </w:tcBorders>
            <w:shd w:val="clear" w:color="000000" w:fill="FFFFFF"/>
            <w:vAlign w:val="bottom"/>
            <w:hideMark/>
          </w:tcPr>
          <w:p w14:paraId="5B58A224" w14:textId="77777777" w:rsidR="004322B5" w:rsidRPr="00C37C1D" w:rsidRDefault="004322B5" w:rsidP="004322B5">
            <w:pPr>
              <w:keepNext/>
              <w:keepLines/>
              <w:tabs>
                <w:tab w:val="clear" w:pos="567"/>
              </w:tabs>
              <w:spacing w:before="0" w:line="240" w:lineRule="auto"/>
              <w:rPr>
                <w:rFonts w:ascii="Open Sans Semibold" w:eastAsia="Times New Roman" w:hAnsi="Open Sans Semibold" w:cs="Open Sans Semibold"/>
                <w:color w:val="000000"/>
                <w:sz w:val="16"/>
                <w:szCs w:val="16"/>
                <w:lang w:eastAsia="en-AU"/>
              </w:rPr>
            </w:pPr>
            <w:r w:rsidRPr="00C37C1D">
              <w:rPr>
                <w:rFonts w:ascii="Open Sans Semibold" w:eastAsia="Times New Roman" w:hAnsi="Open Sans Semibold" w:cs="Open Sans Semibold"/>
                <w:color w:val="000000"/>
                <w:sz w:val="16"/>
                <w:szCs w:val="16"/>
                <w:lang w:eastAsia="en-AU"/>
              </w:rPr>
              <w:t>Changing age groups (</w:t>
            </w:r>
            <w:r>
              <w:rPr>
                <w:rFonts w:ascii="Open Sans Semibold" w:eastAsia="Times New Roman" w:hAnsi="Open Sans Semibold" w:cs="Open Sans Semibold"/>
                <w:color w:val="000000"/>
                <w:sz w:val="16"/>
                <w:szCs w:val="16"/>
                <w:lang w:eastAsia="en-AU"/>
              </w:rPr>
              <w:t>b</w:t>
            </w:r>
            <w:r w:rsidRPr="00C37C1D">
              <w:rPr>
                <w:rFonts w:ascii="Open Sans Semibold" w:eastAsia="Times New Roman" w:hAnsi="Open Sans Semibold" w:cs="Open Sans Semibold"/>
                <w:color w:val="000000"/>
                <w:sz w:val="16"/>
                <w:szCs w:val="16"/>
                <w:lang w:eastAsia="en-AU"/>
              </w:rPr>
              <w:t>)</w:t>
            </w:r>
          </w:p>
        </w:tc>
        <w:tc>
          <w:tcPr>
            <w:tcW w:w="615" w:type="dxa"/>
            <w:tcBorders>
              <w:top w:val="single" w:sz="4" w:space="0" w:color="ADD6EA"/>
              <w:left w:val="nil"/>
              <w:bottom w:val="nil"/>
              <w:right w:val="nil"/>
            </w:tcBorders>
            <w:shd w:val="clear" w:color="000000" w:fill="FFFFFF"/>
            <w:vAlign w:val="bottom"/>
            <w:hideMark/>
          </w:tcPr>
          <w:p w14:paraId="725115D8" w14:textId="0B926749" w:rsidR="004322B5" w:rsidRPr="008246C1" w:rsidRDefault="004322B5" w:rsidP="004322B5">
            <w:pPr>
              <w:keepNext/>
              <w:keepLines/>
              <w:tabs>
                <w:tab w:val="clear" w:pos="567"/>
              </w:tabs>
              <w:spacing w:before="0" w:line="240" w:lineRule="auto"/>
              <w:jc w:val="right"/>
              <w:rPr>
                <w:rFonts w:ascii="Open Sans Semibold" w:eastAsia="Times New Roman" w:hAnsi="Open Sans Semibold" w:cs="Open Sans Semibold"/>
                <w:color w:val="000000"/>
                <w:sz w:val="16"/>
                <w:szCs w:val="16"/>
                <w:highlight w:val="yellow"/>
                <w:lang w:eastAsia="en-AU"/>
              </w:rPr>
            </w:pPr>
            <w:r>
              <w:rPr>
                <w:rFonts w:ascii="Open Sans Semibold" w:hAnsi="Open Sans Semibold" w:cs="Open Sans Semibold"/>
                <w:color w:val="000000"/>
                <w:sz w:val="16"/>
                <w:szCs w:val="16"/>
              </w:rPr>
              <w:t>3</w:t>
            </w:r>
          </w:p>
        </w:tc>
        <w:tc>
          <w:tcPr>
            <w:tcW w:w="616" w:type="dxa"/>
            <w:tcBorders>
              <w:top w:val="single" w:sz="4" w:space="0" w:color="ADD6EA"/>
              <w:left w:val="nil"/>
              <w:bottom w:val="nil"/>
              <w:right w:val="nil"/>
            </w:tcBorders>
            <w:shd w:val="clear" w:color="000000" w:fill="FFFFFF"/>
            <w:vAlign w:val="bottom"/>
            <w:hideMark/>
          </w:tcPr>
          <w:p w14:paraId="2BBFE659" w14:textId="78557130" w:rsidR="004322B5" w:rsidRPr="008246C1" w:rsidRDefault="004322B5" w:rsidP="004322B5">
            <w:pPr>
              <w:keepNext/>
              <w:keepLines/>
              <w:tabs>
                <w:tab w:val="clear" w:pos="567"/>
              </w:tabs>
              <w:spacing w:before="0" w:line="240" w:lineRule="auto"/>
              <w:jc w:val="right"/>
              <w:rPr>
                <w:rFonts w:ascii="Open Sans Semibold" w:eastAsia="Times New Roman" w:hAnsi="Open Sans Semibold" w:cs="Open Sans Semibold"/>
                <w:color w:val="000000"/>
                <w:sz w:val="16"/>
                <w:szCs w:val="16"/>
                <w:highlight w:val="yellow"/>
                <w:lang w:eastAsia="en-AU"/>
              </w:rPr>
            </w:pPr>
            <w:r>
              <w:rPr>
                <w:rFonts w:ascii="Open Sans Semibold" w:hAnsi="Open Sans Semibold" w:cs="Open Sans Semibold"/>
                <w:color w:val="000000"/>
                <w:sz w:val="16"/>
                <w:szCs w:val="16"/>
              </w:rPr>
              <w:t>-1</w:t>
            </w:r>
          </w:p>
        </w:tc>
        <w:tc>
          <w:tcPr>
            <w:tcW w:w="615" w:type="dxa"/>
            <w:tcBorders>
              <w:top w:val="single" w:sz="4" w:space="0" w:color="ADD6EA"/>
              <w:left w:val="nil"/>
              <w:bottom w:val="nil"/>
              <w:right w:val="nil"/>
            </w:tcBorders>
            <w:shd w:val="clear" w:color="000000" w:fill="FFFFFF"/>
            <w:vAlign w:val="bottom"/>
            <w:hideMark/>
          </w:tcPr>
          <w:p w14:paraId="7BF4A6F1" w14:textId="4D61010D" w:rsidR="004322B5" w:rsidRPr="008246C1" w:rsidRDefault="004322B5" w:rsidP="004322B5">
            <w:pPr>
              <w:keepNext/>
              <w:keepLines/>
              <w:tabs>
                <w:tab w:val="clear" w:pos="567"/>
              </w:tabs>
              <w:spacing w:before="0" w:line="240" w:lineRule="auto"/>
              <w:jc w:val="right"/>
              <w:rPr>
                <w:rFonts w:ascii="Open Sans Semibold" w:eastAsia="Times New Roman" w:hAnsi="Open Sans Semibold" w:cs="Open Sans Semibold"/>
                <w:color w:val="000000"/>
                <w:sz w:val="16"/>
                <w:szCs w:val="16"/>
                <w:highlight w:val="yellow"/>
                <w:lang w:eastAsia="en-AU"/>
              </w:rPr>
            </w:pPr>
            <w:r>
              <w:rPr>
                <w:rFonts w:ascii="Open Sans Semibold" w:hAnsi="Open Sans Semibold" w:cs="Open Sans Semibold"/>
                <w:color w:val="000000"/>
                <w:sz w:val="16"/>
                <w:szCs w:val="16"/>
              </w:rPr>
              <w:t>-3</w:t>
            </w:r>
          </w:p>
        </w:tc>
        <w:tc>
          <w:tcPr>
            <w:tcW w:w="616" w:type="dxa"/>
            <w:tcBorders>
              <w:top w:val="single" w:sz="4" w:space="0" w:color="ADD6EA"/>
              <w:left w:val="nil"/>
              <w:bottom w:val="nil"/>
              <w:right w:val="nil"/>
            </w:tcBorders>
            <w:shd w:val="clear" w:color="000000" w:fill="FFFFFF"/>
            <w:vAlign w:val="bottom"/>
            <w:hideMark/>
          </w:tcPr>
          <w:p w14:paraId="73B557BF" w14:textId="40F06818" w:rsidR="004322B5" w:rsidRPr="008246C1" w:rsidRDefault="004322B5" w:rsidP="004322B5">
            <w:pPr>
              <w:keepNext/>
              <w:keepLines/>
              <w:tabs>
                <w:tab w:val="clear" w:pos="567"/>
              </w:tabs>
              <w:spacing w:before="0" w:line="240" w:lineRule="auto"/>
              <w:jc w:val="right"/>
              <w:rPr>
                <w:rFonts w:ascii="Open Sans Semibold" w:eastAsia="Times New Roman" w:hAnsi="Open Sans Semibold" w:cs="Open Sans Semibold"/>
                <w:color w:val="000000"/>
                <w:sz w:val="16"/>
                <w:szCs w:val="16"/>
                <w:highlight w:val="yellow"/>
                <w:lang w:eastAsia="en-AU"/>
              </w:rPr>
            </w:pPr>
            <w:r>
              <w:rPr>
                <w:rFonts w:ascii="Open Sans Semibold" w:hAnsi="Open Sans Semibold" w:cs="Open Sans Semibold"/>
                <w:color w:val="000000"/>
                <w:sz w:val="16"/>
                <w:szCs w:val="16"/>
              </w:rPr>
              <w:t>0</w:t>
            </w:r>
          </w:p>
        </w:tc>
        <w:tc>
          <w:tcPr>
            <w:tcW w:w="615" w:type="dxa"/>
            <w:tcBorders>
              <w:top w:val="single" w:sz="4" w:space="0" w:color="ADD6EA"/>
              <w:left w:val="nil"/>
              <w:bottom w:val="nil"/>
              <w:right w:val="nil"/>
            </w:tcBorders>
            <w:shd w:val="clear" w:color="000000" w:fill="FFFFFF"/>
            <w:vAlign w:val="bottom"/>
            <w:hideMark/>
          </w:tcPr>
          <w:p w14:paraId="0EF41F52" w14:textId="71BC9B30" w:rsidR="004322B5" w:rsidRPr="008246C1" w:rsidRDefault="004322B5" w:rsidP="004322B5">
            <w:pPr>
              <w:keepNext/>
              <w:keepLines/>
              <w:tabs>
                <w:tab w:val="clear" w:pos="567"/>
              </w:tabs>
              <w:spacing w:before="0" w:line="240" w:lineRule="auto"/>
              <w:jc w:val="right"/>
              <w:rPr>
                <w:rFonts w:ascii="Open Sans Semibold" w:eastAsia="Times New Roman" w:hAnsi="Open Sans Semibold" w:cs="Open Sans Semibold"/>
                <w:color w:val="000000"/>
                <w:sz w:val="16"/>
                <w:szCs w:val="16"/>
                <w:highlight w:val="yellow"/>
                <w:lang w:eastAsia="en-AU"/>
              </w:rPr>
            </w:pPr>
            <w:r>
              <w:rPr>
                <w:rFonts w:ascii="Open Sans Semibold" w:hAnsi="Open Sans Semibold" w:cs="Open Sans Semibold"/>
                <w:color w:val="000000"/>
                <w:sz w:val="16"/>
                <w:szCs w:val="16"/>
              </w:rPr>
              <w:t>-1</w:t>
            </w:r>
          </w:p>
        </w:tc>
        <w:tc>
          <w:tcPr>
            <w:tcW w:w="616" w:type="dxa"/>
            <w:tcBorders>
              <w:top w:val="single" w:sz="4" w:space="0" w:color="ADD6EA"/>
              <w:left w:val="nil"/>
              <w:bottom w:val="nil"/>
              <w:right w:val="nil"/>
            </w:tcBorders>
            <w:shd w:val="clear" w:color="000000" w:fill="FFFFFF"/>
            <w:vAlign w:val="bottom"/>
            <w:hideMark/>
          </w:tcPr>
          <w:p w14:paraId="466233AD" w14:textId="20E9E977" w:rsidR="004322B5" w:rsidRPr="008246C1" w:rsidRDefault="004322B5" w:rsidP="004322B5">
            <w:pPr>
              <w:keepNext/>
              <w:keepLines/>
              <w:tabs>
                <w:tab w:val="clear" w:pos="567"/>
              </w:tabs>
              <w:spacing w:before="0" w:line="240" w:lineRule="auto"/>
              <w:jc w:val="right"/>
              <w:rPr>
                <w:rFonts w:ascii="Open Sans Semibold" w:eastAsia="Times New Roman" w:hAnsi="Open Sans Semibold" w:cs="Open Sans Semibold"/>
                <w:color w:val="000000"/>
                <w:sz w:val="16"/>
                <w:szCs w:val="16"/>
                <w:highlight w:val="yellow"/>
                <w:lang w:eastAsia="en-AU"/>
              </w:rPr>
            </w:pPr>
            <w:r>
              <w:rPr>
                <w:rFonts w:ascii="Open Sans Semibold" w:hAnsi="Open Sans Semibold" w:cs="Open Sans Semibold"/>
                <w:color w:val="000000"/>
                <w:sz w:val="16"/>
                <w:szCs w:val="16"/>
              </w:rPr>
              <w:t>-2</w:t>
            </w:r>
          </w:p>
        </w:tc>
        <w:tc>
          <w:tcPr>
            <w:tcW w:w="615" w:type="dxa"/>
            <w:tcBorders>
              <w:top w:val="single" w:sz="4" w:space="0" w:color="ADD6EA"/>
              <w:left w:val="nil"/>
              <w:bottom w:val="nil"/>
              <w:right w:val="nil"/>
            </w:tcBorders>
            <w:shd w:val="clear" w:color="000000" w:fill="FFFFFF"/>
            <w:vAlign w:val="bottom"/>
            <w:hideMark/>
          </w:tcPr>
          <w:p w14:paraId="4065581A" w14:textId="609D2213" w:rsidR="004322B5" w:rsidRPr="008246C1" w:rsidRDefault="004322B5" w:rsidP="004322B5">
            <w:pPr>
              <w:keepNext/>
              <w:keepLines/>
              <w:tabs>
                <w:tab w:val="clear" w:pos="567"/>
              </w:tabs>
              <w:spacing w:before="0" w:line="240" w:lineRule="auto"/>
              <w:jc w:val="right"/>
              <w:rPr>
                <w:rFonts w:ascii="Open Sans Semibold" w:eastAsia="Times New Roman" w:hAnsi="Open Sans Semibold" w:cs="Open Sans Semibold"/>
                <w:color w:val="000000"/>
                <w:sz w:val="16"/>
                <w:szCs w:val="16"/>
                <w:highlight w:val="yellow"/>
                <w:lang w:eastAsia="en-AU"/>
              </w:rPr>
            </w:pPr>
            <w:r>
              <w:rPr>
                <w:rFonts w:ascii="Open Sans Semibold" w:hAnsi="Open Sans Semibold" w:cs="Open Sans Semibold"/>
                <w:color w:val="000000"/>
                <w:sz w:val="16"/>
                <w:szCs w:val="16"/>
              </w:rPr>
              <w:t>1</w:t>
            </w:r>
          </w:p>
        </w:tc>
        <w:tc>
          <w:tcPr>
            <w:tcW w:w="512" w:type="dxa"/>
            <w:tcBorders>
              <w:top w:val="single" w:sz="4" w:space="0" w:color="ADD6EA"/>
              <w:left w:val="nil"/>
              <w:bottom w:val="nil"/>
              <w:right w:val="nil"/>
            </w:tcBorders>
            <w:shd w:val="clear" w:color="000000" w:fill="FFFFFF"/>
            <w:vAlign w:val="bottom"/>
            <w:hideMark/>
          </w:tcPr>
          <w:p w14:paraId="0AF1B8A3" w14:textId="027A4767" w:rsidR="004322B5" w:rsidRPr="008246C1" w:rsidRDefault="004322B5" w:rsidP="004322B5">
            <w:pPr>
              <w:keepNext/>
              <w:keepLines/>
              <w:tabs>
                <w:tab w:val="clear" w:pos="567"/>
              </w:tabs>
              <w:spacing w:before="0" w:line="240" w:lineRule="auto"/>
              <w:jc w:val="right"/>
              <w:rPr>
                <w:rFonts w:ascii="Open Sans Semibold" w:eastAsia="Times New Roman" w:hAnsi="Open Sans Semibold" w:cs="Open Sans Semibold"/>
                <w:color w:val="000000"/>
                <w:sz w:val="16"/>
                <w:szCs w:val="16"/>
                <w:highlight w:val="yellow"/>
                <w:lang w:eastAsia="en-AU"/>
              </w:rPr>
            </w:pPr>
            <w:r>
              <w:rPr>
                <w:rFonts w:ascii="Open Sans Semibold" w:hAnsi="Open Sans Semibold" w:cs="Open Sans Semibold"/>
                <w:color w:val="000000"/>
                <w:sz w:val="16"/>
                <w:szCs w:val="16"/>
              </w:rPr>
              <w:t>3</w:t>
            </w:r>
          </w:p>
        </w:tc>
        <w:tc>
          <w:tcPr>
            <w:tcW w:w="720" w:type="dxa"/>
            <w:tcBorders>
              <w:top w:val="single" w:sz="4" w:space="0" w:color="ADD6EA"/>
              <w:left w:val="nil"/>
              <w:bottom w:val="nil"/>
              <w:right w:val="nil"/>
            </w:tcBorders>
            <w:shd w:val="clear" w:color="000000" w:fill="FFFFFF"/>
            <w:vAlign w:val="bottom"/>
            <w:hideMark/>
          </w:tcPr>
          <w:p w14:paraId="7644FADC" w14:textId="52D4BC62" w:rsidR="004322B5" w:rsidRPr="008246C1" w:rsidRDefault="004322B5" w:rsidP="004322B5">
            <w:pPr>
              <w:keepNext/>
              <w:keepLines/>
              <w:tabs>
                <w:tab w:val="clear" w:pos="567"/>
              </w:tabs>
              <w:spacing w:before="0" w:line="240" w:lineRule="auto"/>
              <w:jc w:val="right"/>
              <w:rPr>
                <w:rFonts w:ascii="Open Sans Semibold" w:eastAsia="Times New Roman" w:hAnsi="Open Sans Semibold" w:cs="Open Sans Semibold"/>
                <w:color w:val="000000"/>
                <w:sz w:val="16"/>
                <w:szCs w:val="16"/>
                <w:highlight w:val="yellow"/>
                <w:lang w:eastAsia="en-AU"/>
              </w:rPr>
            </w:pPr>
            <w:r>
              <w:rPr>
                <w:rFonts w:ascii="Open Sans Semibold" w:hAnsi="Open Sans Semibold" w:cs="Open Sans Semibold"/>
                <w:color w:val="000000"/>
                <w:sz w:val="16"/>
                <w:szCs w:val="16"/>
              </w:rPr>
              <w:t>7</w:t>
            </w:r>
          </w:p>
        </w:tc>
      </w:tr>
      <w:tr w:rsidR="004322B5" w:rsidRPr="00C37C1D" w14:paraId="289F569B" w14:textId="77777777" w:rsidTr="00B06022">
        <w:trPr>
          <w:trHeight w:val="300"/>
        </w:trPr>
        <w:tc>
          <w:tcPr>
            <w:tcW w:w="3402" w:type="dxa"/>
            <w:tcBorders>
              <w:top w:val="single" w:sz="4" w:space="0" w:color="ADD6EA"/>
              <w:left w:val="nil"/>
              <w:bottom w:val="nil"/>
              <w:right w:val="nil"/>
            </w:tcBorders>
            <w:shd w:val="clear" w:color="000000" w:fill="D6E7F0"/>
            <w:vAlign w:val="bottom"/>
            <w:hideMark/>
          </w:tcPr>
          <w:p w14:paraId="1C9F7BC1" w14:textId="77777777" w:rsidR="004322B5" w:rsidRPr="00C37C1D" w:rsidRDefault="004322B5" w:rsidP="004322B5">
            <w:pPr>
              <w:keepNext/>
              <w:keepLines/>
              <w:tabs>
                <w:tab w:val="clear" w:pos="567"/>
              </w:tabs>
              <w:spacing w:before="0" w:line="240" w:lineRule="auto"/>
              <w:rPr>
                <w:rFonts w:ascii="Open Sans Semibold" w:eastAsia="Times New Roman" w:hAnsi="Open Sans Semibold" w:cs="Open Sans Semibold"/>
                <w:color w:val="000000"/>
                <w:sz w:val="16"/>
                <w:szCs w:val="16"/>
                <w:lang w:eastAsia="en-AU"/>
              </w:rPr>
            </w:pPr>
            <w:r w:rsidRPr="00C37C1D">
              <w:rPr>
                <w:rFonts w:ascii="Open Sans Semibold" w:eastAsia="Times New Roman" w:hAnsi="Open Sans Semibold" w:cs="Open Sans Semibold"/>
                <w:color w:val="000000"/>
                <w:sz w:val="16"/>
                <w:szCs w:val="16"/>
                <w:lang w:eastAsia="en-AU"/>
              </w:rPr>
              <w:t>Total</w:t>
            </w:r>
          </w:p>
        </w:tc>
        <w:tc>
          <w:tcPr>
            <w:tcW w:w="615" w:type="dxa"/>
            <w:tcBorders>
              <w:top w:val="single" w:sz="4" w:space="0" w:color="ADD6EA"/>
              <w:left w:val="nil"/>
              <w:bottom w:val="nil"/>
              <w:right w:val="nil"/>
            </w:tcBorders>
            <w:shd w:val="clear" w:color="000000" w:fill="D6E7F0"/>
            <w:vAlign w:val="bottom"/>
            <w:hideMark/>
          </w:tcPr>
          <w:p w14:paraId="2D5B54CF" w14:textId="6662008F" w:rsidR="004322B5" w:rsidRPr="008246C1" w:rsidRDefault="004322B5" w:rsidP="004322B5">
            <w:pPr>
              <w:keepNext/>
              <w:keepLines/>
              <w:tabs>
                <w:tab w:val="clear" w:pos="567"/>
              </w:tabs>
              <w:spacing w:before="0" w:line="240" w:lineRule="auto"/>
              <w:jc w:val="right"/>
              <w:rPr>
                <w:rFonts w:ascii="Open Sans Semibold" w:eastAsia="Times New Roman" w:hAnsi="Open Sans Semibold" w:cs="Open Sans Semibold"/>
                <w:color w:val="000000"/>
                <w:sz w:val="16"/>
                <w:szCs w:val="16"/>
                <w:highlight w:val="yellow"/>
                <w:lang w:eastAsia="en-AU"/>
              </w:rPr>
            </w:pPr>
            <w:r>
              <w:rPr>
                <w:rFonts w:ascii="Open Sans Semibold" w:hAnsi="Open Sans Semibold" w:cs="Open Sans Semibold"/>
                <w:color w:val="000000"/>
                <w:sz w:val="16"/>
                <w:szCs w:val="16"/>
              </w:rPr>
              <w:t>52</w:t>
            </w:r>
          </w:p>
        </w:tc>
        <w:tc>
          <w:tcPr>
            <w:tcW w:w="616" w:type="dxa"/>
            <w:tcBorders>
              <w:top w:val="single" w:sz="4" w:space="0" w:color="ADD6EA"/>
              <w:left w:val="nil"/>
              <w:bottom w:val="nil"/>
              <w:right w:val="nil"/>
            </w:tcBorders>
            <w:shd w:val="clear" w:color="000000" w:fill="D6E7F0"/>
            <w:vAlign w:val="bottom"/>
            <w:hideMark/>
          </w:tcPr>
          <w:p w14:paraId="23D15DCC" w14:textId="4A3A80A2" w:rsidR="004322B5" w:rsidRPr="008246C1" w:rsidRDefault="004322B5" w:rsidP="004322B5">
            <w:pPr>
              <w:keepNext/>
              <w:keepLines/>
              <w:tabs>
                <w:tab w:val="clear" w:pos="567"/>
              </w:tabs>
              <w:spacing w:before="0" w:line="240" w:lineRule="auto"/>
              <w:jc w:val="right"/>
              <w:rPr>
                <w:rFonts w:ascii="Open Sans Semibold" w:eastAsia="Times New Roman" w:hAnsi="Open Sans Semibold" w:cs="Open Sans Semibold"/>
                <w:color w:val="000000"/>
                <w:sz w:val="16"/>
                <w:szCs w:val="16"/>
                <w:highlight w:val="yellow"/>
                <w:lang w:eastAsia="en-AU"/>
              </w:rPr>
            </w:pPr>
            <w:r>
              <w:rPr>
                <w:rFonts w:ascii="Open Sans Semibold" w:hAnsi="Open Sans Semibold" w:cs="Open Sans Semibold"/>
                <w:color w:val="000000"/>
                <w:sz w:val="16"/>
                <w:szCs w:val="16"/>
              </w:rPr>
              <w:t>-59</w:t>
            </w:r>
          </w:p>
        </w:tc>
        <w:tc>
          <w:tcPr>
            <w:tcW w:w="615" w:type="dxa"/>
            <w:tcBorders>
              <w:top w:val="single" w:sz="4" w:space="0" w:color="ADD6EA"/>
              <w:left w:val="nil"/>
              <w:bottom w:val="nil"/>
              <w:right w:val="nil"/>
            </w:tcBorders>
            <w:shd w:val="clear" w:color="000000" w:fill="D6E7F0"/>
            <w:vAlign w:val="bottom"/>
            <w:hideMark/>
          </w:tcPr>
          <w:p w14:paraId="3208115C" w14:textId="71B5E4C6" w:rsidR="004322B5" w:rsidRPr="008246C1" w:rsidRDefault="004322B5" w:rsidP="004322B5">
            <w:pPr>
              <w:keepNext/>
              <w:keepLines/>
              <w:tabs>
                <w:tab w:val="clear" w:pos="567"/>
              </w:tabs>
              <w:spacing w:before="0" w:line="240" w:lineRule="auto"/>
              <w:jc w:val="right"/>
              <w:rPr>
                <w:rFonts w:ascii="Open Sans Semibold" w:eastAsia="Times New Roman" w:hAnsi="Open Sans Semibold" w:cs="Open Sans Semibold"/>
                <w:color w:val="000000"/>
                <w:sz w:val="16"/>
                <w:szCs w:val="16"/>
                <w:highlight w:val="yellow"/>
                <w:lang w:eastAsia="en-AU"/>
              </w:rPr>
            </w:pPr>
            <w:r>
              <w:rPr>
                <w:rFonts w:ascii="Open Sans Semibold" w:hAnsi="Open Sans Semibold" w:cs="Open Sans Semibold"/>
                <w:color w:val="000000"/>
                <w:sz w:val="16"/>
                <w:szCs w:val="16"/>
              </w:rPr>
              <w:t>33</w:t>
            </w:r>
          </w:p>
        </w:tc>
        <w:tc>
          <w:tcPr>
            <w:tcW w:w="616" w:type="dxa"/>
            <w:tcBorders>
              <w:top w:val="single" w:sz="4" w:space="0" w:color="ADD6EA"/>
              <w:left w:val="nil"/>
              <w:bottom w:val="nil"/>
              <w:right w:val="nil"/>
            </w:tcBorders>
            <w:shd w:val="clear" w:color="000000" w:fill="D6E7F0"/>
            <w:vAlign w:val="bottom"/>
            <w:hideMark/>
          </w:tcPr>
          <w:p w14:paraId="7A8EBD60" w14:textId="7A13A321" w:rsidR="004322B5" w:rsidRPr="008246C1" w:rsidRDefault="004322B5" w:rsidP="004322B5">
            <w:pPr>
              <w:keepNext/>
              <w:keepLines/>
              <w:tabs>
                <w:tab w:val="clear" w:pos="567"/>
              </w:tabs>
              <w:spacing w:before="0" w:line="240" w:lineRule="auto"/>
              <w:jc w:val="right"/>
              <w:rPr>
                <w:rFonts w:ascii="Open Sans Semibold" w:eastAsia="Times New Roman" w:hAnsi="Open Sans Semibold" w:cs="Open Sans Semibold"/>
                <w:color w:val="000000"/>
                <w:sz w:val="16"/>
                <w:szCs w:val="16"/>
                <w:highlight w:val="yellow"/>
                <w:lang w:eastAsia="en-AU"/>
              </w:rPr>
            </w:pPr>
            <w:r>
              <w:rPr>
                <w:rFonts w:ascii="Open Sans Semibold" w:hAnsi="Open Sans Semibold" w:cs="Open Sans Semibold"/>
                <w:color w:val="000000"/>
                <w:sz w:val="16"/>
                <w:szCs w:val="16"/>
              </w:rPr>
              <w:t>-16</w:t>
            </w:r>
          </w:p>
        </w:tc>
        <w:tc>
          <w:tcPr>
            <w:tcW w:w="615" w:type="dxa"/>
            <w:tcBorders>
              <w:top w:val="single" w:sz="4" w:space="0" w:color="ADD6EA"/>
              <w:left w:val="nil"/>
              <w:bottom w:val="nil"/>
              <w:right w:val="nil"/>
            </w:tcBorders>
            <w:shd w:val="clear" w:color="000000" w:fill="D6E7F0"/>
            <w:vAlign w:val="bottom"/>
            <w:hideMark/>
          </w:tcPr>
          <w:p w14:paraId="51040C9A" w14:textId="10C2A911" w:rsidR="004322B5" w:rsidRPr="008246C1" w:rsidRDefault="004322B5" w:rsidP="004322B5">
            <w:pPr>
              <w:keepNext/>
              <w:keepLines/>
              <w:tabs>
                <w:tab w:val="clear" w:pos="567"/>
              </w:tabs>
              <w:spacing w:before="0" w:line="240" w:lineRule="auto"/>
              <w:jc w:val="right"/>
              <w:rPr>
                <w:rFonts w:ascii="Open Sans Semibold" w:eastAsia="Times New Roman" w:hAnsi="Open Sans Semibold" w:cs="Open Sans Semibold"/>
                <w:color w:val="000000"/>
                <w:sz w:val="16"/>
                <w:szCs w:val="16"/>
                <w:highlight w:val="yellow"/>
                <w:lang w:eastAsia="en-AU"/>
              </w:rPr>
            </w:pPr>
            <w:r>
              <w:rPr>
                <w:rFonts w:ascii="Open Sans Semibold" w:hAnsi="Open Sans Semibold" w:cs="Open Sans Semibold"/>
                <w:color w:val="000000"/>
                <w:sz w:val="16"/>
                <w:szCs w:val="16"/>
              </w:rPr>
              <w:t>-12</w:t>
            </w:r>
          </w:p>
        </w:tc>
        <w:tc>
          <w:tcPr>
            <w:tcW w:w="616" w:type="dxa"/>
            <w:tcBorders>
              <w:top w:val="single" w:sz="4" w:space="0" w:color="ADD6EA"/>
              <w:left w:val="nil"/>
              <w:bottom w:val="nil"/>
              <w:right w:val="nil"/>
            </w:tcBorders>
            <w:shd w:val="clear" w:color="000000" w:fill="D6E7F0"/>
            <w:vAlign w:val="bottom"/>
            <w:hideMark/>
          </w:tcPr>
          <w:p w14:paraId="23644C2F" w14:textId="281B9E0F" w:rsidR="004322B5" w:rsidRPr="008246C1" w:rsidRDefault="004322B5" w:rsidP="004322B5">
            <w:pPr>
              <w:keepNext/>
              <w:keepLines/>
              <w:tabs>
                <w:tab w:val="clear" w:pos="567"/>
              </w:tabs>
              <w:spacing w:before="0" w:line="240" w:lineRule="auto"/>
              <w:jc w:val="right"/>
              <w:rPr>
                <w:rFonts w:ascii="Open Sans Semibold" w:eastAsia="Times New Roman" w:hAnsi="Open Sans Semibold" w:cs="Open Sans Semibold"/>
                <w:color w:val="000000"/>
                <w:sz w:val="16"/>
                <w:szCs w:val="16"/>
                <w:highlight w:val="yellow"/>
                <w:lang w:eastAsia="en-AU"/>
              </w:rPr>
            </w:pPr>
            <w:r>
              <w:rPr>
                <w:rFonts w:ascii="Open Sans Semibold" w:hAnsi="Open Sans Semibold" w:cs="Open Sans Semibold"/>
                <w:color w:val="000000"/>
                <w:sz w:val="16"/>
                <w:szCs w:val="16"/>
              </w:rPr>
              <w:t>8</w:t>
            </w:r>
          </w:p>
        </w:tc>
        <w:tc>
          <w:tcPr>
            <w:tcW w:w="615" w:type="dxa"/>
            <w:tcBorders>
              <w:top w:val="single" w:sz="4" w:space="0" w:color="ADD6EA"/>
              <w:left w:val="nil"/>
              <w:bottom w:val="nil"/>
              <w:right w:val="nil"/>
            </w:tcBorders>
            <w:shd w:val="clear" w:color="000000" w:fill="D6E7F0"/>
            <w:vAlign w:val="bottom"/>
            <w:hideMark/>
          </w:tcPr>
          <w:p w14:paraId="59CB718D" w14:textId="6EECFF15" w:rsidR="004322B5" w:rsidRPr="008246C1" w:rsidRDefault="004322B5" w:rsidP="004322B5">
            <w:pPr>
              <w:keepNext/>
              <w:keepLines/>
              <w:tabs>
                <w:tab w:val="clear" w:pos="567"/>
              </w:tabs>
              <w:spacing w:before="0" w:line="240" w:lineRule="auto"/>
              <w:jc w:val="right"/>
              <w:rPr>
                <w:rFonts w:ascii="Open Sans Semibold" w:eastAsia="Times New Roman" w:hAnsi="Open Sans Semibold" w:cs="Open Sans Semibold"/>
                <w:color w:val="000000"/>
                <w:sz w:val="16"/>
                <w:szCs w:val="16"/>
                <w:highlight w:val="yellow"/>
                <w:lang w:eastAsia="en-AU"/>
              </w:rPr>
            </w:pPr>
            <w:r>
              <w:rPr>
                <w:rFonts w:ascii="Open Sans Semibold" w:hAnsi="Open Sans Semibold" w:cs="Open Sans Semibold"/>
                <w:color w:val="000000"/>
                <w:sz w:val="16"/>
                <w:szCs w:val="16"/>
              </w:rPr>
              <w:t>-3</w:t>
            </w:r>
          </w:p>
        </w:tc>
        <w:tc>
          <w:tcPr>
            <w:tcW w:w="512" w:type="dxa"/>
            <w:tcBorders>
              <w:top w:val="single" w:sz="4" w:space="0" w:color="ADD6EA"/>
              <w:left w:val="nil"/>
              <w:bottom w:val="nil"/>
              <w:right w:val="nil"/>
            </w:tcBorders>
            <w:shd w:val="clear" w:color="000000" w:fill="D6E7F0"/>
            <w:vAlign w:val="bottom"/>
            <w:hideMark/>
          </w:tcPr>
          <w:p w14:paraId="6CD01D30" w14:textId="22533994" w:rsidR="004322B5" w:rsidRPr="008246C1" w:rsidRDefault="004322B5" w:rsidP="004322B5">
            <w:pPr>
              <w:keepNext/>
              <w:keepLines/>
              <w:tabs>
                <w:tab w:val="clear" w:pos="567"/>
              </w:tabs>
              <w:spacing w:before="0" w:line="240" w:lineRule="auto"/>
              <w:jc w:val="right"/>
              <w:rPr>
                <w:rFonts w:ascii="Open Sans Semibold" w:eastAsia="Times New Roman" w:hAnsi="Open Sans Semibold" w:cs="Open Sans Semibold"/>
                <w:color w:val="000000"/>
                <w:sz w:val="16"/>
                <w:szCs w:val="16"/>
                <w:highlight w:val="yellow"/>
                <w:lang w:eastAsia="en-AU"/>
              </w:rPr>
            </w:pPr>
            <w:r>
              <w:rPr>
                <w:rFonts w:ascii="Open Sans Semibold" w:hAnsi="Open Sans Semibold" w:cs="Open Sans Semibold"/>
                <w:color w:val="000000"/>
                <w:sz w:val="16"/>
                <w:szCs w:val="16"/>
              </w:rPr>
              <w:t>-4</w:t>
            </w:r>
          </w:p>
        </w:tc>
        <w:tc>
          <w:tcPr>
            <w:tcW w:w="720" w:type="dxa"/>
            <w:tcBorders>
              <w:top w:val="single" w:sz="4" w:space="0" w:color="ADD6EA"/>
              <w:left w:val="nil"/>
              <w:bottom w:val="nil"/>
              <w:right w:val="nil"/>
            </w:tcBorders>
            <w:shd w:val="clear" w:color="000000" w:fill="D6E7F0"/>
            <w:vAlign w:val="bottom"/>
            <w:hideMark/>
          </w:tcPr>
          <w:p w14:paraId="06FCBB05" w14:textId="1482816D" w:rsidR="004322B5" w:rsidRPr="008246C1" w:rsidRDefault="004322B5" w:rsidP="004322B5">
            <w:pPr>
              <w:keepNext/>
              <w:keepLines/>
              <w:tabs>
                <w:tab w:val="clear" w:pos="567"/>
              </w:tabs>
              <w:spacing w:before="0" w:line="240" w:lineRule="auto"/>
              <w:jc w:val="right"/>
              <w:rPr>
                <w:rFonts w:ascii="Open Sans Semibold" w:eastAsia="Times New Roman" w:hAnsi="Open Sans Semibold" w:cs="Open Sans Semibold"/>
                <w:color w:val="000000"/>
                <w:sz w:val="16"/>
                <w:szCs w:val="16"/>
                <w:highlight w:val="yellow"/>
                <w:lang w:eastAsia="en-AU"/>
              </w:rPr>
            </w:pPr>
            <w:r>
              <w:rPr>
                <w:rFonts w:ascii="Open Sans Semibold" w:hAnsi="Open Sans Semibold" w:cs="Open Sans Semibold"/>
                <w:color w:val="000000"/>
                <w:sz w:val="16"/>
                <w:szCs w:val="16"/>
              </w:rPr>
              <w:t>94</w:t>
            </w:r>
          </w:p>
        </w:tc>
      </w:tr>
      <w:tr w:rsidR="0092793D" w:rsidRPr="00C37C1D" w14:paraId="0BD6C229" w14:textId="77777777" w:rsidTr="00B06022">
        <w:trPr>
          <w:trHeight w:val="249"/>
        </w:trPr>
        <w:tc>
          <w:tcPr>
            <w:tcW w:w="3402" w:type="dxa"/>
            <w:tcBorders>
              <w:top w:val="single" w:sz="8" w:space="0" w:color="ADD6EA"/>
              <w:left w:val="nil"/>
              <w:bottom w:val="nil"/>
              <w:right w:val="nil"/>
            </w:tcBorders>
            <w:shd w:val="clear" w:color="000000" w:fill="B6D5E4"/>
            <w:vAlign w:val="bottom"/>
            <w:hideMark/>
          </w:tcPr>
          <w:p w14:paraId="03CA3D19" w14:textId="77777777" w:rsidR="0092793D" w:rsidRPr="00C37C1D" w:rsidRDefault="0092793D" w:rsidP="00B06022">
            <w:pPr>
              <w:keepNext/>
              <w:keepLines/>
              <w:tabs>
                <w:tab w:val="clear" w:pos="567"/>
              </w:tabs>
              <w:spacing w:before="0" w:line="240" w:lineRule="auto"/>
              <w:rPr>
                <w:rFonts w:ascii="Open Sans Semibold" w:eastAsia="Times New Roman" w:hAnsi="Open Sans Semibold" w:cs="Open Sans Semibold"/>
                <w:color w:val="000000"/>
                <w:sz w:val="16"/>
                <w:szCs w:val="16"/>
                <w:lang w:eastAsia="en-AU"/>
              </w:rPr>
            </w:pPr>
            <w:r w:rsidRPr="00C37C1D">
              <w:rPr>
                <w:rFonts w:ascii="Open Sans Semibold" w:eastAsia="Times New Roman" w:hAnsi="Open Sans Semibold" w:cs="Open Sans Semibold"/>
                <w:color w:val="000000"/>
                <w:sz w:val="16"/>
                <w:szCs w:val="16"/>
                <w:lang w:eastAsia="en-AU"/>
              </w:rPr>
              <w:t> </w:t>
            </w:r>
          </w:p>
        </w:tc>
        <w:tc>
          <w:tcPr>
            <w:tcW w:w="615" w:type="dxa"/>
            <w:tcBorders>
              <w:top w:val="single" w:sz="8" w:space="0" w:color="ADD6EA"/>
              <w:left w:val="nil"/>
              <w:bottom w:val="nil"/>
              <w:right w:val="nil"/>
            </w:tcBorders>
            <w:shd w:val="clear" w:color="000000" w:fill="B6D5E4"/>
            <w:vAlign w:val="bottom"/>
            <w:hideMark/>
          </w:tcPr>
          <w:p w14:paraId="009691D2" w14:textId="6CC0137E" w:rsidR="0092793D" w:rsidRPr="008246C1" w:rsidRDefault="0092793D" w:rsidP="00B06022">
            <w:pPr>
              <w:keepNext/>
              <w:keepLines/>
              <w:tabs>
                <w:tab w:val="clear" w:pos="567"/>
              </w:tabs>
              <w:spacing w:before="0" w:line="240" w:lineRule="auto"/>
              <w:jc w:val="right"/>
              <w:rPr>
                <w:rFonts w:ascii="Open Sans Semibold" w:eastAsia="Times New Roman" w:hAnsi="Open Sans Semibold" w:cs="Open Sans Semibold"/>
                <w:color w:val="000000"/>
                <w:sz w:val="16"/>
                <w:szCs w:val="16"/>
                <w:highlight w:val="yellow"/>
                <w:lang w:eastAsia="en-AU"/>
              </w:rPr>
            </w:pPr>
            <w:r>
              <w:rPr>
                <w:rFonts w:ascii="Open Sans Semibold" w:hAnsi="Open Sans Semibold" w:cs="Open Sans Semibold"/>
                <w:color w:val="000000"/>
                <w:sz w:val="16"/>
                <w:szCs w:val="16"/>
              </w:rPr>
              <w:t>$pc</w:t>
            </w:r>
          </w:p>
        </w:tc>
        <w:tc>
          <w:tcPr>
            <w:tcW w:w="616" w:type="dxa"/>
            <w:tcBorders>
              <w:top w:val="single" w:sz="8" w:space="0" w:color="ADD6EA"/>
              <w:left w:val="nil"/>
              <w:bottom w:val="nil"/>
              <w:right w:val="nil"/>
            </w:tcBorders>
            <w:shd w:val="clear" w:color="000000" w:fill="B6D5E4"/>
            <w:vAlign w:val="bottom"/>
            <w:hideMark/>
          </w:tcPr>
          <w:p w14:paraId="2B64DF6F" w14:textId="0E92D58A" w:rsidR="0092793D" w:rsidRPr="008246C1" w:rsidRDefault="0092793D" w:rsidP="00B06022">
            <w:pPr>
              <w:keepNext/>
              <w:keepLines/>
              <w:tabs>
                <w:tab w:val="clear" w:pos="567"/>
              </w:tabs>
              <w:spacing w:before="0" w:line="240" w:lineRule="auto"/>
              <w:jc w:val="right"/>
              <w:rPr>
                <w:rFonts w:ascii="Open Sans Semibold" w:eastAsia="Times New Roman" w:hAnsi="Open Sans Semibold" w:cs="Open Sans Semibold"/>
                <w:color w:val="000000"/>
                <w:sz w:val="16"/>
                <w:szCs w:val="16"/>
                <w:highlight w:val="yellow"/>
                <w:lang w:eastAsia="en-AU"/>
              </w:rPr>
            </w:pPr>
            <w:r>
              <w:rPr>
                <w:rFonts w:ascii="Open Sans Semibold" w:hAnsi="Open Sans Semibold" w:cs="Open Sans Semibold"/>
                <w:color w:val="000000"/>
                <w:sz w:val="16"/>
                <w:szCs w:val="16"/>
              </w:rPr>
              <w:t>$pc</w:t>
            </w:r>
          </w:p>
        </w:tc>
        <w:tc>
          <w:tcPr>
            <w:tcW w:w="615" w:type="dxa"/>
            <w:tcBorders>
              <w:top w:val="single" w:sz="8" w:space="0" w:color="ADD6EA"/>
              <w:left w:val="nil"/>
              <w:bottom w:val="nil"/>
              <w:right w:val="nil"/>
            </w:tcBorders>
            <w:shd w:val="clear" w:color="000000" w:fill="B6D5E4"/>
            <w:vAlign w:val="bottom"/>
            <w:hideMark/>
          </w:tcPr>
          <w:p w14:paraId="57DC7D5D" w14:textId="2F3A4094" w:rsidR="0092793D" w:rsidRPr="008246C1" w:rsidRDefault="0092793D" w:rsidP="00B06022">
            <w:pPr>
              <w:keepNext/>
              <w:keepLines/>
              <w:tabs>
                <w:tab w:val="clear" w:pos="567"/>
              </w:tabs>
              <w:spacing w:before="0" w:line="240" w:lineRule="auto"/>
              <w:jc w:val="right"/>
              <w:rPr>
                <w:rFonts w:ascii="Open Sans Semibold" w:eastAsia="Times New Roman" w:hAnsi="Open Sans Semibold" w:cs="Open Sans Semibold"/>
                <w:color w:val="000000"/>
                <w:sz w:val="16"/>
                <w:szCs w:val="16"/>
                <w:highlight w:val="yellow"/>
                <w:lang w:eastAsia="en-AU"/>
              </w:rPr>
            </w:pPr>
            <w:r>
              <w:rPr>
                <w:rFonts w:ascii="Open Sans Semibold" w:hAnsi="Open Sans Semibold" w:cs="Open Sans Semibold"/>
                <w:color w:val="000000"/>
                <w:sz w:val="16"/>
                <w:szCs w:val="16"/>
              </w:rPr>
              <w:t>$pc</w:t>
            </w:r>
          </w:p>
        </w:tc>
        <w:tc>
          <w:tcPr>
            <w:tcW w:w="616" w:type="dxa"/>
            <w:tcBorders>
              <w:top w:val="single" w:sz="8" w:space="0" w:color="ADD6EA"/>
              <w:left w:val="nil"/>
              <w:bottom w:val="nil"/>
              <w:right w:val="nil"/>
            </w:tcBorders>
            <w:shd w:val="clear" w:color="000000" w:fill="B6D5E4"/>
            <w:vAlign w:val="bottom"/>
            <w:hideMark/>
          </w:tcPr>
          <w:p w14:paraId="40C24E89" w14:textId="7B5D6B18" w:rsidR="0092793D" w:rsidRPr="008246C1" w:rsidRDefault="0092793D" w:rsidP="00B06022">
            <w:pPr>
              <w:keepNext/>
              <w:keepLines/>
              <w:tabs>
                <w:tab w:val="clear" w:pos="567"/>
              </w:tabs>
              <w:spacing w:before="0" w:line="240" w:lineRule="auto"/>
              <w:jc w:val="right"/>
              <w:rPr>
                <w:rFonts w:ascii="Open Sans Semibold" w:eastAsia="Times New Roman" w:hAnsi="Open Sans Semibold" w:cs="Open Sans Semibold"/>
                <w:color w:val="000000"/>
                <w:sz w:val="16"/>
                <w:szCs w:val="16"/>
                <w:highlight w:val="yellow"/>
                <w:lang w:eastAsia="en-AU"/>
              </w:rPr>
            </w:pPr>
            <w:r>
              <w:rPr>
                <w:rFonts w:ascii="Open Sans Semibold" w:hAnsi="Open Sans Semibold" w:cs="Open Sans Semibold"/>
                <w:color w:val="000000"/>
                <w:sz w:val="16"/>
                <w:szCs w:val="16"/>
              </w:rPr>
              <w:t>$pc</w:t>
            </w:r>
          </w:p>
        </w:tc>
        <w:tc>
          <w:tcPr>
            <w:tcW w:w="615" w:type="dxa"/>
            <w:tcBorders>
              <w:top w:val="single" w:sz="8" w:space="0" w:color="ADD6EA"/>
              <w:left w:val="nil"/>
              <w:bottom w:val="nil"/>
              <w:right w:val="nil"/>
            </w:tcBorders>
            <w:shd w:val="clear" w:color="000000" w:fill="B6D5E4"/>
            <w:vAlign w:val="bottom"/>
            <w:hideMark/>
          </w:tcPr>
          <w:p w14:paraId="794BB595" w14:textId="11BA7811" w:rsidR="0092793D" w:rsidRPr="008246C1" w:rsidRDefault="0092793D" w:rsidP="00B06022">
            <w:pPr>
              <w:keepNext/>
              <w:keepLines/>
              <w:tabs>
                <w:tab w:val="clear" w:pos="567"/>
              </w:tabs>
              <w:spacing w:before="0" w:line="240" w:lineRule="auto"/>
              <w:jc w:val="right"/>
              <w:rPr>
                <w:rFonts w:ascii="Open Sans Semibold" w:eastAsia="Times New Roman" w:hAnsi="Open Sans Semibold" w:cs="Open Sans Semibold"/>
                <w:color w:val="000000"/>
                <w:sz w:val="16"/>
                <w:szCs w:val="16"/>
                <w:highlight w:val="yellow"/>
                <w:lang w:eastAsia="en-AU"/>
              </w:rPr>
            </w:pPr>
            <w:r>
              <w:rPr>
                <w:rFonts w:ascii="Open Sans Semibold" w:hAnsi="Open Sans Semibold" w:cs="Open Sans Semibold"/>
                <w:color w:val="000000"/>
                <w:sz w:val="16"/>
                <w:szCs w:val="16"/>
              </w:rPr>
              <w:t>$pc</w:t>
            </w:r>
          </w:p>
        </w:tc>
        <w:tc>
          <w:tcPr>
            <w:tcW w:w="616" w:type="dxa"/>
            <w:tcBorders>
              <w:top w:val="single" w:sz="8" w:space="0" w:color="ADD6EA"/>
              <w:left w:val="nil"/>
              <w:bottom w:val="nil"/>
              <w:right w:val="nil"/>
            </w:tcBorders>
            <w:shd w:val="clear" w:color="000000" w:fill="B6D5E4"/>
            <w:vAlign w:val="bottom"/>
            <w:hideMark/>
          </w:tcPr>
          <w:p w14:paraId="688210D5" w14:textId="50FB93FC" w:rsidR="0092793D" w:rsidRPr="008246C1" w:rsidRDefault="0092793D" w:rsidP="00B06022">
            <w:pPr>
              <w:keepNext/>
              <w:keepLines/>
              <w:tabs>
                <w:tab w:val="clear" w:pos="567"/>
              </w:tabs>
              <w:spacing w:before="0" w:line="240" w:lineRule="auto"/>
              <w:jc w:val="right"/>
              <w:rPr>
                <w:rFonts w:ascii="Open Sans Semibold" w:eastAsia="Times New Roman" w:hAnsi="Open Sans Semibold" w:cs="Open Sans Semibold"/>
                <w:color w:val="000000"/>
                <w:sz w:val="16"/>
                <w:szCs w:val="16"/>
                <w:highlight w:val="yellow"/>
                <w:lang w:eastAsia="en-AU"/>
              </w:rPr>
            </w:pPr>
            <w:r>
              <w:rPr>
                <w:rFonts w:ascii="Open Sans Semibold" w:hAnsi="Open Sans Semibold" w:cs="Open Sans Semibold"/>
                <w:color w:val="000000"/>
                <w:sz w:val="16"/>
                <w:szCs w:val="16"/>
              </w:rPr>
              <w:t>$pc</w:t>
            </w:r>
          </w:p>
        </w:tc>
        <w:tc>
          <w:tcPr>
            <w:tcW w:w="615" w:type="dxa"/>
            <w:tcBorders>
              <w:top w:val="single" w:sz="8" w:space="0" w:color="ADD6EA"/>
              <w:left w:val="nil"/>
              <w:bottom w:val="nil"/>
              <w:right w:val="nil"/>
            </w:tcBorders>
            <w:shd w:val="clear" w:color="000000" w:fill="B6D5E4"/>
            <w:vAlign w:val="bottom"/>
            <w:hideMark/>
          </w:tcPr>
          <w:p w14:paraId="60CCB762" w14:textId="00DF58DA" w:rsidR="0092793D" w:rsidRPr="008246C1" w:rsidRDefault="0092793D" w:rsidP="00B06022">
            <w:pPr>
              <w:keepNext/>
              <w:keepLines/>
              <w:tabs>
                <w:tab w:val="clear" w:pos="567"/>
              </w:tabs>
              <w:spacing w:before="0" w:line="240" w:lineRule="auto"/>
              <w:jc w:val="right"/>
              <w:rPr>
                <w:rFonts w:ascii="Open Sans Semibold" w:eastAsia="Times New Roman" w:hAnsi="Open Sans Semibold" w:cs="Open Sans Semibold"/>
                <w:color w:val="000000"/>
                <w:sz w:val="16"/>
                <w:szCs w:val="16"/>
                <w:highlight w:val="yellow"/>
                <w:lang w:eastAsia="en-AU"/>
              </w:rPr>
            </w:pPr>
            <w:r>
              <w:rPr>
                <w:rFonts w:ascii="Open Sans Semibold" w:hAnsi="Open Sans Semibold" w:cs="Open Sans Semibold"/>
                <w:color w:val="000000"/>
                <w:sz w:val="16"/>
                <w:szCs w:val="16"/>
              </w:rPr>
              <w:t>$pc</w:t>
            </w:r>
          </w:p>
        </w:tc>
        <w:tc>
          <w:tcPr>
            <w:tcW w:w="512" w:type="dxa"/>
            <w:tcBorders>
              <w:top w:val="single" w:sz="8" w:space="0" w:color="ADD6EA"/>
              <w:left w:val="nil"/>
              <w:bottom w:val="nil"/>
              <w:right w:val="nil"/>
            </w:tcBorders>
            <w:shd w:val="clear" w:color="000000" w:fill="B6D5E4"/>
            <w:vAlign w:val="bottom"/>
            <w:hideMark/>
          </w:tcPr>
          <w:p w14:paraId="28A41C0B" w14:textId="7270F014" w:rsidR="0092793D" w:rsidRPr="008246C1" w:rsidRDefault="0092793D" w:rsidP="00B06022">
            <w:pPr>
              <w:keepNext/>
              <w:keepLines/>
              <w:tabs>
                <w:tab w:val="clear" w:pos="567"/>
              </w:tabs>
              <w:spacing w:before="0" w:line="240" w:lineRule="auto"/>
              <w:jc w:val="right"/>
              <w:rPr>
                <w:rFonts w:ascii="Open Sans Semibold" w:eastAsia="Times New Roman" w:hAnsi="Open Sans Semibold" w:cs="Open Sans Semibold"/>
                <w:color w:val="000000"/>
                <w:sz w:val="16"/>
                <w:szCs w:val="16"/>
                <w:highlight w:val="yellow"/>
                <w:lang w:eastAsia="en-AU"/>
              </w:rPr>
            </w:pPr>
            <w:r>
              <w:rPr>
                <w:rFonts w:ascii="Open Sans Semibold" w:hAnsi="Open Sans Semibold" w:cs="Open Sans Semibold"/>
                <w:color w:val="000000"/>
                <w:sz w:val="16"/>
                <w:szCs w:val="16"/>
              </w:rPr>
              <w:t>$pc</w:t>
            </w:r>
          </w:p>
        </w:tc>
        <w:tc>
          <w:tcPr>
            <w:tcW w:w="720" w:type="dxa"/>
            <w:tcBorders>
              <w:top w:val="single" w:sz="8" w:space="0" w:color="ADD6EA"/>
              <w:left w:val="nil"/>
              <w:bottom w:val="nil"/>
              <w:right w:val="nil"/>
            </w:tcBorders>
            <w:shd w:val="clear" w:color="000000" w:fill="B6D5E4"/>
            <w:vAlign w:val="bottom"/>
            <w:hideMark/>
          </w:tcPr>
          <w:p w14:paraId="3AD4ABFC" w14:textId="174542AE" w:rsidR="0092793D" w:rsidRPr="008246C1" w:rsidRDefault="0092793D" w:rsidP="00B06022">
            <w:pPr>
              <w:keepNext/>
              <w:keepLines/>
              <w:tabs>
                <w:tab w:val="clear" w:pos="567"/>
              </w:tabs>
              <w:spacing w:before="0" w:line="240" w:lineRule="auto"/>
              <w:jc w:val="right"/>
              <w:rPr>
                <w:rFonts w:ascii="Open Sans Semibold" w:eastAsia="Times New Roman" w:hAnsi="Open Sans Semibold" w:cs="Open Sans Semibold"/>
                <w:color w:val="000000"/>
                <w:sz w:val="16"/>
                <w:szCs w:val="16"/>
                <w:highlight w:val="yellow"/>
                <w:lang w:eastAsia="en-AU"/>
              </w:rPr>
            </w:pPr>
            <w:r>
              <w:rPr>
                <w:rFonts w:ascii="Open Sans Semibold" w:hAnsi="Open Sans Semibold" w:cs="Open Sans Semibold"/>
                <w:color w:val="000000"/>
                <w:sz w:val="16"/>
                <w:szCs w:val="16"/>
              </w:rPr>
              <w:t>$pc</w:t>
            </w:r>
          </w:p>
        </w:tc>
      </w:tr>
      <w:tr w:rsidR="002D74E2" w:rsidRPr="00C37C1D" w14:paraId="24759AD4" w14:textId="77777777" w:rsidTr="00B06022">
        <w:trPr>
          <w:trHeight w:val="300"/>
        </w:trPr>
        <w:tc>
          <w:tcPr>
            <w:tcW w:w="3402" w:type="dxa"/>
            <w:tcBorders>
              <w:top w:val="single" w:sz="4" w:space="0" w:color="ADD6EA"/>
              <w:left w:val="nil"/>
              <w:bottom w:val="nil"/>
              <w:right w:val="nil"/>
            </w:tcBorders>
            <w:shd w:val="clear" w:color="000000" w:fill="FFFFFF"/>
            <w:vAlign w:val="bottom"/>
            <w:hideMark/>
          </w:tcPr>
          <w:p w14:paraId="48E349AE" w14:textId="77777777" w:rsidR="002D74E2" w:rsidRPr="00C37C1D" w:rsidRDefault="002D74E2" w:rsidP="002D74E2">
            <w:pPr>
              <w:keepNext/>
              <w:keepLines/>
              <w:tabs>
                <w:tab w:val="clear" w:pos="567"/>
              </w:tabs>
              <w:spacing w:before="0" w:line="240" w:lineRule="auto"/>
              <w:rPr>
                <w:rFonts w:ascii="Open Sans Semibold" w:eastAsia="Times New Roman" w:hAnsi="Open Sans Semibold" w:cs="Open Sans Semibold"/>
                <w:b/>
                <w:bCs/>
                <w:color w:val="000000"/>
                <w:sz w:val="16"/>
                <w:szCs w:val="16"/>
                <w:lang w:eastAsia="en-AU"/>
              </w:rPr>
            </w:pPr>
            <w:r w:rsidRPr="009A5975">
              <w:rPr>
                <w:rFonts w:ascii="Open Sans Semibold" w:eastAsia="Times New Roman" w:hAnsi="Open Sans Semibold" w:cs="Open Sans Semibold"/>
                <w:color w:val="000000"/>
                <w:sz w:val="16"/>
                <w:szCs w:val="16"/>
                <w:lang w:eastAsia="en-AU"/>
              </w:rPr>
              <w:t>Police</w:t>
            </w:r>
          </w:p>
        </w:tc>
        <w:tc>
          <w:tcPr>
            <w:tcW w:w="615" w:type="dxa"/>
            <w:tcBorders>
              <w:top w:val="single" w:sz="4" w:space="0" w:color="ADD6EA"/>
              <w:left w:val="nil"/>
              <w:bottom w:val="nil"/>
              <w:right w:val="nil"/>
            </w:tcBorders>
            <w:shd w:val="clear" w:color="000000" w:fill="FFFFFF"/>
            <w:vAlign w:val="bottom"/>
            <w:hideMark/>
          </w:tcPr>
          <w:p w14:paraId="528E672F" w14:textId="6241FBFA" w:rsidR="002D74E2" w:rsidRPr="008246C1" w:rsidRDefault="002D74E2" w:rsidP="002D74E2">
            <w:pPr>
              <w:keepNext/>
              <w:keepLines/>
              <w:tabs>
                <w:tab w:val="clear" w:pos="567"/>
              </w:tabs>
              <w:spacing w:before="0" w:line="240" w:lineRule="auto"/>
              <w:jc w:val="right"/>
              <w:rPr>
                <w:rFonts w:ascii="Open Sans Semibold" w:eastAsia="Times New Roman" w:hAnsi="Open Sans Semibold" w:cs="Open Sans Semibold"/>
                <w:color w:val="000000"/>
                <w:sz w:val="16"/>
                <w:szCs w:val="16"/>
                <w:highlight w:val="yellow"/>
                <w:lang w:eastAsia="en-AU"/>
              </w:rPr>
            </w:pPr>
            <w:r>
              <w:rPr>
                <w:rFonts w:ascii="Open Sans Semibold" w:hAnsi="Open Sans Semibold" w:cs="Open Sans Semibold"/>
                <w:color w:val="000000"/>
                <w:sz w:val="16"/>
                <w:szCs w:val="16"/>
              </w:rPr>
              <w:t>2</w:t>
            </w:r>
          </w:p>
        </w:tc>
        <w:tc>
          <w:tcPr>
            <w:tcW w:w="616" w:type="dxa"/>
            <w:tcBorders>
              <w:top w:val="single" w:sz="4" w:space="0" w:color="ADD6EA"/>
              <w:left w:val="nil"/>
              <w:bottom w:val="nil"/>
              <w:right w:val="nil"/>
            </w:tcBorders>
            <w:shd w:val="clear" w:color="000000" w:fill="FFFFFF"/>
            <w:vAlign w:val="bottom"/>
            <w:hideMark/>
          </w:tcPr>
          <w:p w14:paraId="3C196126" w14:textId="17C02D2B" w:rsidR="002D74E2" w:rsidRPr="008246C1" w:rsidRDefault="002D74E2" w:rsidP="002D74E2">
            <w:pPr>
              <w:keepNext/>
              <w:keepLines/>
              <w:tabs>
                <w:tab w:val="clear" w:pos="567"/>
              </w:tabs>
              <w:spacing w:before="0" w:line="240" w:lineRule="auto"/>
              <w:jc w:val="right"/>
              <w:rPr>
                <w:rFonts w:ascii="Open Sans Semibold" w:eastAsia="Times New Roman" w:hAnsi="Open Sans Semibold" w:cs="Open Sans Semibold"/>
                <w:color w:val="000000"/>
                <w:sz w:val="16"/>
                <w:szCs w:val="16"/>
                <w:highlight w:val="yellow"/>
                <w:lang w:eastAsia="en-AU"/>
              </w:rPr>
            </w:pPr>
            <w:r>
              <w:rPr>
                <w:rFonts w:ascii="Open Sans Semibold" w:hAnsi="Open Sans Semibold" w:cs="Open Sans Semibold"/>
                <w:color w:val="000000"/>
                <w:sz w:val="16"/>
                <w:szCs w:val="16"/>
              </w:rPr>
              <w:t>1</w:t>
            </w:r>
          </w:p>
        </w:tc>
        <w:tc>
          <w:tcPr>
            <w:tcW w:w="615" w:type="dxa"/>
            <w:tcBorders>
              <w:top w:val="single" w:sz="4" w:space="0" w:color="ADD6EA"/>
              <w:left w:val="nil"/>
              <w:bottom w:val="nil"/>
              <w:right w:val="nil"/>
            </w:tcBorders>
            <w:shd w:val="clear" w:color="000000" w:fill="FFFFFF"/>
            <w:vAlign w:val="bottom"/>
            <w:hideMark/>
          </w:tcPr>
          <w:p w14:paraId="34B0B7F0" w14:textId="6653EC13" w:rsidR="002D74E2" w:rsidRPr="008246C1" w:rsidRDefault="002D74E2" w:rsidP="002D74E2">
            <w:pPr>
              <w:keepNext/>
              <w:keepLines/>
              <w:tabs>
                <w:tab w:val="clear" w:pos="567"/>
              </w:tabs>
              <w:spacing w:before="0" w:line="240" w:lineRule="auto"/>
              <w:jc w:val="right"/>
              <w:rPr>
                <w:rFonts w:ascii="Open Sans Semibold" w:eastAsia="Times New Roman" w:hAnsi="Open Sans Semibold" w:cs="Open Sans Semibold"/>
                <w:color w:val="000000"/>
                <w:sz w:val="16"/>
                <w:szCs w:val="16"/>
                <w:highlight w:val="yellow"/>
                <w:lang w:eastAsia="en-AU"/>
              </w:rPr>
            </w:pPr>
            <w:r>
              <w:rPr>
                <w:rFonts w:ascii="Open Sans Semibold" w:hAnsi="Open Sans Semibold" w:cs="Open Sans Semibold"/>
                <w:color w:val="000000"/>
                <w:sz w:val="16"/>
                <w:szCs w:val="16"/>
              </w:rPr>
              <w:t>-3</w:t>
            </w:r>
          </w:p>
        </w:tc>
        <w:tc>
          <w:tcPr>
            <w:tcW w:w="616" w:type="dxa"/>
            <w:tcBorders>
              <w:top w:val="single" w:sz="4" w:space="0" w:color="ADD6EA"/>
              <w:left w:val="nil"/>
              <w:bottom w:val="nil"/>
              <w:right w:val="nil"/>
            </w:tcBorders>
            <w:shd w:val="clear" w:color="000000" w:fill="FFFFFF"/>
            <w:vAlign w:val="bottom"/>
            <w:hideMark/>
          </w:tcPr>
          <w:p w14:paraId="7A8D3073" w14:textId="28829D01" w:rsidR="002D74E2" w:rsidRPr="008246C1" w:rsidRDefault="002D74E2" w:rsidP="002D74E2">
            <w:pPr>
              <w:keepNext/>
              <w:keepLines/>
              <w:tabs>
                <w:tab w:val="clear" w:pos="567"/>
              </w:tabs>
              <w:spacing w:before="0" w:line="240" w:lineRule="auto"/>
              <w:jc w:val="right"/>
              <w:rPr>
                <w:rFonts w:ascii="Open Sans Semibold" w:eastAsia="Times New Roman" w:hAnsi="Open Sans Semibold" w:cs="Open Sans Semibold"/>
                <w:color w:val="000000"/>
                <w:sz w:val="16"/>
                <w:szCs w:val="16"/>
                <w:highlight w:val="yellow"/>
                <w:lang w:eastAsia="en-AU"/>
              </w:rPr>
            </w:pPr>
            <w:r>
              <w:rPr>
                <w:rFonts w:ascii="Open Sans Semibold" w:hAnsi="Open Sans Semibold" w:cs="Open Sans Semibold"/>
                <w:color w:val="000000"/>
                <w:sz w:val="16"/>
                <w:szCs w:val="16"/>
              </w:rPr>
              <w:t>-1</w:t>
            </w:r>
          </w:p>
        </w:tc>
        <w:tc>
          <w:tcPr>
            <w:tcW w:w="615" w:type="dxa"/>
            <w:tcBorders>
              <w:top w:val="single" w:sz="4" w:space="0" w:color="ADD6EA"/>
              <w:left w:val="nil"/>
              <w:bottom w:val="nil"/>
              <w:right w:val="nil"/>
            </w:tcBorders>
            <w:shd w:val="clear" w:color="000000" w:fill="FFFFFF"/>
            <w:vAlign w:val="bottom"/>
            <w:hideMark/>
          </w:tcPr>
          <w:p w14:paraId="1588A9CF" w14:textId="38784D47" w:rsidR="002D74E2" w:rsidRPr="008246C1" w:rsidRDefault="002D74E2" w:rsidP="002D74E2">
            <w:pPr>
              <w:keepNext/>
              <w:keepLines/>
              <w:tabs>
                <w:tab w:val="clear" w:pos="567"/>
              </w:tabs>
              <w:spacing w:before="0" w:line="240" w:lineRule="auto"/>
              <w:jc w:val="right"/>
              <w:rPr>
                <w:rFonts w:ascii="Open Sans Semibold" w:eastAsia="Times New Roman" w:hAnsi="Open Sans Semibold" w:cs="Open Sans Semibold"/>
                <w:color w:val="000000"/>
                <w:sz w:val="16"/>
                <w:szCs w:val="16"/>
                <w:highlight w:val="yellow"/>
                <w:lang w:eastAsia="en-AU"/>
              </w:rPr>
            </w:pPr>
            <w:r>
              <w:rPr>
                <w:rFonts w:ascii="Open Sans Semibold" w:hAnsi="Open Sans Semibold" w:cs="Open Sans Semibold"/>
                <w:color w:val="000000"/>
                <w:sz w:val="16"/>
                <w:szCs w:val="16"/>
              </w:rPr>
              <w:t>0</w:t>
            </w:r>
          </w:p>
        </w:tc>
        <w:tc>
          <w:tcPr>
            <w:tcW w:w="616" w:type="dxa"/>
            <w:tcBorders>
              <w:top w:val="single" w:sz="4" w:space="0" w:color="ADD6EA"/>
              <w:left w:val="nil"/>
              <w:bottom w:val="nil"/>
              <w:right w:val="nil"/>
            </w:tcBorders>
            <w:shd w:val="clear" w:color="000000" w:fill="FFFFFF"/>
            <w:vAlign w:val="bottom"/>
            <w:hideMark/>
          </w:tcPr>
          <w:p w14:paraId="36E731C2" w14:textId="057E2516" w:rsidR="002D74E2" w:rsidRPr="008246C1" w:rsidRDefault="002D74E2" w:rsidP="002D74E2">
            <w:pPr>
              <w:keepNext/>
              <w:keepLines/>
              <w:tabs>
                <w:tab w:val="clear" w:pos="567"/>
              </w:tabs>
              <w:spacing w:before="0" w:line="240" w:lineRule="auto"/>
              <w:jc w:val="right"/>
              <w:rPr>
                <w:rFonts w:ascii="Open Sans Semibold" w:eastAsia="Times New Roman" w:hAnsi="Open Sans Semibold" w:cs="Open Sans Semibold"/>
                <w:color w:val="000000"/>
                <w:sz w:val="16"/>
                <w:szCs w:val="16"/>
                <w:highlight w:val="yellow"/>
                <w:lang w:eastAsia="en-AU"/>
              </w:rPr>
            </w:pPr>
            <w:r>
              <w:rPr>
                <w:rFonts w:ascii="Open Sans Semibold" w:hAnsi="Open Sans Semibold" w:cs="Open Sans Semibold"/>
                <w:color w:val="000000"/>
                <w:sz w:val="16"/>
                <w:szCs w:val="16"/>
              </w:rPr>
              <w:t>1</w:t>
            </w:r>
          </w:p>
        </w:tc>
        <w:tc>
          <w:tcPr>
            <w:tcW w:w="615" w:type="dxa"/>
            <w:tcBorders>
              <w:top w:val="single" w:sz="4" w:space="0" w:color="ADD6EA"/>
              <w:left w:val="nil"/>
              <w:bottom w:val="nil"/>
              <w:right w:val="nil"/>
            </w:tcBorders>
            <w:shd w:val="clear" w:color="000000" w:fill="FFFFFF"/>
            <w:vAlign w:val="bottom"/>
            <w:hideMark/>
          </w:tcPr>
          <w:p w14:paraId="5E6CA4DC" w14:textId="5A361382" w:rsidR="002D74E2" w:rsidRPr="008246C1" w:rsidRDefault="002D74E2" w:rsidP="002D74E2">
            <w:pPr>
              <w:keepNext/>
              <w:keepLines/>
              <w:tabs>
                <w:tab w:val="clear" w:pos="567"/>
              </w:tabs>
              <w:spacing w:before="0" w:line="240" w:lineRule="auto"/>
              <w:jc w:val="right"/>
              <w:rPr>
                <w:rFonts w:ascii="Open Sans Semibold" w:eastAsia="Times New Roman" w:hAnsi="Open Sans Semibold" w:cs="Open Sans Semibold"/>
                <w:color w:val="000000"/>
                <w:sz w:val="16"/>
                <w:szCs w:val="16"/>
                <w:highlight w:val="yellow"/>
                <w:lang w:eastAsia="en-AU"/>
              </w:rPr>
            </w:pPr>
            <w:r>
              <w:rPr>
                <w:rFonts w:ascii="Open Sans Semibold" w:hAnsi="Open Sans Semibold" w:cs="Open Sans Semibold"/>
                <w:color w:val="000000"/>
                <w:sz w:val="16"/>
                <w:szCs w:val="16"/>
              </w:rPr>
              <w:t>-1</w:t>
            </w:r>
          </w:p>
        </w:tc>
        <w:tc>
          <w:tcPr>
            <w:tcW w:w="512" w:type="dxa"/>
            <w:tcBorders>
              <w:top w:val="single" w:sz="4" w:space="0" w:color="ADD6EA"/>
              <w:left w:val="nil"/>
              <w:bottom w:val="nil"/>
              <w:right w:val="nil"/>
            </w:tcBorders>
            <w:shd w:val="clear" w:color="000000" w:fill="FFFFFF"/>
            <w:vAlign w:val="bottom"/>
            <w:hideMark/>
          </w:tcPr>
          <w:p w14:paraId="08FD6D68" w14:textId="32944B12" w:rsidR="002D74E2" w:rsidRPr="008246C1" w:rsidRDefault="002D74E2" w:rsidP="002D74E2">
            <w:pPr>
              <w:keepNext/>
              <w:keepLines/>
              <w:tabs>
                <w:tab w:val="clear" w:pos="567"/>
              </w:tabs>
              <w:spacing w:before="0" w:line="240" w:lineRule="auto"/>
              <w:jc w:val="right"/>
              <w:rPr>
                <w:rFonts w:ascii="Open Sans Semibold" w:eastAsia="Times New Roman" w:hAnsi="Open Sans Semibold" w:cs="Open Sans Semibold"/>
                <w:color w:val="000000"/>
                <w:sz w:val="16"/>
                <w:szCs w:val="16"/>
                <w:highlight w:val="yellow"/>
                <w:lang w:eastAsia="en-AU"/>
              </w:rPr>
            </w:pPr>
            <w:r>
              <w:rPr>
                <w:rFonts w:ascii="Open Sans Semibold" w:hAnsi="Open Sans Semibold" w:cs="Open Sans Semibold"/>
                <w:color w:val="000000"/>
                <w:sz w:val="16"/>
                <w:szCs w:val="16"/>
              </w:rPr>
              <w:t>-6</w:t>
            </w:r>
          </w:p>
        </w:tc>
        <w:tc>
          <w:tcPr>
            <w:tcW w:w="720" w:type="dxa"/>
            <w:tcBorders>
              <w:top w:val="single" w:sz="4" w:space="0" w:color="ADD6EA"/>
              <w:left w:val="nil"/>
              <w:bottom w:val="nil"/>
              <w:right w:val="nil"/>
            </w:tcBorders>
            <w:shd w:val="clear" w:color="000000" w:fill="FFFFFF"/>
            <w:vAlign w:val="bottom"/>
            <w:hideMark/>
          </w:tcPr>
          <w:p w14:paraId="7D5AEE51" w14:textId="62044030" w:rsidR="002D74E2" w:rsidRPr="008246C1" w:rsidRDefault="002D74E2" w:rsidP="002D74E2">
            <w:pPr>
              <w:keepNext/>
              <w:keepLines/>
              <w:tabs>
                <w:tab w:val="clear" w:pos="567"/>
              </w:tabs>
              <w:spacing w:before="0" w:line="240" w:lineRule="auto"/>
              <w:jc w:val="right"/>
              <w:rPr>
                <w:rFonts w:ascii="Open Sans Semibold" w:eastAsia="Times New Roman" w:hAnsi="Open Sans Semibold" w:cs="Open Sans Semibold"/>
                <w:color w:val="000000"/>
                <w:sz w:val="16"/>
                <w:szCs w:val="16"/>
                <w:highlight w:val="yellow"/>
                <w:lang w:eastAsia="en-AU"/>
              </w:rPr>
            </w:pPr>
            <w:r>
              <w:rPr>
                <w:rFonts w:ascii="Open Sans Semibold" w:hAnsi="Open Sans Semibold" w:cs="Open Sans Semibold"/>
                <w:color w:val="000000"/>
                <w:sz w:val="16"/>
                <w:szCs w:val="16"/>
              </w:rPr>
              <w:t>1</w:t>
            </w:r>
          </w:p>
        </w:tc>
      </w:tr>
      <w:tr w:rsidR="002D74E2" w:rsidRPr="00C37C1D" w14:paraId="4B9B6F84" w14:textId="77777777" w:rsidTr="00B06022">
        <w:trPr>
          <w:trHeight w:val="318"/>
        </w:trPr>
        <w:tc>
          <w:tcPr>
            <w:tcW w:w="3402" w:type="dxa"/>
            <w:tcBorders>
              <w:top w:val="single" w:sz="4" w:space="0" w:color="ADD6EA"/>
              <w:left w:val="nil"/>
              <w:bottom w:val="nil"/>
              <w:right w:val="nil"/>
            </w:tcBorders>
            <w:shd w:val="clear" w:color="000000" w:fill="FFFFFF"/>
            <w:vAlign w:val="bottom"/>
            <w:hideMark/>
          </w:tcPr>
          <w:p w14:paraId="4EC1852A" w14:textId="77777777" w:rsidR="002D74E2" w:rsidRPr="00C37C1D" w:rsidRDefault="002D74E2" w:rsidP="002D74E2">
            <w:pPr>
              <w:keepNext/>
              <w:keepLines/>
              <w:tabs>
                <w:tab w:val="clear" w:pos="567"/>
              </w:tabs>
              <w:spacing w:before="0" w:line="240" w:lineRule="auto"/>
              <w:rPr>
                <w:rFonts w:eastAsia="Times New Roman" w:cs="Open Sans Light"/>
                <w:color w:val="000000"/>
                <w:sz w:val="16"/>
                <w:szCs w:val="16"/>
                <w:lang w:eastAsia="en-AU"/>
              </w:rPr>
            </w:pPr>
            <w:r w:rsidRPr="00C37C1D">
              <w:rPr>
                <w:rFonts w:eastAsia="Times New Roman" w:cs="Open Sans Light"/>
                <w:color w:val="000000"/>
                <w:sz w:val="16"/>
                <w:szCs w:val="16"/>
                <w:lang w:eastAsia="en-AU"/>
              </w:rPr>
              <w:t>New allocation of central costs method</w:t>
            </w:r>
          </w:p>
        </w:tc>
        <w:tc>
          <w:tcPr>
            <w:tcW w:w="615" w:type="dxa"/>
            <w:tcBorders>
              <w:top w:val="single" w:sz="4" w:space="0" w:color="ADD6EA"/>
              <w:left w:val="nil"/>
              <w:bottom w:val="nil"/>
              <w:right w:val="nil"/>
            </w:tcBorders>
            <w:shd w:val="clear" w:color="000000" w:fill="FFFFFF"/>
            <w:vAlign w:val="bottom"/>
            <w:hideMark/>
          </w:tcPr>
          <w:p w14:paraId="711E8767" w14:textId="48210038" w:rsidR="002D74E2" w:rsidRPr="008246C1" w:rsidRDefault="002D74E2" w:rsidP="002D74E2">
            <w:pPr>
              <w:keepNext/>
              <w:keepLines/>
              <w:tabs>
                <w:tab w:val="clear" w:pos="567"/>
              </w:tabs>
              <w:spacing w:before="0" w:line="240" w:lineRule="auto"/>
              <w:jc w:val="right"/>
              <w:rPr>
                <w:rFonts w:eastAsia="Times New Roman" w:cs="Open Sans Light"/>
                <w:color w:val="000000"/>
                <w:sz w:val="16"/>
                <w:szCs w:val="16"/>
                <w:highlight w:val="yellow"/>
                <w:lang w:eastAsia="en-AU"/>
              </w:rPr>
            </w:pPr>
            <w:r>
              <w:rPr>
                <w:rFonts w:cs="Open Sans Light"/>
                <w:color w:val="000000"/>
                <w:sz w:val="16"/>
                <w:szCs w:val="16"/>
              </w:rPr>
              <w:t>2</w:t>
            </w:r>
          </w:p>
        </w:tc>
        <w:tc>
          <w:tcPr>
            <w:tcW w:w="616" w:type="dxa"/>
            <w:tcBorders>
              <w:top w:val="single" w:sz="4" w:space="0" w:color="ADD6EA"/>
              <w:left w:val="nil"/>
              <w:bottom w:val="nil"/>
              <w:right w:val="nil"/>
            </w:tcBorders>
            <w:shd w:val="clear" w:color="000000" w:fill="FFFFFF"/>
            <w:vAlign w:val="bottom"/>
            <w:hideMark/>
          </w:tcPr>
          <w:p w14:paraId="3B3D70E1" w14:textId="158CBDE8" w:rsidR="002D74E2" w:rsidRPr="008246C1" w:rsidRDefault="002D74E2" w:rsidP="002D74E2">
            <w:pPr>
              <w:keepNext/>
              <w:keepLines/>
              <w:tabs>
                <w:tab w:val="clear" w:pos="567"/>
              </w:tabs>
              <w:spacing w:before="0" w:line="240" w:lineRule="auto"/>
              <w:jc w:val="right"/>
              <w:rPr>
                <w:rFonts w:eastAsia="Times New Roman" w:cs="Open Sans Light"/>
                <w:color w:val="000000"/>
                <w:sz w:val="16"/>
                <w:szCs w:val="16"/>
                <w:highlight w:val="yellow"/>
                <w:lang w:eastAsia="en-AU"/>
              </w:rPr>
            </w:pPr>
            <w:r>
              <w:rPr>
                <w:rFonts w:cs="Open Sans Light"/>
                <w:color w:val="000000"/>
                <w:sz w:val="16"/>
                <w:szCs w:val="16"/>
              </w:rPr>
              <w:t>2</w:t>
            </w:r>
          </w:p>
        </w:tc>
        <w:tc>
          <w:tcPr>
            <w:tcW w:w="615" w:type="dxa"/>
            <w:tcBorders>
              <w:top w:val="single" w:sz="4" w:space="0" w:color="ADD6EA"/>
              <w:left w:val="nil"/>
              <w:bottom w:val="nil"/>
              <w:right w:val="nil"/>
            </w:tcBorders>
            <w:shd w:val="clear" w:color="000000" w:fill="FFFFFF"/>
            <w:vAlign w:val="bottom"/>
            <w:hideMark/>
          </w:tcPr>
          <w:p w14:paraId="3F204852" w14:textId="60405FEF" w:rsidR="002D74E2" w:rsidRPr="008246C1" w:rsidRDefault="002D74E2" w:rsidP="002D74E2">
            <w:pPr>
              <w:keepNext/>
              <w:keepLines/>
              <w:tabs>
                <w:tab w:val="clear" w:pos="567"/>
              </w:tabs>
              <w:spacing w:before="0" w:line="240" w:lineRule="auto"/>
              <w:jc w:val="right"/>
              <w:rPr>
                <w:rFonts w:eastAsia="Times New Roman" w:cs="Open Sans Light"/>
                <w:color w:val="000000"/>
                <w:sz w:val="16"/>
                <w:szCs w:val="16"/>
                <w:highlight w:val="yellow"/>
                <w:lang w:eastAsia="en-AU"/>
              </w:rPr>
            </w:pPr>
            <w:r>
              <w:rPr>
                <w:rFonts w:cs="Open Sans Light"/>
                <w:color w:val="000000"/>
                <w:sz w:val="16"/>
                <w:szCs w:val="16"/>
              </w:rPr>
              <w:t>-1</w:t>
            </w:r>
          </w:p>
        </w:tc>
        <w:tc>
          <w:tcPr>
            <w:tcW w:w="616" w:type="dxa"/>
            <w:tcBorders>
              <w:top w:val="single" w:sz="4" w:space="0" w:color="ADD6EA"/>
              <w:left w:val="nil"/>
              <w:bottom w:val="nil"/>
              <w:right w:val="nil"/>
            </w:tcBorders>
            <w:shd w:val="clear" w:color="000000" w:fill="FFFFFF"/>
            <w:vAlign w:val="bottom"/>
            <w:hideMark/>
          </w:tcPr>
          <w:p w14:paraId="548350CC" w14:textId="33F9282A" w:rsidR="002D74E2" w:rsidRPr="008246C1" w:rsidRDefault="002D74E2" w:rsidP="002D74E2">
            <w:pPr>
              <w:keepNext/>
              <w:keepLines/>
              <w:tabs>
                <w:tab w:val="clear" w:pos="567"/>
              </w:tabs>
              <w:spacing w:before="0" w:line="240" w:lineRule="auto"/>
              <w:jc w:val="right"/>
              <w:rPr>
                <w:rFonts w:eastAsia="Times New Roman" w:cs="Open Sans Light"/>
                <w:color w:val="000000"/>
                <w:sz w:val="16"/>
                <w:szCs w:val="16"/>
                <w:highlight w:val="yellow"/>
                <w:lang w:eastAsia="en-AU"/>
              </w:rPr>
            </w:pPr>
            <w:r>
              <w:rPr>
                <w:rFonts w:cs="Open Sans Light"/>
                <w:color w:val="000000"/>
                <w:sz w:val="16"/>
                <w:szCs w:val="16"/>
              </w:rPr>
              <w:t>-4</w:t>
            </w:r>
          </w:p>
        </w:tc>
        <w:tc>
          <w:tcPr>
            <w:tcW w:w="615" w:type="dxa"/>
            <w:tcBorders>
              <w:top w:val="single" w:sz="4" w:space="0" w:color="ADD6EA"/>
              <w:left w:val="nil"/>
              <w:bottom w:val="nil"/>
              <w:right w:val="nil"/>
            </w:tcBorders>
            <w:shd w:val="clear" w:color="000000" w:fill="FFFFFF"/>
            <w:vAlign w:val="bottom"/>
            <w:hideMark/>
          </w:tcPr>
          <w:p w14:paraId="4CBF883C" w14:textId="6143EE68" w:rsidR="002D74E2" w:rsidRPr="008246C1" w:rsidRDefault="002D74E2" w:rsidP="002D74E2">
            <w:pPr>
              <w:keepNext/>
              <w:keepLines/>
              <w:tabs>
                <w:tab w:val="clear" w:pos="567"/>
              </w:tabs>
              <w:spacing w:before="0" w:line="240" w:lineRule="auto"/>
              <w:jc w:val="right"/>
              <w:rPr>
                <w:rFonts w:eastAsia="Times New Roman" w:cs="Open Sans Light"/>
                <w:color w:val="000000"/>
                <w:sz w:val="16"/>
                <w:szCs w:val="16"/>
                <w:highlight w:val="yellow"/>
                <w:lang w:eastAsia="en-AU"/>
              </w:rPr>
            </w:pPr>
            <w:r>
              <w:rPr>
                <w:rFonts w:cs="Open Sans Light"/>
                <w:color w:val="000000"/>
                <w:sz w:val="16"/>
                <w:szCs w:val="16"/>
              </w:rPr>
              <w:t>0</w:t>
            </w:r>
          </w:p>
        </w:tc>
        <w:tc>
          <w:tcPr>
            <w:tcW w:w="616" w:type="dxa"/>
            <w:tcBorders>
              <w:top w:val="single" w:sz="4" w:space="0" w:color="ADD6EA"/>
              <w:left w:val="nil"/>
              <w:bottom w:val="nil"/>
              <w:right w:val="nil"/>
            </w:tcBorders>
            <w:shd w:val="clear" w:color="000000" w:fill="FFFFFF"/>
            <w:vAlign w:val="bottom"/>
            <w:hideMark/>
          </w:tcPr>
          <w:p w14:paraId="6ADA55BD" w14:textId="48EF9D88" w:rsidR="002D74E2" w:rsidRPr="008246C1" w:rsidRDefault="002D74E2" w:rsidP="002D74E2">
            <w:pPr>
              <w:keepNext/>
              <w:keepLines/>
              <w:tabs>
                <w:tab w:val="clear" w:pos="567"/>
              </w:tabs>
              <w:spacing w:before="0" w:line="240" w:lineRule="auto"/>
              <w:jc w:val="right"/>
              <w:rPr>
                <w:rFonts w:eastAsia="Times New Roman" w:cs="Open Sans Light"/>
                <w:color w:val="000000"/>
                <w:sz w:val="16"/>
                <w:szCs w:val="16"/>
                <w:highlight w:val="yellow"/>
                <w:lang w:eastAsia="en-AU"/>
              </w:rPr>
            </w:pPr>
            <w:r>
              <w:rPr>
                <w:rFonts w:cs="Open Sans Light"/>
                <w:color w:val="000000"/>
                <w:sz w:val="16"/>
                <w:szCs w:val="16"/>
              </w:rPr>
              <w:t>-3</w:t>
            </w:r>
          </w:p>
        </w:tc>
        <w:tc>
          <w:tcPr>
            <w:tcW w:w="615" w:type="dxa"/>
            <w:tcBorders>
              <w:top w:val="single" w:sz="4" w:space="0" w:color="ADD6EA"/>
              <w:left w:val="nil"/>
              <w:bottom w:val="nil"/>
              <w:right w:val="nil"/>
            </w:tcBorders>
            <w:shd w:val="clear" w:color="000000" w:fill="FFFFFF"/>
            <w:vAlign w:val="bottom"/>
            <w:hideMark/>
          </w:tcPr>
          <w:p w14:paraId="55181BBC" w14:textId="315DC8ED" w:rsidR="002D74E2" w:rsidRPr="008246C1" w:rsidRDefault="002D74E2" w:rsidP="002D74E2">
            <w:pPr>
              <w:keepNext/>
              <w:keepLines/>
              <w:tabs>
                <w:tab w:val="clear" w:pos="567"/>
              </w:tabs>
              <w:spacing w:before="0" w:line="240" w:lineRule="auto"/>
              <w:jc w:val="right"/>
              <w:rPr>
                <w:rFonts w:eastAsia="Times New Roman" w:cs="Open Sans Light"/>
                <w:color w:val="000000"/>
                <w:sz w:val="16"/>
                <w:szCs w:val="16"/>
                <w:highlight w:val="yellow"/>
                <w:lang w:eastAsia="en-AU"/>
              </w:rPr>
            </w:pPr>
            <w:r>
              <w:rPr>
                <w:rFonts w:cs="Open Sans Light"/>
                <w:color w:val="000000"/>
                <w:sz w:val="16"/>
                <w:szCs w:val="16"/>
              </w:rPr>
              <w:t>4</w:t>
            </w:r>
          </w:p>
        </w:tc>
        <w:tc>
          <w:tcPr>
            <w:tcW w:w="512" w:type="dxa"/>
            <w:tcBorders>
              <w:top w:val="single" w:sz="4" w:space="0" w:color="ADD6EA"/>
              <w:left w:val="nil"/>
              <w:bottom w:val="nil"/>
              <w:right w:val="nil"/>
            </w:tcBorders>
            <w:shd w:val="clear" w:color="000000" w:fill="FFFFFF"/>
            <w:vAlign w:val="bottom"/>
            <w:hideMark/>
          </w:tcPr>
          <w:p w14:paraId="18ECE0AD" w14:textId="5C7F4C09" w:rsidR="002D74E2" w:rsidRPr="008246C1" w:rsidRDefault="002D74E2" w:rsidP="002D74E2">
            <w:pPr>
              <w:keepNext/>
              <w:keepLines/>
              <w:tabs>
                <w:tab w:val="clear" w:pos="567"/>
              </w:tabs>
              <w:spacing w:before="0" w:line="240" w:lineRule="auto"/>
              <w:jc w:val="right"/>
              <w:rPr>
                <w:rFonts w:eastAsia="Times New Roman" w:cs="Open Sans Light"/>
                <w:color w:val="000000"/>
                <w:sz w:val="16"/>
                <w:szCs w:val="16"/>
                <w:highlight w:val="yellow"/>
                <w:lang w:eastAsia="en-AU"/>
              </w:rPr>
            </w:pPr>
            <w:r>
              <w:rPr>
                <w:rFonts w:cs="Open Sans Light"/>
                <w:color w:val="000000"/>
                <w:sz w:val="16"/>
                <w:szCs w:val="16"/>
              </w:rPr>
              <w:t>-53</w:t>
            </w:r>
          </w:p>
        </w:tc>
        <w:tc>
          <w:tcPr>
            <w:tcW w:w="720" w:type="dxa"/>
            <w:tcBorders>
              <w:top w:val="single" w:sz="4" w:space="0" w:color="ADD6EA"/>
              <w:left w:val="nil"/>
              <w:bottom w:val="nil"/>
              <w:right w:val="nil"/>
            </w:tcBorders>
            <w:shd w:val="clear" w:color="000000" w:fill="FFFFFF"/>
            <w:vAlign w:val="bottom"/>
            <w:hideMark/>
          </w:tcPr>
          <w:p w14:paraId="52741D78" w14:textId="5DB70A5B" w:rsidR="002D74E2" w:rsidRPr="008246C1" w:rsidRDefault="002D74E2" w:rsidP="002D74E2">
            <w:pPr>
              <w:keepNext/>
              <w:keepLines/>
              <w:tabs>
                <w:tab w:val="clear" w:pos="567"/>
              </w:tabs>
              <w:spacing w:before="0" w:line="240" w:lineRule="auto"/>
              <w:jc w:val="right"/>
              <w:rPr>
                <w:rFonts w:eastAsia="Times New Roman" w:cs="Open Sans Light"/>
                <w:color w:val="000000"/>
                <w:sz w:val="16"/>
                <w:szCs w:val="16"/>
                <w:highlight w:val="yellow"/>
                <w:lang w:eastAsia="en-AU"/>
              </w:rPr>
            </w:pPr>
            <w:r>
              <w:rPr>
                <w:rFonts w:cs="Open Sans Light"/>
                <w:color w:val="000000"/>
                <w:sz w:val="16"/>
                <w:szCs w:val="16"/>
              </w:rPr>
              <w:t>1</w:t>
            </w:r>
          </w:p>
        </w:tc>
      </w:tr>
      <w:tr w:rsidR="002D74E2" w:rsidRPr="00C37C1D" w14:paraId="578E32BB" w14:textId="77777777" w:rsidTr="00B06022">
        <w:trPr>
          <w:trHeight w:val="318"/>
        </w:trPr>
        <w:tc>
          <w:tcPr>
            <w:tcW w:w="3402" w:type="dxa"/>
            <w:tcBorders>
              <w:top w:val="single" w:sz="4" w:space="0" w:color="ADD6EA"/>
              <w:left w:val="nil"/>
              <w:bottom w:val="nil"/>
              <w:right w:val="nil"/>
            </w:tcBorders>
            <w:shd w:val="clear" w:color="000000" w:fill="FFFFFF"/>
            <w:vAlign w:val="bottom"/>
            <w:hideMark/>
          </w:tcPr>
          <w:p w14:paraId="2511FC83" w14:textId="77777777" w:rsidR="002D74E2" w:rsidRPr="00C37C1D" w:rsidRDefault="002D74E2" w:rsidP="002D74E2">
            <w:pPr>
              <w:keepNext/>
              <w:keepLines/>
              <w:tabs>
                <w:tab w:val="clear" w:pos="567"/>
              </w:tabs>
              <w:spacing w:before="0" w:line="240" w:lineRule="auto"/>
              <w:rPr>
                <w:rFonts w:eastAsia="Times New Roman" w:cs="Open Sans Light"/>
                <w:color w:val="000000"/>
                <w:sz w:val="16"/>
                <w:szCs w:val="16"/>
                <w:lang w:eastAsia="en-AU"/>
              </w:rPr>
            </w:pPr>
            <w:r w:rsidRPr="00C37C1D">
              <w:rPr>
                <w:rFonts w:eastAsia="Times New Roman" w:cs="Open Sans Light"/>
                <w:color w:val="000000"/>
                <w:sz w:val="16"/>
                <w:szCs w:val="16"/>
                <w:lang w:eastAsia="en-AU"/>
              </w:rPr>
              <w:t>Combining remote and very remote</w:t>
            </w:r>
          </w:p>
        </w:tc>
        <w:tc>
          <w:tcPr>
            <w:tcW w:w="615" w:type="dxa"/>
            <w:tcBorders>
              <w:top w:val="single" w:sz="4" w:space="0" w:color="ADD6EA"/>
              <w:left w:val="nil"/>
              <w:bottom w:val="nil"/>
              <w:right w:val="nil"/>
            </w:tcBorders>
            <w:shd w:val="clear" w:color="000000" w:fill="FFFFFF"/>
            <w:vAlign w:val="bottom"/>
            <w:hideMark/>
          </w:tcPr>
          <w:p w14:paraId="3E10F419" w14:textId="0F82ECE7" w:rsidR="002D74E2" w:rsidRPr="008246C1" w:rsidRDefault="002D74E2" w:rsidP="002D74E2">
            <w:pPr>
              <w:keepNext/>
              <w:keepLines/>
              <w:tabs>
                <w:tab w:val="clear" w:pos="567"/>
              </w:tabs>
              <w:spacing w:before="0" w:line="240" w:lineRule="auto"/>
              <w:jc w:val="right"/>
              <w:rPr>
                <w:rFonts w:eastAsia="Times New Roman" w:cs="Open Sans Light"/>
                <w:color w:val="000000"/>
                <w:sz w:val="16"/>
                <w:szCs w:val="16"/>
                <w:highlight w:val="yellow"/>
                <w:lang w:eastAsia="en-AU"/>
              </w:rPr>
            </w:pPr>
            <w:r>
              <w:rPr>
                <w:rFonts w:cs="Open Sans Light"/>
                <w:color w:val="000000"/>
                <w:sz w:val="16"/>
                <w:szCs w:val="16"/>
              </w:rPr>
              <w:t>0</w:t>
            </w:r>
          </w:p>
        </w:tc>
        <w:tc>
          <w:tcPr>
            <w:tcW w:w="616" w:type="dxa"/>
            <w:tcBorders>
              <w:top w:val="single" w:sz="4" w:space="0" w:color="ADD6EA"/>
              <w:left w:val="nil"/>
              <w:bottom w:val="nil"/>
              <w:right w:val="nil"/>
            </w:tcBorders>
            <w:shd w:val="clear" w:color="000000" w:fill="FFFFFF"/>
            <w:vAlign w:val="bottom"/>
            <w:hideMark/>
          </w:tcPr>
          <w:p w14:paraId="2B713A00" w14:textId="6BAA29BD" w:rsidR="002D74E2" w:rsidRPr="008246C1" w:rsidRDefault="002D74E2" w:rsidP="002D74E2">
            <w:pPr>
              <w:keepNext/>
              <w:keepLines/>
              <w:tabs>
                <w:tab w:val="clear" w:pos="567"/>
              </w:tabs>
              <w:spacing w:before="0" w:line="240" w:lineRule="auto"/>
              <w:jc w:val="right"/>
              <w:rPr>
                <w:rFonts w:eastAsia="Times New Roman" w:cs="Open Sans Light"/>
                <w:color w:val="000000"/>
                <w:sz w:val="16"/>
                <w:szCs w:val="16"/>
                <w:highlight w:val="yellow"/>
                <w:lang w:eastAsia="en-AU"/>
              </w:rPr>
            </w:pPr>
            <w:r>
              <w:rPr>
                <w:rFonts w:cs="Open Sans Light"/>
                <w:color w:val="000000"/>
                <w:sz w:val="16"/>
                <w:szCs w:val="16"/>
              </w:rPr>
              <w:t>0</w:t>
            </w:r>
          </w:p>
        </w:tc>
        <w:tc>
          <w:tcPr>
            <w:tcW w:w="615" w:type="dxa"/>
            <w:tcBorders>
              <w:top w:val="single" w:sz="4" w:space="0" w:color="ADD6EA"/>
              <w:left w:val="nil"/>
              <w:bottom w:val="nil"/>
              <w:right w:val="nil"/>
            </w:tcBorders>
            <w:shd w:val="clear" w:color="000000" w:fill="FFFFFF"/>
            <w:vAlign w:val="bottom"/>
            <w:hideMark/>
          </w:tcPr>
          <w:p w14:paraId="31CAE073" w14:textId="5B1F2C53" w:rsidR="002D74E2" w:rsidRPr="008246C1" w:rsidRDefault="002D74E2" w:rsidP="002D74E2">
            <w:pPr>
              <w:keepNext/>
              <w:keepLines/>
              <w:tabs>
                <w:tab w:val="clear" w:pos="567"/>
              </w:tabs>
              <w:spacing w:before="0" w:line="240" w:lineRule="auto"/>
              <w:jc w:val="right"/>
              <w:rPr>
                <w:rFonts w:eastAsia="Times New Roman" w:cs="Open Sans Light"/>
                <w:color w:val="000000"/>
                <w:sz w:val="16"/>
                <w:szCs w:val="16"/>
                <w:highlight w:val="yellow"/>
                <w:lang w:eastAsia="en-AU"/>
              </w:rPr>
            </w:pPr>
            <w:r>
              <w:rPr>
                <w:rFonts w:cs="Open Sans Light"/>
                <w:color w:val="000000"/>
                <w:sz w:val="16"/>
                <w:szCs w:val="16"/>
              </w:rPr>
              <w:t>0</w:t>
            </w:r>
          </w:p>
        </w:tc>
        <w:tc>
          <w:tcPr>
            <w:tcW w:w="616" w:type="dxa"/>
            <w:tcBorders>
              <w:top w:val="single" w:sz="4" w:space="0" w:color="ADD6EA"/>
              <w:left w:val="nil"/>
              <w:bottom w:val="nil"/>
              <w:right w:val="nil"/>
            </w:tcBorders>
            <w:shd w:val="clear" w:color="000000" w:fill="FFFFFF"/>
            <w:vAlign w:val="bottom"/>
            <w:hideMark/>
          </w:tcPr>
          <w:p w14:paraId="4F117C6F" w14:textId="189822A7" w:rsidR="002D74E2" w:rsidRPr="008246C1" w:rsidRDefault="002D74E2" w:rsidP="002D74E2">
            <w:pPr>
              <w:keepNext/>
              <w:keepLines/>
              <w:tabs>
                <w:tab w:val="clear" w:pos="567"/>
              </w:tabs>
              <w:spacing w:before="0" w:line="240" w:lineRule="auto"/>
              <w:jc w:val="right"/>
              <w:rPr>
                <w:rFonts w:eastAsia="Times New Roman" w:cs="Open Sans Light"/>
                <w:color w:val="000000"/>
                <w:sz w:val="16"/>
                <w:szCs w:val="16"/>
                <w:highlight w:val="yellow"/>
                <w:lang w:eastAsia="en-AU"/>
              </w:rPr>
            </w:pPr>
            <w:r>
              <w:rPr>
                <w:rFonts w:cs="Open Sans Light"/>
                <w:color w:val="000000"/>
                <w:sz w:val="16"/>
                <w:szCs w:val="16"/>
              </w:rPr>
              <w:t>0</w:t>
            </w:r>
          </w:p>
        </w:tc>
        <w:tc>
          <w:tcPr>
            <w:tcW w:w="615" w:type="dxa"/>
            <w:tcBorders>
              <w:top w:val="single" w:sz="4" w:space="0" w:color="ADD6EA"/>
              <w:left w:val="nil"/>
              <w:bottom w:val="nil"/>
              <w:right w:val="nil"/>
            </w:tcBorders>
            <w:shd w:val="clear" w:color="000000" w:fill="FFFFFF"/>
            <w:vAlign w:val="bottom"/>
            <w:hideMark/>
          </w:tcPr>
          <w:p w14:paraId="6CDF944D" w14:textId="128A831D" w:rsidR="002D74E2" w:rsidRPr="008246C1" w:rsidRDefault="002D74E2" w:rsidP="002D74E2">
            <w:pPr>
              <w:keepNext/>
              <w:keepLines/>
              <w:tabs>
                <w:tab w:val="clear" w:pos="567"/>
              </w:tabs>
              <w:spacing w:before="0" w:line="240" w:lineRule="auto"/>
              <w:jc w:val="right"/>
              <w:rPr>
                <w:rFonts w:eastAsia="Times New Roman" w:cs="Open Sans Light"/>
                <w:color w:val="000000"/>
                <w:sz w:val="16"/>
                <w:szCs w:val="16"/>
                <w:highlight w:val="yellow"/>
                <w:lang w:eastAsia="en-AU"/>
              </w:rPr>
            </w:pPr>
            <w:r>
              <w:rPr>
                <w:rFonts w:cs="Open Sans Light"/>
                <w:color w:val="000000"/>
                <w:sz w:val="16"/>
                <w:szCs w:val="16"/>
              </w:rPr>
              <w:t>-2</w:t>
            </w:r>
          </w:p>
        </w:tc>
        <w:tc>
          <w:tcPr>
            <w:tcW w:w="616" w:type="dxa"/>
            <w:tcBorders>
              <w:top w:val="single" w:sz="4" w:space="0" w:color="ADD6EA"/>
              <w:left w:val="nil"/>
              <w:bottom w:val="nil"/>
              <w:right w:val="nil"/>
            </w:tcBorders>
            <w:shd w:val="clear" w:color="000000" w:fill="FFFFFF"/>
            <w:vAlign w:val="bottom"/>
            <w:hideMark/>
          </w:tcPr>
          <w:p w14:paraId="58492FFA" w14:textId="06E0375E" w:rsidR="002D74E2" w:rsidRPr="008246C1" w:rsidRDefault="002D74E2" w:rsidP="002D74E2">
            <w:pPr>
              <w:keepNext/>
              <w:keepLines/>
              <w:tabs>
                <w:tab w:val="clear" w:pos="567"/>
              </w:tabs>
              <w:spacing w:before="0" w:line="240" w:lineRule="auto"/>
              <w:jc w:val="right"/>
              <w:rPr>
                <w:rFonts w:eastAsia="Times New Roman" w:cs="Open Sans Light"/>
                <w:color w:val="000000"/>
                <w:sz w:val="16"/>
                <w:szCs w:val="16"/>
                <w:highlight w:val="yellow"/>
                <w:lang w:eastAsia="en-AU"/>
              </w:rPr>
            </w:pPr>
            <w:r>
              <w:rPr>
                <w:rFonts w:cs="Open Sans Light"/>
                <w:color w:val="000000"/>
                <w:sz w:val="16"/>
                <w:szCs w:val="16"/>
              </w:rPr>
              <w:t>-1</w:t>
            </w:r>
          </w:p>
        </w:tc>
        <w:tc>
          <w:tcPr>
            <w:tcW w:w="615" w:type="dxa"/>
            <w:tcBorders>
              <w:top w:val="single" w:sz="4" w:space="0" w:color="ADD6EA"/>
              <w:left w:val="nil"/>
              <w:bottom w:val="nil"/>
              <w:right w:val="nil"/>
            </w:tcBorders>
            <w:shd w:val="clear" w:color="000000" w:fill="FFFFFF"/>
            <w:vAlign w:val="bottom"/>
            <w:hideMark/>
          </w:tcPr>
          <w:p w14:paraId="0AC27A24" w14:textId="674A698D" w:rsidR="002D74E2" w:rsidRPr="008246C1" w:rsidRDefault="002D74E2" w:rsidP="002D74E2">
            <w:pPr>
              <w:keepNext/>
              <w:keepLines/>
              <w:tabs>
                <w:tab w:val="clear" w:pos="567"/>
              </w:tabs>
              <w:spacing w:before="0" w:line="240" w:lineRule="auto"/>
              <w:jc w:val="right"/>
              <w:rPr>
                <w:rFonts w:eastAsia="Times New Roman" w:cs="Open Sans Light"/>
                <w:color w:val="000000"/>
                <w:sz w:val="16"/>
                <w:szCs w:val="16"/>
                <w:highlight w:val="yellow"/>
                <w:lang w:eastAsia="en-AU"/>
              </w:rPr>
            </w:pPr>
            <w:r>
              <w:rPr>
                <w:rFonts w:cs="Open Sans Light"/>
                <w:color w:val="000000"/>
                <w:sz w:val="16"/>
                <w:szCs w:val="16"/>
              </w:rPr>
              <w:t>0</w:t>
            </w:r>
          </w:p>
        </w:tc>
        <w:tc>
          <w:tcPr>
            <w:tcW w:w="512" w:type="dxa"/>
            <w:tcBorders>
              <w:top w:val="single" w:sz="4" w:space="0" w:color="ADD6EA"/>
              <w:left w:val="nil"/>
              <w:bottom w:val="nil"/>
              <w:right w:val="nil"/>
            </w:tcBorders>
            <w:shd w:val="clear" w:color="000000" w:fill="FFFFFF"/>
            <w:vAlign w:val="bottom"/>
            <w:hideMark/>
          </w:tcPr>
          <w:p w14:paraId="61D47544" w14:textId="648BF599" w:rsidR="002D74E2" w:rsidRPr="008246C1" w:rsidRDefault="002D74E2" w:rsidP="002D74E2">
            <w:pPr>
              <w:keepNext/>
              <w:keepLines/>
              <w:tabs>
                <w:tab w:val="clear" w:pos="567"/>
              </w:tabs>
              <w:spacing w:before="0" w:line="240" w:lineRule="auto"/>
              <w:jc w:val="right"/>
              <w:rPr>
                <w:rFonts w:eastAsia="Times New Roman" w:cs="Open Sans Light"/>
                <w:color w:val="000000"/>
                <w:sz w:val="16"/>
                <w:szCs w:val="16"/>
                <w:highlight w:val="yellow"/>
                <w:lang w:eastAsia="en-AU"/>
              </w:rPr>
            </w:pPr>
            <w:r>
              <w:rPr>
                <w:rFonts w:cs="Open Sans Light"/>
                <w:color w:val="000000"/>
                <w:sz w:val="16"/>
                <w:szCs w:val="16"/>
              </w:rPr>
              <w:t>11</w:t>
            </w:r>
          </w:p>
        </w:tc>
        <w:tc>
          <w:tcPr>
            <w:tcW w:w="720" w:type="dxa"/>
            <w:tcBorders>
              <w:top w:val="single" w:sz="4" w:space="0" w:color="ADD6EA"/>
              <w:left w:val="nil"/>
              <w:bottom w:val="nil"/>
              <w:right w:val="nil"/>
            </w:tcBorders>
            <w:shd w:val="clear" w:color="000000" w:fill="FFFFFF"/>
            <w:vAlign w:val="bottom"/>
            <w:hideMark/>
          </w:tcPr>
          <w:p w14:paraId="2EA3A8C4" w14:textId="5C447109" w:rsidR="002D74E2" w:rsidRPr="008246C1" w:rsidRDefault="002D74E2" w:rsidP="002D74E2">
            <w:pPr>
              <w:keepNext/>
              <w:keepLines/>
              <w:tabs>
                <w:tab w:val="clear" w:pos="567"/>
              </w:tabs>
              <w:spacing w:before="0" w:line="240" w:lineRule="auto"/>
              <w:jc w:val="right"/>
              <w:rPr>
                <w:rFonts w:eastAsia="Times New Roman" w:cs="Open Sans Light"/>
                <w:color w:val="000000"/>
                <w:sz w:val="16"/>
                <w:szCs w:val="16"/>
                <w:highlight w:val="yellow"/>
                <w:lang w:eastAsia="en-AU"/>
              </w:rPr>
            </w:pPr>
            <w:r>
              <w:rPr>
                <w:rFonts w:cs="Open Sans Light"/>
                <w:color w:val="000000"/>
                <w:sz w:val="16"/>
                <w:szCs w:val="16"/>
              </w:rPr>
              <w:t>0</w:t>
            </w:r>
          </w:p>
        </w:tc>
      </w:tr>
      <w:tr w:rsidR="002D74E2" w:rsidRPr="00C37C1D" w14:paraId="2423EF58" w14:textId="77777777" w:rsidTr="00B06022">
        <w:trPr>
          <w:trHeight w:val="318"/>
        </w:trPr>
        <w:tc>
          <w:tcPr>
            <w:tcW w:w="3402" w:type="dxa"/>
            <w:tcBorders>
              <w:top w:val="single" w:sz="4" w:space="0" w:color="ADD6EA"/>
              <w:left w:val="nil"/>
              <w:bottom w:val="nil"/>
              <w:right w:val="nil"/>
            </w:tcBorders>
            <w:shd w:val="clear" w:color="000000" w:fill="FFFFFF"/>
            <w:vAlign w:val="bottom"/>
            <w:hideMark/>
          </w:tcPr>
          <w:p w14:paraId="053D0D60" w14:textId="08FFA47B" w:rsidR="002D74E2" w:rsidRPr="00C37C1D" w:rsidRDefault="002D74E2" w:rsidP="002D74E2">
            <w:pPr>
              <w:keepNext/>
              <w:keepLines/>
              <w:tabs>
                <w:tab w:val="clear" w:pos="567"/>
              </w:tabs>
              <w:spacing w:before="0" w:line="240" w:lineRule="auto"/>
              <w:rPr>
                <w:rFonts w:eastAsia="Times New Roman" w:cs="Open Sans Light"/>
                <w:color w:val="000000"/>
                <w:sz w:val="16"/>
                <w:szCs w:val="16"/>
                <w:lang w:eastAsia="en-AU"/>
              </w:rPr>
            </w:pPr>
            <w:r w:rsidRPr="00C37C1D">
              <w:rPr>
                <w:rFonts w:eastAsia="Times New Roman" w:cs="Open Sans Light"/>
                <w:color w:val="000000"/>
                <w:sz w:val="16"/>
                <w:szCs w:val="16"/>
                <w:lang w:eastAsia="en-AU"/>
              </w:rPr>
              <w:t xml:space="preserve">Changing </w:t>
            </w:r>
            <w:r w:rsidR="009A3AB3">
              <w:rPr>
                <w:rFonts w:eastAsia="Times New Roman" w:cs="Open Sans Light"/>
                <w:color w:val="000000"/>
                <w:sz w:val="16"/>
                <w:szCs w:val="16"/>
                <w:lang w:eastAsia="en-AU"/>
              </w:rPr>
              <w:t>socio</w:t>
            </w:r>
            <w:r w:rsidR="009A3AB3" w:rsidRPr="009A3AB3">
              <w:rPr>
                <w:sz w:val="16"/>
                <w:szCs w:val="16"/>
              </w:rPr>
              <w:t>-economic status</w:t>
            </w:r>
            <w:r w:rsidR="009A3AB3" w:rsidRPr="00C37C1D">
              <w:rPr>
                <w:rFonts w:eastAsia="Times New Roman" w:cs="Open Sans Light"/>
                <w:color w:val="000000"/>
                <w:sz w:val="16"/>
                <w:szCs w:val="16"/>
                <w:lang w:eastAsia="en-AU"/>
              </w:rPr>
              <w:t xml:space="preserve"> </w:t>
            </w:r>
            <w:r w:rsidRPr="00C37C1D">
              <w:rPr>
                <w:rFonts w:eastAsia="Times New Roman" w:cs="Open Sans Light"/>
                <w:color w:val="000000"/>
                <w:sz w:val="16"/>
                <w:szCs w:val="16"/>
                <w:lang w:eastAsia="en-AU"/>
              </w:rPr>
              <w:t>structure</w:t>
            </w:r>
          </w:p>
        </w:tc>
        <w:tc>
          <w:tcPr>
            <w:tcW w:w="615" w:type="dxa"/>
            <w:tcBorders>
              <w:top w:val="single" w:sz="4" w:space="0" w:color="ADD6EA"/>
              <w:left w:val="nil"/>
              <w:bottom w:val="nil"/>
              <w:right w:val="nil"/>
            </w:tcBorders>
            <w:shd w:val="clear" w:color="000000" w:fill="FFFFFF"/>
            <w:vAlign w:val="bottom"/>
            <w:hideMark/>
          </w:tcPr>
          <w:p w14:paraId="1236BC66" w14:textId="564DDD4E" w:rsidR="002D74E2" w:rsidRPr="008246C1" w:rsidRDefault="002D74E2" w:rsidP="002D74E2">
            <w:pPr>
              <w:keepNext/>
              <w:keepLines/>
              <w:tabs>
                <w:tab w:val="clear" w:pos="567"/>
              </w:tabs>
              <w:spacing w:before="0" w:line="240" w:lineRule="auto"/>
              <w:jc w:val="right"/>
              <w:rPr>
                <w:rFonts w:eastAsia="Times New Roman" w:cs="Open Sans Light"/>
                <w:color w:val="000000"/>
                <w:sz w:val="16"/>
                <w:szCs w:val="16"/>
                <w:highlight w:val="yellow"/>
                <w:lang w:eastAsia="en-AU"/>
              </w:rPr>
            </w:pPr>
            <w:r>
              <w:rPr>
                <w:rFonts w:cs="Open Sans Light"/>
                <w:color w:val="000000"/>
                <w:sz w:val="16"/>
                <w:szCs w:val="16"/>
              </w:rPr>
              <w:t>0</w:t>
            </w:r>
          </w:p>
        </w:tc>
        <w:tc>
          <w:tcPr>
            <w:tcW w:w="616" w:type="dxa"/>
            <w:tcBorders>
              <w:top w:val="single" w:sz="4" w:space="0" w:color="ADD6EA"/>
              <w:left w:val="nil"/>
              <w:bottom w:val="nil"/>
              <w:right w:val="nil"/>
            </w:tcBorders>
            <w:shd w:val="clear" w:color="000000" w:fill="FFFFFF"/>
            <w:vAlign w:val="bottom"/>
            <w:hideMark/>
          </w:tcPr>
          <w:p w14:paraId="58E64216" w14:textId="39A2B892" w:rsidR="002D74E2" w:rsidRPr="008246C1" w:rsidRDefault="002D74E2" w:rsidP="002D74E2">
            <w:pPr>
              <w:keepNext/>
              <w:keepLines/>
              <w:tabs>
                <w:tab w:val="clear" w:pos="567"/>
              </w:tabs>
              <w:spacing w:before="0" w:line="240" w:lineRule="auto"/>
              <w:jc w:val="right"/>
              <w:rPr>
                <w:rFonts w:eastAsia="Times New Roman" w:cs="Open Sans Light"/>
                <w:color w:val="000000"/>
                <w:sz w:val="16"/>
                <w:szCs w:val="16"/>
                <w:highlight w:val="yellow"/>
                <w:lang w:eastAsia="en-AU"/>
              </w:rPr>
            </w:pPr>
            <w:r>
              <w:rPr>
                <w:rFonts w:cs="Open Sans Light"/>
                <w:color w:val="000000"/>
                <w:sz w:val="16"/>
                <w:szCs w:val="16"/>
              </w:rPr>
              <w:t>-1</w:t>
            </w:r>
          </w:p>
        </w:tc>
        <w:tc>
          <w:tcPr>
            <w:tcW w:w="615" w:type="dxa"/>
            <w:tcBorders>
              <w:top w:val="single" w:sz="4" w:space="0" w:color="ADD6EA"/>
              <w:left w:val="nil"/>
              <w:bottom w:val="nil"/>
              <w:right w:val="nil"/>
            </w:tcBorders>
            <w:shd w:val="clear" w:color="000000" w:fill="FFFFFF"/>
            <w:vAlign w:val="bottom"/>
            <w:hideMark/>
          </w:tcPr>
          <w:p w14:paraId="14822634" w14:textId="4A9AC10C" w:rsidR="002D74E2" w:rsidRPr="008246C1" w:rsidRDefault="002D74E2" w:rsidP="002D74E2">
            <w:pPr>
              <w:keepNext/>
              <w:keepLines/>
              <w:tabs>
                <w:tab w:val="clear" w:pos="567"/>
              </w:tabs>
              <w:spacing w:before="0" w:line="240" w:lineRule="auto"/>
              <w:jc w:val="right"/>
              <w:rPr>
                <w:rFonts w:eastAsia="Times New Roman" w:cs="Open Sans Light"/>
                <w:color w:val="000000"/>
                <w:sz w:val="16"/>
                <w:szCs w:val="16"/>
                <w:highlight w:val="yellow"/>
                <w:lang w:eastAsia="en-AU"/>
              </w:rPr>
            </w:pPr>
            <w:r>
              <w:rPr>
                <w:rFonts w:cs="Open Sans Light"/>
                <w:color w:val="000000"/>
                <w:sz w:val="16"/>
                <w:szCs w:val="16"/>
              </w:rPr>
              <w:t>-3</w:t>
            </w:r>
          </w:p>
        </w:tc>
        <w:tc>
          <w:tcPr>
            <w:tcW w:w="616" w:type="dxa"/>
            <w:tcBorders>
              <w:top w:val="single" w:sz="4" w:space="0" w:color="ADD6EA"/>
              <w:left w:val="nil"/>
              <w:bottom w:val="nil"/>
              <w:right w:val="nil"/>
            </w:tcBorders>
            <w:shd w:val="clear" w:color="000000" w:fill="FFFFFF"/>
            <w:vAlign w:val="bottom"/>
            <w:hideMark/>
          </w:tcPr>
          <w:p w14:paraId="6000550E" w14:textId="6D825EC9" w:rsidR="002D74E2" w:rsidRPr="008246C1" w:rsidRDefault="002D74E2" w:rsidP="002D74E2">
            <w:pPr>
              <w:keepNext/>
              <w:keepLines/>
              <w:tabs>
                <w:tab w:val="clear" w:pos="567"/>
              </w:tabs>
              <w:spacing w:before="0" w:line="240" w:lineRule="auto"/>
              <w:jc w:val="right"/>
              <w:rPr>
                <w:rFonts w:eastAsia="Times New Roman" w:cs="Open Sans Light"/>
                <w:color w:val="000000"/>
                <w:sz w:val="16"/>
                <w:szCs w:val="16"/>
                <w:highlight w:val="yellow"/>
                <w:lang w:eastAsia="en-AU"/>
              </w:rPr>
            </w:pPr>
            <w:r>
              <w:rPr>
                <w:rFonts w:cs="Open Sans Light"/>
                <w:color w:val="000000"/>
                <w:sz w:val="16"/>
                <w:szCs w:val="16"/>
              </w:rPr>
              <w:t>3</w:t>
            </w:r>
          </w:p>
        </w:tc>
        <w:tc>
          <w:tcPr>
            <w:tcW w:w="615" w:type="dxa"/>
            <w:tcBorders>
              <w:top w:val="single" w:sz="4" w:space="0" w:color="ADD6EA"/>
              <w:left w:val="nil"/>
              <w:bottom w:val="nil"/>
              <w:right w:val="nil"/>
            </w:tcBorders>
            <w:shd w:val="clear" w:color="000000" w:fill="FFFFFF"/>
            <w:vAlign w:val="bottom"/>
            <w:hideMark/>
          </w:tcPr>
          <w:p w14:paraId="07CBF4D2" w14:textId="3ACB4818" w:rsidR="002D74E2" w:rsidRPr="008246C1" w:rsidRDefault="002D74E2" w:rsidP="002D74E2">
            <w:pPr>
              <w:keepNext/>
              <w:keepLines/>
              <w:tabs>
                <w:tab w:val="clear" w:pos="567"/>
              </w:tabs>
              <w:spacing w:before="0" w:line="240" w:lineRule="auto"/>
              <w:jc w:val="right"/>
              <w:rPr>
                <w:rFonts w:eastAsia="Times New Roman" w:cs="Open Sans Light"/>
                <w:color w:val="000000"/>
                <w:sz w:val="16"/>
                <w:szCs w:val="16"/>
                <w:highlight w:val="yellow"/>
                <w:lang w:eastAsia="en-AU"/>
              </w:rPr>
            </w:pPr>
            <w:r>
              <w:rPr>
                <w:rFonts w:cs="Open Sans Light"/>
                <w:color w:val="000000"/>
                <w:sz w:val="16"/>
                <w:szCs w:val="16"/>
              </w:rPr>
              <w:t>2</w:t>
            </w:r>
          </w:p>
        </w:tc>
        <w:tc>
          <w:tcPr>
            <w:tcW w:w="616" w:type="dxa"/>
            <w:tcBorders>
              <w:top w:val="single" w:sz="4" w:space="0" w:color="ADD6EA"/>
              <w:left w:val="nil"/>
              <w:bottom w:val="nil"/>
              <w:right w:val="nil"/>
            </w:tcBorders>
            <w:shd w:val="clear" w:color="000000" w:fill="FFFFFF"/>
            <w:vAlign w:val="bottom"/>
            <w:hideMark/>
          </w:tcPr>
          <w:p w14:paraId="367BE3FF" w14:textId="5882FDD5" w:rsidR="002D74E2" w:rsidRPr="008246C1" w:rsidRDefault="002D74E2" w:rsidP="002D74E2">
            <w:pPr>
              <w:keepNext/>
              <w:keepLines/>
              <w:tabs>
                <w:tab w:val="clear" w:pos="567"/>
              </w:tabs>
              <w:spacing w:before="0" w:line="240" w:lineRule="auto"/>
              <w:jc w:val="right"/>
              <w:rPr>
                <w:rFonts w:eastAsia="Times New Roman" w:cs="Open Sans Light"/>
                <w:color w:val="000000"/>
                <w:sz w:val="16"/>
                <w:szCs w:val="16"/>
                <w:highlight w:val="yellow"/>
                <w:lang w:eastAsia="en-AU"/>
              </w:rPr>
            </w:pPr>
            <w:r>
              <w:rPr>
                <w:rFonts w:cs="Open Sans Light"/>
                <w:color w:val="000000"/>
                <w:sz w:val="16"/>
                <w:szCs w:val="16"/>
              </w:rPr>
              <w:t>5</w:t>
            </w:r>
          </w:p>
        </w:tc>
        <w:tc>
          <w:tcPr>
            <w:tcW w:w="615" w:type="dxa"/>
            <w:tcBorders>
              <w:top w:val="single" w:sz="4" w:space="0" w:color="ADD6EA"/>
              <w:left w:val="nil"/>
              <w:bottom w:val="nil"/>
              <w:right w:val="nil"/>
            </w:tcBorders>
            <w:shd w:val="clear" w:color="000000" w:fill="FFFFFF"/>
            <w:vAlign w:val="bottom"/>
            <w:hideMark/>
          </w:tcPr>
          <w:p w14:paraId="49E680F5" w14:textId="1965E76B" w:rsidR="002D74E2" w:rsidRPr="008246C1" w:rsidRDefault="002D74E2" w:rsidP="002D74E2">
            <w:pPr>
              <w:keepNext/>
              <w:keepLines/>
              <w:tabs>
                <w:tab w:val="clear" w:pos="567"/>
              </w:tabs>
              <w:spacing w:before="0" w:line="240" w:lineRule="auto"/>
              <w:jc w:val="right"/>
              <w:rPr>
                <w:rFonts w:eastAsia="Times New Roman" w:cs="Open Sans Light"/>
                <w:color w:val="000000"/>
                <w:sz w:val="16"/>
                <w:szCs w:val="16"/>
                <w:highlight w:val="yellow"/>
                <w:lang w:eastAsia="en-AU"/>
              </w:rPr>
            </w:pPr>
            <w:r>
              <w:rPr>
                <w:rFonts w:cs="Open Sans Light"/>
                <w:color w:val="000000"/>
                <w:sz w:val="16"/>
                <w:szCs w:val="16"/>
              </w:rPr>
              <w:t>-5</w:t>
            </w:r>
          </w:p>
        </w:tc>
        <w:tc>
          <w:tcPr>
            <w:tcW w:w="512" w:type="dxa"/>
            <w:tcBorders>
              <w:top w:val="single" w:sz="4" w:space="0" w:color="ADD6EA"/>
              <w:left w:val="nil"/>
              <w:bottom w:val="nil"/>
              <w:right w:val="nil"/>
            </w:tcBorders>
            <w:shd w:val="clear" w:color="000000" w:fill="FFFFFF"/>
            <w:vAlign w:val="bottom"/>
            <w:hideMark/>
          </w:tcPr>
          <w:p w14:paraId="2AEE103F" w14:textId="41610C14" w:rsidR="002D74E2" w:rsidRPr="008246C1" w:rsidRDefault="002D74E2" w:rsidP="002D74E2">
            <w:pPr>
              <w:keepNext/>
              <w:keepLines/>
              <w:tabs>
                <w:tab w:val="clear" w:pos="567"/>
              </w:tabs>
              <w:spacing w:before="0" w:line="240" w:lineRule="auto"/>
              <w:jc w:val="right"/>
              <w:rPr>
                <w:rFonts w:eastAsia="Times New Roman" w:cs="Open Sans Light"/>
                <w:color w:val="000000"/>
                <w:sz w:val="16"/>
                <w:szCs w:val="16"/>
                <w:highlight w:val="yellow"/>
                <w:lang w:eastAsia="en-AU"/>
              </w:rPr>
            </w:pPr>
            <w:r>
              <w:rPr>
                <w:rFonts w:cs="Open Sans Light"/>
                <w:color w:val="000000"/>
                <w:sz w:val="16"/>
                <w:szCs w:val="16"/>
              </w:rPr>
              <w:t>36</w:t>
            </w:r>
          </w:p>
        </w:tc>
        <w:tc>
          <w:tcPr>
            <w:tcW w:w="720" w:type="dxa"/>
            <w:tcBorders>
              <w:top w:val="single" w:sz="4" w:space="0" w:color="ADD6EA"/>
              <w:left w:val="nil"/>
              <w:bottom w:val="nil"/>
              <w:right w:val="nil"/>
            </w:tcBorders>
            <w:shd w:val="clear" w:color="000000" w:fill="FFFFFF"/>
            <w:vAlign w:val="bottom"/>
            <w:hideMark/>
          </w:tcPr>
          <w:p w14:paraId="09F2012E" w14:textId="371D353E" w:rsidR="002D74E2" w:rsidRPr="008246C1" w:rsidRDefault="002D74E2" w:rsidP="002D74E2">
            <w:pPr>
              <w:keepNext/>
              <w:keepLines/>
              <w:tabs>
                <w:tab w:val="clear" w:pos="567"/>
              </w:tabs>
              <w:spacing w:before="0" w:line="240" w:lineRule="auto"/>
              <w:jc w:val="right"/>
              <w:rPr>
                <w:rFonts w:eastAsia="Times New Roman" w:cs="Open Sans Light"/>
                <w:color w:val="000000"/>
                <w:sz w:val="16"/>
                <w:szCs w:val="16"/>
                <w:highlight w:val="yellow"/>
                <w:lang w:eastAsia="en-AU"/>
              </w:rPr>
            </w:pPr>
            <w:r>
              <w:rPr>
                <w:rFonts w:cs="Open Sans Light"/>
                <w:color w:val="000000"/>
                <w:sz w:val="16"/>
                <w:szCs w:val="16"/>
              </w:rPr>
              <w:t>1</w:t>
            </w:r>
          </w:p>
        </w:tc>
      </w:tr>
      <w:tr w:rsidR="002D74E2" w:rsidRPr="00C37C1D" w14:paraId="6A3F8935" w14:textId="77777777" w:rsidTr="00B06022">
        <w:trPr>
          <w:trHeight w:val="318"/>
        </w:trPr>
        <w:tc>
          <w:tcPr>
            <w:tcW w:w="3402" w:type="dxa"/>
            <w:tcBorders>
              <w:top w:val="single" w:sz="4" w:space="0" w:color="ADD6EA"/>
              <w:left w:val="nil"/>
              <w:bottom w:val="nil"/>
              <w:right w:val="nil"/>
            </w:tcBorders>
            <w:shd w:val="clear" w:color="000000" w:fill="FFFFFF"/>
            <w:vAlign w:val="bottom"/>
            <w:hideMark/>
          </w:tcPr>
          <w:p w14:paraId="11A1CE33" w14:textId="370E4BA5" w:rsidR="002D74E2" w:rsidRPr="00C37C1D" w:rsidRDefault="002D74E2" w:rsidP="002D74E2">
            <w:pPr>
              <w:keepNext/>
              <w:keepLines/>
              <w:tabs>
                <w:tab w:val="clear" w:pos="567"/>
              </w:tabs>
              <w:spacing w:before="0" w:line="240" w:lineRule="auto"/>
              <w:rPr>
                <w:rFonts w:ascii="Open Sans Semibold" w:eastAsia="Times New Roman" w:hAnsi="Open Sans Semibold" w:cs="Open Sans Semibold"/>
                <w:color w:val="000000"/>
                <w:sz w:val="16"/>
                <w:szCs w:val="16"/>
                <w:lang w:eastAsia="en-AU"/>
              </w:rPr>
            </w:pPr>
            <w:r w:rsidRPr="00C37C1D">
              <w:rPr>
                <w:rFonts w:ascii="Open Sans Semibold" w:eastAsia="Times New Roman" w:hAnsi="Open Sans Semibold" w:cs="Open Sans Semibold"/>
                <w:color w:val="000000"/>
                <w:sz w:val="16"/>
                <w:szCs w:val="16"/>
                <w:lang w:eastAsia="en-AU"/>
              </w:rPr>
              <w:t xml:space="preserve">Criminal </w:t>
            </w:r>
            <w:r w:rsidR="00E81004">
              <w:rPr>
                <w:rFonts w:ascii="Open Sans Semibold" w:eastAsia="Times New Roman" w:hAnsi="Open Sans Semibold" w:cs="Open Sans Semibold"/>
                <w:color w:val="000000"/>
                <w:sz w:val="16"/>
                <w:szCs w:val="16"/>
                <w:lang w:eastAsia="en-AU"/>
              </w:rPr>
              <w:t>c</w:t>
            </w:r>
            <w:r w:rsidRPr="00C37C1D">
              <w:rPr>
                <w:rFonts w:ascii="Open Sans Semibold" w:eastAsia="Times New Roman" w:hAnsi="Open Sans Semibold" w:cs="Open Sans Semibold"/>
                <w:color w:val="000000"/>
                <w:sz w:val="16"/>
                <w:szCs w:val="16"/>
                <w:lang w:eastAsia="en-AU"/>
              </w:rPr>
              <w:t>ourts and OLS</w:t>
            </w:r>
            <w:r>
              <w:rPr>
                <w:rFonts w:ascii="Open Sans Semibold" w:eastAsia="Times New Roman" w:hAnsi="Open Sans Semibold" w:cs="Open Sans Semibold"/>
                <w:color w:val="000000"/>
                <w:sz w:val="16"/>
                <w:szCs w:val="16"/>
                <w:lang w:eastAsia="en-AU"/>
              </w:rPr>
              <w:t xml:space="preserve"> (a)</w:t>
            </w:r>
          </w:p>
        </w:tc>
        <w:tc>
          <w:tcPr>
            <w:tcW w:w="615" w:type="dxa"/>
            <w:tcBorders>
              <w:top w:val="single" w:sz="4" w:space="0" w:color="ADD6EA"/>
              <w:left w:val="nil"/>
              <w:bottom w:val="nil"/>
              <w:right w:val="nil"/>
            </w:tcBorders>
            <w:shd w:val="clear" w:color="000000" w:fill="FFFFFF"/>
            <w:vAlign w:val="bottom"/>
            <w:hideMark/>
          </w:tcPr>
          <w:p w14:paraId="07703C18" w14:textId="1BF23971" w:rsidR="002D74E2" w:rsidRPr="008246C1" w:rsidRDefault="002D74E2" w:rsidP="002D74E2">
            <w:pPr>
              <w:keepNext/>
              <w:keepLines/>
              <w:tabs>
                <w:tab w:val="clear" w:pos="567"/>
              </w:tabs>
              <w:spacing w:before="0" w:line="240" w:lineRule="auto"/>
              <w:jc w:val="right"/>
              <w:rPr>
                <w:rFonts w:ascii="Open Sans Semibold" w:eastAsia="Times New Roman" w:hAnsi="Open Sans Semibold" w:cs="Open Sans Semibold"/>
                <w:color w:val="000000"/>
                <w:sz w:val="16"/>
                <w:szCs w:val="16"/>
                <w:highlight w:val="yellow"/>
                <w:lang w:eastAsia="en-AU"/>
              </w:rPr>
            </w:pPr>
            <w:r>
              <w:rPr>
                <w:rFonts w:ascii="Open Sans Semibold" w:hAnsi="Open Sans Semibold" w:cs="Open Sans Semibold"/>
                <w:color w:val="000000"/>
                <w:sz w:val="16"/>
                <w:szCs w:val="16"/>
              </w:rPr>
              <w:t>2</w:t>
            </w:r>
          </w:p>
        </w:tc>
        <w:tc>
          <w:tcPr>
            <w:tcW w:w="616" w:type="dxa"/>
            <w:tcBorders>
              <w:top w:val="single" w:sz="4" w:space="0" w:color="ADD6EA"/>
              <w:left w:val="nil"/>
              <w:bottom w:val="nil"/>
              <w:right w:val="nil"/>
            </w:tcBorders>
            <w:shd w:val="clear" w:color="000000" w:fill="FFFFFF"/>
            <w:vAlign w:val="bottom"/>
            <w:hideMark/>
          </w:tcPr>
          <w:p w14:paraId="77BE15B8" w14:textId="2BBDF378" w:rsidR="002D74E2" w:rsidRPr="008246C1" w:rsidRDefault="002D74E2" w:rsidP="002D74E2">
            <w:pPr>
              <w:keepNext/>
              <w:keepLines/>
              <w:tabs>
                <w:tab w:val="clear" w:pos="567"/>
              </w:tabs>
              <w:spacing w:before="0" w:line="240" w:lineRule="auto"/>
              <w:jc w:val="right"/>
              <w:rPr>
                <w:rFonts w:ascii="Open Sans Semibold" w:eastAsia="Times New Roman" w:hAnsi="Open Sans Semibold" w:cs="Open Sans Semibold"/>
                <w:color w:val="000000"/>
                <w:sz w:val="16"/>
                <w:szCs w:val="16"/>
                <w:highlight w:val="yellow"/>
                <w:lang w:eastAsia="en-AU"/>
              </w:rPr>
            </w:pPr>
            <w:r>
              <w:rPr>
                <w:rFonts w:ascii="Open Sans Semibold" w:hAnsi="Open Sans Semibold" w:cs="Open Sans Semibold"/>
                <w:color w:val="000000"/>
                <w:sz w:val="16"/>
                <w:szCs w:val="16"/>
              </w:rPr>
              <w:t>0</w:t>
            </w:r>
          </w:p>
        </w:tc>
        <w:tc>
          <w:tcPr>
            <w:tcW w:w="615" w:type="dxa"/>
            <w:tcBorders>
              <w:top w:val="single" w:sz="4" w:space="0" w:color="ADD6EA"/>
              <w:left w:val="nil"/>
              <w:bottom w:val="nil"/>
              <w:right w:val="nil"/>
            </w:tcBorders>
            <w:shd w:val="clear" w:color="000000" w:fill="FFFFFF"/>
            <w:vAlign w:val="bottom"/>
            <w:hideMark/>
          </w:tcPr>
          <w:p w14:paraId="52542C1A" w14:textId="681DFB27" w:rsidR="002D74E2" w:rsidRPr="008246C1" w:rsidRDefault="002D74E2" w:rsidP="002D74E2">
            <w:pPr>
              <w:keepNext/>
              <w:keepLines/>
              <w:tabs>
                <w:tab w:val="clear" w:pos="567"/>
              </w:tabs>
              <w:spacing w:before="0" w:line="240" w:lineRule="auto"/>
              <w:jc w:val="right"/>
              <w:rPr>
                <w:rFonts w:ascii="Open Sans Semibold" w:eastAsia="Times New Roman" w:hAnsi="Open Sans Semibold" w:cs="Open Sans Semibold"/>
                <w:color w:val="000000"/>
                <w:sz w:val="16"/>
                <w:szCs w:val="16"/>
                <w:highlight w:val="yellow"/>
                <w:lang w:eastAsia="en-AU"/>
              </w:rPr>
            </w:pPr>
            <w:r>
              <w:rPr>
                <w:rFonts w:ascii="Open Sans Semibold" w:hAnsi="Open Sans Semibold" w:cs="Open Sans Semibold"/>
                <w:color w:val="000000"/>
                <w:sz w:val="16"/>
                <w:szCs w:val="16"/>
              </w:rPr>
              <w:t>1</w:t>
            </w:r>
          </w:p>
        </w:tc>
        <w:tc>
          <w:tcPr>
            <w:tcW w:w="616" w:type="dxa"/>
            <w:tcBorders>
              <w:top w:val="single" w:sz="4" w:space="0" w:color="ADD6EA"/>
              <w:left w:val="nil"/>
              <w:bottom w:val="nil"/>
              <w:right w:val="nil"/>
            </w:tcBorders>
            <w:shd w:val="clear" w:color="000000" w:fill="FFFFFF"/>
            <w:vAlign w:val="bottom"/>
            <w:hideMark/>
          </w:tcPr>
          <w:p w14:paraId="022CCFD2" w14:textId="6141B72F" w:rsidR="002D74E2" w:rsidRPr="008246C1" w:rsidRDefault="002D74E2" w:rsidP="002D74E2">
            <w:pPr>
              <w:keepNext/>
              <w:keepLines/>
              <w:tabs>
                <w:tab w:val="clear" w:pos="567"/>
              </w:tabs>
              <w:spacing w:before="0" w:line="240" w:lineRule="auto"/>
              <w:jc w:val="right"/>
              <w:rPr>
                <w:rFonts w:ascii="Open Sans Semibold" w:eastAsia="Times New Roman" w:hAnsi="Open Sans Semibold" w:cs="Open Sans Semibold"/>
                <w:color w:val="000000"/>
                <w:sz w:val="16"/>
                <w:szCs w:val="16"/>
                <w:highlight w:val="yellow"/>
                <w:lang w:eastAsia="en-AU"/>
              </w:rPr>
            </w:pPr>
            <w:r>
              <w:rPr>
                <w:rFonts w:ascii="Open Sans Semibold" w:hAnsi="Open Sans Semibold" w:cs="Open Sans Semibold"/>
                <w:color w:val="000000"/>
                <w:sz w:val="16"/>
                <w:szCs w:val="16"/>
              </w:rPr>
              <w:t>-3</w:t>
            </w:r>
          </w:p>
        </w:tc>
        <w:tc>
          <w:tcPr>
            <w:tcW w:w="615" w:type="dxa"/>
            <w:tcBorders>
              <w:top w:val="single" w:sz="4" w:space="0" w:color="ADD6EA"/>
              <w:left w:val="nil"/>
              <w:bottom w:val="nil"/>
              <w:right w:val="nil"/>
            </w:tcBorders>
            <w:shd w:val="clear" w:color="000000" w:fill="FFFFFF"/>
            <w:vAlign w:val="bottom"/>
            <w:hideMark/>
          </w:tcPr>
          <w:p w14:paraId="0C2D4DC2" w14:textId="5430E96A" w:rsidR="002D74E2" w:rsidRPr="008246C1" w:rsidRDefault="002D74E2" w:rsidP="002D74E2">
            <w:pPr>
              <w:keepNext/>
              <w:keepLines/>
              <w:tabs>
                <w:tab w:val="clear" w:pos="567"/>
              </w:tabs>
              <w:spacing w:before="0" w:line="240" w:lineRule="auto"/>
              <w:jc w:val="right"/>
              <w:rPr>
                <w:rFonts w:ascii="Open Sans Semibold" w:eastAsia="Times New Roman" w:hAnsi="Open Sans Semibold" w:cs="Open Sans Semibold"/>
                <w:color w:val="000000"/>
                <w:sz w:val="16"/>
                <w:szCs w:val="16"/>
                <w:highlight w:val="yellow"/>
                <w:lang w:eastAsia="en-AU"/>
              </w:rPr>
            </w:pPr>
            <w:r>
              <w:rPr>
                <w:rFonts w:ascii="Open Sans Semibold" w:hAnsi="Open Sans Semibold" w:cs="Open Sans Semibold"/>
                <w:color w:val="000000"/>
                <w:sz w:val="16"/>
                <w:szCs w:val="16"/>
              </w:rPr>
              <w:t>-1</w:t>
            </w:r>
          </w:p>
        </w:tc>
        <w:tc>
          <w:tcPr>
            <w:tcW w:w="616" w:type="dxa"/>
            <w:tcBorders>
              <w:top w:val="single" w:sz="4" w:space="0" w:color="ADD6EA"/>
              <w:left w:val="nil"/>
              <w:bottom w:val="nil"/>
              <w:right w:val="nil"/>
            </w:tcBorders>
            <w:shd w:val="clear" w:color="000000" w:fill="FFFFFF"/>
            <w:vAlign w:val="bottom"/>
            <w:hideMark/>
          </w:tcPr>
          <w:p w14:paraId="410CD43C" w14:textId="4576E9A9" w:rsidR="002D74E2" w:rsidRPr="008246C1" w:rsidRDefault="002D74E2" w:rsidP="002D74E2">
            <w:pPr>
              <w:keepNext/>
              <w:keepLines/>
              <w:tabs>
                <w:tab w:val="clear" w:pos="567"/>
              </w:tabs>
              <w:spacing w:before="0" w:line="240" w:lineRule="auto"/>
              <w:jc w:val="right"/>
              <w:rPr>
                <w:rFonts w:ascii="Open Sans Semibold" w:eastAsia="Times New Roman" w:hAnsi="Open Sans Semibold" w:cs="Open Sans Semibold"/>
                <w:color w:val="000000"/>
                <w:sz w:val="16"/>
                <w:szCs w:val="16"/>
                <w:highlight w:val="yellow"/>
                <w:lang w:eastAsia="en-AU"/>
              </w:rPr>
            </w:pPr>
            <w:r>
              <w:rPr>
                <w:rFonts w:ascii="Open Sans Semibold" w:hAnsi="Open Sans Semibold" w:cs="Open Sans Semibold"/>
                <w:color w:val="000000"/>
                <w:sz w:val="16"/>
                <w:szCs w:val="16"/>
              </w:rPr>
              <w:t>3</w:t>
            </w:r>
          </w:p>
        </w:tc>
        <w:tc>
          <w:tcPr>
            <w:tcW w:w="615" w:type="dxa"/>
            <w:tcBorders>
              <w:top w:val="single" w:sz="4" w:space="0" w:color="ADD6EA"/>
              <w:left w:val="nil"/>
              <w:bottom w:val="nil"/>
              <w:right w:val="nil"/>
            </w:tcBorders>
            <w:shd w:val="clear" w:color="000000" w:fill="FFFFFF"/>
            <w:vAlign w:val="bottom"/>
            <w:hideMark/>
          </w:tcPr>
          <w:p w14:paraId="2436DA94" w14:textId="4D3522C8" w:rsidR="002D74E2" w:rsidRPr="008246C1" w:rsidRDefault="002D74E2" w:rsidP="002D74E2">
            <w:pPr>
              <w:keepNext/>
              <w:keepLines/>
              <w:tabs>
                <w:tab w:val="clear" w:pos="567"/>
              </w:tabs>
              <w:spacing w:before="0" w:line="240" w:lineRule="auto"/>
              <w:jc w:val="right"/>
              <w:rPr>
                <w:rFonts w:ascii="Open Sans Semibold" w:eastAsia="Times New Roman" w:hAnsi="Open Sans Semibold" w:cs="Open Sans Semibold"/>
                <w:color w:val="000000"/>
                <w:sz w:val="16"/>
                <w:szCs w:val="16"/>
                <w:highlight w:val="yellow"/>
                <w:lang w:eastAsia="en-AU"/>
              </w:rPr>
            </w:pPr>
            <w:r>
              <w:rPr>
                <w:rFonts w:ascii="Open Sans Semibold" w:hAnsi="Open Sans Semibold" w:cs="Open Sans Semibold"/>
                <w:color w:val="000000"/>
                <w:sz w:val="16"/>
                <w:szCs w:val="16"/>
              </w:rPr>
              <w:t>1</w:t>
            </w:r>
          </w:p>
        </w:tc>
        <w:tc>
          <w:tcPr>
            <w:tcW w:w="512" w:type="dxa"/>
            <w:tcBorders>
              <w:top w:val="single" w:sz="4" w:space="0" w:color="ADD6EA"/>
              <w:left w:val="nil"/>
              <w:bottom w:val="nil"/>
              <w:right w:val="nil"/>
            </w:tcBorders>
            <w:shd w:val="clear" w:color="000000" w:fill="FFFFFF"/>
            <w:vAlign w:val="bottom"/>
            <w:hideMark/>
          </w:tcPr>
          <w:p w14:paraId="676C33AF" w14:textId="0A1967EB" w:rsidR="002D74E2" w:rsidRPr="008246C1" w:rsidRDefault="002D74E2" w:rsidP="002D74E2">
            <w:pPr>
              <w:keepNext/>
              <w:keepLines/>
              <w:tabs>
                <w:tab w:val="clear" w:pos="567"/>
              </w:tabs>
              <w:spacing w:before="0" w:line="240" w:lineRule="auto"/>
              <w:jc w:val="right"/>
              <w:rPr>
                <w:rFonts w:ascii="Open Sans Semibold" w:eastAsia="Times New Roman" w:hAnsi="Open Sans Semibold" w:cs="Open Sans Semibold"/>
                <w:color w:val="000000"/>
                <w:sz w:val="16"/>
                <w:szCs w:val="16"/>
                <w:highlight w:val="yellow"/>
                <w:lang w:eastAsia="en-AU"/>
              </w:rPr>
            </w:pPr>
            <w:r>
              <w:rPr>
                <w:rFonts w:ascii="Open Sans Semibold" w:hAnsi="Open Sans Semibold" w:cs="Open Sans Semibold"/>
                <w:color w:val="000000"/>
                <w:sz w:val="16"/>
                <w:szCs w:val="16"/>
              </w:rPr>
              <w:t>-56</w:t>
            </w:r>
          </w:p>
        </w:tc>
        <w:tc>
          <w:tcPr>
            <w:tcW w:w="720" w:type="dxa"/>
            <w:tcBorders>
              <w:top w:val="single" w:sz="4" w:space="0" w:color="ADD6EA"/>
              <w:left w:val="nil"/>
              <w:bottom w:val="nil"/>
              <w:right w:val="nil"/>
            </w:tcBorders>
            <w:shd w:val="clear" w:color="000000" w:fill="FFFFFF"/>
            <w:vAlign w:val="bottom"/>
            <w:hideMark/>
          </w:tcPr>
          <w:p w14:paraId="3D07AB33" w14:textId="207675B2" w:rsidR="002D74E2" w:rsidRPr="008246C1" w:rsidRDefault="002D74E2" w:rsidP="002D74E2">
            <w:pPr>
              <w:keepNext/>
              <w:keepLines/>
              <w:tabs>
                <w:tab w:val="clear" w:pos="567"/>
              </w:tabs>
              <w:spacing w:before="0" w:line="240" w:lineRule="auto"/>
              <w:jc w:val="right"/>
              <w:rPr>
                <w:rFonts w:ascii="Open Sans Semibold" w:eastAsia="Times New Roman" w:hAnsi="Open Sans Semibold" w:cs="Open Sans Semibold"/>
                <w:color w:val="000000"/>
                <w:sz w:val="16"/>
                <w:szCs w:val="16"/>
                <w:highlight w:val="yellow"/>
                <w:lang w:eastAsia="en-AU"/>
              </w:rPr>
            </w:pPr>
            <w:r>
              <w:rPr>
                <w:rFonts w:ascii="Open Sans Semibold" w:hAnsi="Open Sans Semibold" w:cs="Open Sans Semibold"/>
                <w:color w:val="000000"/>
                <w:sz w:val="16"/>
                <w:szCs w:val="16"/>
              </w:rPr>
              <w:t>1</w:t>
            </w:r>
          </w:p>
        </w:tc>
      </w:tr>
      <w:tr w:rsidR="002D74E2" w:rsidRPr="00C37C1D" w14:paraId="6411D976" w14:textId="77777777" w:rsidTr="00B06022">
        <w:trPr>
          <w:trHeight w:val="318"/>
        </w:trPr>
        <w:tc>
          <w:tcPr>
            <w:tcW w:w="3402" w:type="dxa"/>
            <w:tcBorders>
              <w:top w:val="single" w:sz="4" w:space="0" w:color="ADD6EA"/>
              <w:left w:val="nil"/>
              <w:bottom w:val="nil"/>
              <w:right w:val="nil"/>
            </w:tcBorders>
            <w:shd w:val="clear" w:color="000000" w:fill="FFFFFF"/>
            <w:vAlign w:val="bottom"/>
            <w:hideMark/>
          </w:tcPr>
          <w:p w14:paraId="227FB39C" w14:textId="77777777" w:rsidR="002D74E2" w:rsidRPr="00C37C1D" w:rsidRDefault="002D74E2" w:rsidP="002D74E2">
            <w:pPr>
              <w:keepNext/>
              <w:keepLines/>
              <w:tabs>
                <w:tab w:val="clear" w:pos="567"/>
              </w:tabs>
              <w:spacing w:before="0" w:line="240" w:lineRule="auto"/>
              <w:rPr>
                <w:rFonts w:eastAsia="Times New Roman" w:cs="Open Sans Light"/>
                <w:color w:val="000000"/>
                <w:sz w:val="16"/>
                <w:szCs w:val="16"/>
                <w:lang w:eastAsia="en-AU"/>
              </w:rPr>
            </w:pPr>
            <w:r w:rsidRPr="00C37C1D">
              <w:rPr>
                <w:rFonts w:eastAsia="Times New Roman" w:cs="Open Sans Light"/>
                <w:color w:val="000000"/>
                <w:sz w:val="16"/>
                <w:szCs w:val="16"/>
                <w:lang w:eastAsia="en-AU"/>
              </w:rPr>
              <w:t>New non-stated method</w:t>
            </w:r>
          </w:p>
        </w:tc>
        <w:tc>
          <w:tcPr>
            <w:tcW w:w="615" w:type="dxa"/>
            <w:tcBorders>
              <w:top w:val="single" w:sz="4" w:space="0" w:color="ADD6EA"/>
              <w:left w:val="nil"/>
              <w:bottom w:val="nil"/>
              <w:right w:val="nil"/>
            </w:tcBorders>
            <w:shd w:val="clear" w:color="000000" w:fill="FFFFFF"/>
            <w:vAlign w:val="bottom"/>
            <w:hideMark/>
          </w:tcPr>
          <w:p w14:paraId="181A3D18" w14:textId="0FCBD3AE" w:rsidR="002D74E2" w:rsidRPr="008246C1" w:rsidRDefault="002D74E2" w:rsidP="002D74E2">
            <w:pPr>
              <w:keepNext/>
              <w:keepLines/>
              <w:tabs>
                <w:tab w:val="clear" w:pos="567"/>
              </w:tabs>
              <w:spacing w:before="0" w:line="240" w:lineRule="auto"/>
              <w:jc w:val="right"/>
              <w:rPr>
                <w:rFonts w:eastAsia="Times New Roman" w:cs="Open Sans Light"/>
                <w:color w:val="000000"/>
                <w:sz w:val="16"/>
                <w:szCs w:val="16"/>
                <w:highlight w:val="yellow"/>
                <w:lang w:eastAsia="en-AU"/>
              </w:rPr>
            </w:pPr>
            <w:r>
              <w:rPr>
                <w:rFonts w:cs="Open Sans Light"/>
                <w:color w:val="000000"/>
                <w:sz w:val="16"/>
                <w:szCs w:val="16"/>
              </w:rPr>
              <w:t>0</w:t>
            </w:r>
          </w:p>
        </w:tc>
        <w:tc>
          <w:tcPr>
            <w:tcW w:w="616" w:type="dxa"/>
            <w:tcBorders>
              <w:top w:val="single" w:sz="4" w:space="0" w:color="ADD6EA"/>
              <w:left w:val="nil"/>
              <w:bottom w:val="nil"/>
              <w:right w:val="nil"/>
            </w:tcBorders>
            <w:shd w:val="clear" w:color="000000" w:fill="FFFFFF"/>
            <w:vAlign w:val="bottom"/>
            <w:hideMark/>
          </w:tcPr>
          <w:p w14:paraId="41A677E4" w14:textId="0A763356" w:rsidR="002D74E2" w:rsidRPr="008246C1" w:rsidRDefault="002D74E2" w:rsidP="002D74E2">
            <w:pPr>
              <w:keepNext/>
              <w:keepLines/>
              <w:tabs>
                <w:tab w:val="clear" w:pos="567"/>
              </w:tabs>
              <w:spacing w:before="0" w:line="240" w:lineRule="auto"/>
              <w:jc w:val="right"/>
              <w:rPr>
                <w:rFonts w:eastAsia="Times New Roman" w:cs="Open Sans Light"/>
                <w:color w:val="000000"/>
                <w:sz w:val="16"/>
                <w:szCs w:val="16"/>
                <w:highlight w:val="yellow"/>
                <w:lang w:eastAsia="en-AU"/>
              </w:rPr>
            </w:pPr>
            <w:r>
              <w:rPr>
                <w:rFonts w:cs="Open Sans Light"/>
                <w:color w:val="000000"/>
                <w:sz w:val="16"/>
                <w:szCs w:val="16"/>
              </w:rPr>
              <w:t>-2</w:t>
            </w:r>
          </w:p>
        </w:tc>
        <w:tc>
          <w:tcPr>
            <w:tcW w:w="615" w:type="dxa"/>
            <w:tcBorders>
              <w:top w:val="single" w:sz="4" w:space="0" w:color="ADD6EA"/>
              <w:left w:val="nil"/>
              <w:bottom w:val="nil"/>
              <w:right w:val="nil"/>
            </w:tcBorders>
            <w:shd w:val="clear" w:color="000000" w:fill="FFFFFF"/>
            <w:vAlign w:val="bottom"/>
            <w:hideMark/>
          </w:tcPr>
          <w:p w14:paraId="2A524C2F" w14:textId="452D4489" w:rsidR="002D74E2" w:rsidRPr="008246C1" w:rsidRDefault="002D74E2" w:rsidP="002D74E2">
            <w:pPr>
              <w:keepNext/>
              <w:keepLines/>
              <w:tabs>
                <w:tab w:val="clear" w:pos="567"/>
              </w:tabs>
              <w:spacing w:before="0" w:line="240" w:lineRule="auto"/>
              <w:jc w:val="right"/>
              <w:rPr>
                <w:rFonts w:eastAsia="Times New Roman" w:cs="Open Sans Light"/>
                <w:color w:val="000000"/>
                <w:sz w:val="16"/>
                <w:szCs w:val="16"/>
                <w:highlight w:val="yellow"/>
                <w:lang w:eastAsia="en-AU"/>
              </w:rPr>
            </w:pPr>
            <w:r>
              <w:rPr>
                <w:rFonts w:cs="Open Sans Light"/>
                <w:color w:val="000000"/>
                <w:sz w:val="16"/>
                <w:szCs w:val="16"/>
              </w:rPr>
              <w:t>1</w:t>
            </w:r>
          </w:p>
        </w:tc>
        <w:tc>
          <w:tcPr>
            <w:tcW w:w="616" w:type="dxa"/>
            <w:tcBorders>
              <w:top w:val="single" w:sz="4" w:space="0" w:color="ADD6EA"/>
              <w:left w:val="nil"/>
              <w:bottom w:val="nil"/>
              <w:right w:val="nil"/>
            </w:tcBorders>
            <w:shd w:val="clear" w:color="000000" w:fill="FFFFFF"/>
            <w:vAlign w:val="bottom"/>
            <w:hideMark/>
          </w:tcPr>
          <w:p w14:paraId="32415F32" w14:textId="6309CC1A" w:rsidR="002D74E2" w:rsidRPr="008246C1" w:rsidRDefault="002D74E2" w:rsidP="002D74E2">
            <w:pPr>
              <w:keepNext/>
              <w:keepLines/>
              <w:tabs>
                <w:tab w:val="clear" w:pos="567"/>
              </w:tabs>
              <w:spacing w:before="0" w:line="240" w:lineRule="auto"/>
              <w:jc w:val="right"/>
              <w:rPr>
                <w:rFonts w:eastAsia="Times New Roman" w:cs="Open Sans Light"/>
                <w:color w:val="000000"/>
                <w:sz w:val="16"/>
                <w:szCs w:val="16"/>
                <w:highlight w:val="yellow"/>
                <w:lang w:eastAsia="en-AU"/>
              </w:rPr>
            </w:pPr>
            <w:r>
              <w:rPr>
                <w:rFonts w:cs="Open Sans Light"/>
                <w:color w:val="000000"/>
                <w:sz w:val="16"/>
                <w:szCs w:val="16"/>
              </w:rPr>
              <w:t>0</w:t>
            </w:r>
          </w:p>
        </w:tc>
        <w:tc>
          <w:tcPr>
            <w:tcW w:w="615" w:type="dxa"/>
            <w:tcBorders>
              <w:top w:val="single" w:sz="4" w:space="0" w:color="ADD6EA"/>
              <w:left w:val="nil"/>
              <w:bottom w:val="nil"/>
              <w:right w:val="nil"/>
            </w:tcBorders>
            <w:shd w:val="clear" w:color="000000" w:fill="FFFFFF"/>
            <w:vAlign w:val="bottom"/>
            <w:hideMark/>
          </w:tcPr>
          <w:p w14:paraId="10EDDCE1" w14:textId="1EB1D2BF" w:rsidR="002D74E2" w:rsidRPr="008246C1" w:rsidRDefault="002D74E2" w:rsidP="002D74E2">
            <w:pPr>
              <w:keepNext/>
              <w:keepLines/>
              <w:tabs>
                <w:tab w:val="clear" w:pos="567"/>
              </w:tabs>
              <w:spacing w:before="0" w:line="240" w:lineRule="auto"/>
              <w:jc w:val="right"/>
              <w:rPr>
                <w:rFonts w:eastAsia="Times New Roman" w:cs="Open Sans Light"/>
                <w:color w:val="000000"/>
                <w:sz w:val="16"/>
                <w:szCs w:val="16"/>
                <w:highlight w:val="yellow"/>
                <w:lang w:eastAsia="en-AU"/>
              </w:rPr>
            </w:pPr>
            <w:r>
              <w:rPr>
                <w:rFonts w:cs="Open Sans Light"/>
                <w:color w:val="000000"/>
                <w:sz w:val="16"/>
                <w:szCs w:val="16"/>
              </w:rPr>
              <w:t>-1</w:t>
            </w:r>
          </w:p>
        </w:tc>
        <w:tc>
          <w:tcPr>
            <w:tcW w:w="616" w:type="dxa"/>
            <w:tcBorders>
              <w:top w:val="single" w:sz="4" w:space="0" w:color="ADD6EA"/>
              <w:left w:val="nil"/>
              <w:bottom w:val="nil"/>
              <w:right w:val="nil"/>
            </w:tcBorders>
            <w:shd w:val="clear" w:color="000000" w:fill="FFFFFF"/>
            <w:vAlign w:val="bottom"/>
            <w:hideMark/>
          </w:tcPr>
          <w:p w14:paraId="103F63CE" w14:textId="2C9CC998" w:rsidR="002D74E2" w:rsidRPr="008246C1" w:rsidRDefault="002D74E2" w:rsidP="002D74E2">
            <w:pPr>
              <w:keepNext/>
              <w:keepLines/>
              <w:tabs>
                <w:tab w:val="clear" w:pos="567"/>
              </w:tabs>
              <w:spacing w:before="0" w:line="240" w:lineRule="auto"/>
              <w:jc w:val="right"/>
              <w:rPr>
                <w:rFonts w:eastAsia="Times New Roman" w:cs="Open Sans Light"/>
                <w:color w:val="000000"/>
                <w:sz w:val="16"/>
                <w:szCs w:val="16"/>
                <w:highlight w:val="yellow"/>
                <w:lang w:eastAsia="en-AU"/>
              </w:rPr>
            </w:pPr>
            <w:r>
              <w:rPr>
                <w:rFonts w:cs="Open Sans Light"/>
                <w:color w:val="000000"/>
                <w:sz w:val="16"/>
                <w:szCs w:val="16"/>
              </w:rPr>
              <w:t>2</w:t>
            </w:r>
          </w:p>
        </w:tc>
        <w:tc>
          <w:tcPr>
            <w:tcW w:w="615" w:type="dxa"/>
            <w:tcBorders>
              <w:top w:val="single" w:sz="4" w:space="0" w:color="ADD6EA"/>
              <w:left w:val="nil"/>
              <w:bottom w:val="nil"/>
              <w:right w:val="nil"/>
            </w:tcBorders>
            <w:shd w:val="clear" w:color="000000" w:fill="FFFFFF"/>
            <w:vAlign w:val="bottom"/>
            <w:hideMark/>
          </w:tcPr>
          <w:p w14:paraId="6AE494EC" w14:textId="7DDE70B5" w:rsidR="002D74E2" w:rsidRPr="008246C1" w:rsidRDefault="002D74E2" w:rsidP="002D74E2">
            <w:pPr>
              <w:keepNext/>
              <w:keepLines/>
              <w:tabs>
                <w:tab w:val="clear" w:pos="567"/>
              </w:tabs>
              <w:spacing w:before="0" w:line="240" w:lineRule="auto"/>
              <w:jc w:val="right"/>
              <w:rPr>
                <w:rFonts w:eastAsia="Times New Roman" w:cs="Open Sans Light"/>
                <w:color w:val="000000"/>
                <w:sz w:val="16"/>
                <w:szCs w:val="16"/>
                <w:highlight w:val="yellow"/>
                <w:lang w:eastAsia="en-AU"/>
              </w:rPr>
            </w:pPr>
            <w:r>
              <w:rPr>
                <w:rFonts w:cs="Open Sans Light"/>
                <w:color w:val="000000"/>
                <w:sz w:val="16"/>
                <w:szCs w:val="16"/>
              </w:rPr>
              <w:t>-1</w:t>
            </w:r>
          </w:p>
        </w:tc>
        <w:tc>
          <w:tcPr>
            <w:tcW w:w="512" w:type="dxa"/>
            <w:tcBorders>
              <w:top w:val="single" w:sz="4" w:space="0" w:color="ADD6EA"/>
              <w:left w:val="nil"/>
              <w:bottom w:val="nil"/>
              <w:right w:val="nil"/>
            </w:tcBorders>
            <w:shd w:val="clear" w:color="000000" w:fill="FFFFFF"/>
            <w:vAlign w:val="bottom"/>
            <w:hideMark/>
          </w:tcPr>
          <w:p w14:paraId="5E321FB0" w14:textId="07649665" w:rsidR="002D74E2" w:rsidRPr="008246C1" w:rsidRDefault="002D74E2" w:rsidP="002D74E2">
            <w:pPr>
              <w:keepNext/>
              <w:keepLines/>
              <w:tabs>
                <w:tab w:val="clear" w:pos="567"/>
              </w:tabs>
              <w:spacing w:before="0" w:line="240" w:lineRule="auto"/>
              <w:jc w:val="right"/>
              <w:rPr>
                <w:rFonts w:eastAsia="Times New Roman" w:cs="Open Sans Light"/>
                <w:color w:val="000000"/>
                <w:sz w:val="16"/>
                <w:szCs w:val="16"/>
                <w:highlight w:val="yellow"/>
                <w:lang w:eastAsia="en-AU"/>
              </w:rPr>
            </w:pPr>
            <w:r>
              <w:rPr>
                <w:rFonts w:cs="Open Sans Light"/>
                <w:color w:val="000000"/>
                <w:sz w:val="16"/>
                <w:szCs w:val="16"/>
              </w:rPr>
              <w:t>10</w:t>
            </w:r>
          </w:p>
        </w:tc>
        <w:tc>
          <w:tcPr>
            <w:tcW w:w="720" w:type="dxa"/>
            <w:tcBorders>
              <w:top w:val="single" w:sz="4" w:space="0" w:color="ADD6EA"/>
              <w:left w:val="nil"/>
              <w:bottom w:val="nil"/>
              <w:right w:val="nil"/>
            </w:tcBorders>
            <w:shd w:val="clear" w:color="000000" w:fill="FFFFFF"/>
            <w:vAlign w:val="bottom"/>
            <w:hideMark/>
          </w:tcPr>
          <w:p w14:paraId="43F689D0" w14:textId="12639382" w:rsidR="002D74E2" w:rsidRPr="008246C1" w:rsidRDefault="002D74E2" w:rsidP="002D74E2">
            <w:pPr>
              <w:keepNext/>
              <w:keepLines/>
              <w:tabs>
                <w:tab w:val="clear" w:pos="567"/>
              </w:tabs>
              <w:spacing w:before="0" w:line="240" w:lineRule="auto"/>
              <w:jc w:val="right"/>
              <w:rPr>
                <w:rFonts w:eastAsia="Times New Roman" w:cs="Open Sans Light"/>
                <w:color w:val="000000"/>
                <w:sz w:val="16"/>
                <w:szCs w:val="16"/>
                <w:highlight w:val="yellow"/>
                <w:lang w:eastAsia="en-AU"/>
              </w:rPr>
            </w:pPr>
            <w:r>
              <w:rPr>
                <w:rFonts w:cs="Open Sans Light"/>
                <w:color w:val="000000"/>
                <w:sz w:val="16"/>
                <w:szCs w:val="16"/>
              </w:rPr>
              <w:t>0</w:t>
            </w:r>
          </w:p>
        </w:tc>
      </w:tr>
      <w:tr w:rsidR="002D74E2" w:rsidRPr="00C37C1D" w14:paraId="5B016202" w14:textId="77777777" w:rsidTr="00B06022">
        <w:trPr>
          <w:trHeight w:val="318"/>
        </w:trPr>
        <w:tc>
          <w:tcPr>
            <w:tcW w:w="3402" w:type="dxa"/>
            <w:tcBorders>
              <w:top w:val="single" w:sz="4" w:space="0" w:color="ADD6EA"/>
              <w:left w:val="nil"/>
              <w:bottom w:val="nil"/>
              <w:right w:val="nil"/>
            </w:tcBorders>
            <w:shd w:val="clear" w:color="000000" w:fill="FFFFFF"/>
            <w:vAlign w:val="bottom"/>
            <w:hideMark/>
          </w:tcPr>
          <w:p w14:paraId="1BD06919" w14:textId="77777777" w:rsidR="002D74E2" w:rsidRPr="00C37C1D" w:rsidRDefault="002D74E2" w:rsidP="002D74E2">
            <w:pPr>
              <w:keepNext/>
              <w:keepLines/>
              <w:tabs>
                <w:tab w:val="clear" w:pos="567"/>
              </w:tabs>
              <w:spacing w:before="0" w:line="240" w:lineRule="auto"/>
              <w:rPr>
                <w:rFonts w:eastAsia="Times New Roman" w:cs="Open Sans Light"/>
                <w:color w:val="000000"/>
                <w:sz w:val="16"/>
                <w:szCs w:val="16"/>
                <w:lang w:eastAsia="en-AU"/>
              </w:rPr>
            </w:pPr>
            <w:r w:rsidRPr="00C37C1D">
              <w:rPr>
                <w:rFonts w:eastAsia="Times New Roman" w:cs="Open Sans Light"/>
                <w:color w:val="000000"/>
                <w:sz w:val="16"/>
                <w:szCs w:val="16"/>
                <w:lang w:eastAsia="en-AU"/>
              </w:rPr>
              <w:t>Removing regional costs in criminal courts</w:t>
            </w:r>
          </w:p>
        </w:tc>
        <w:tc>
          <w:tcPr>
            <w:tcW w:w="615" w:type="dxa"/>
            <w:tcBorders>
              <w:top w:val="single" w:sz="4" w:space="0" w:color="ADD6EA"/>
              <w:left w:val="nil"/>
              <w:bottom w:val="nil"/>
              <w:right w:val="nil"/>
            </w:tcBorders>
            <w:shd w:val="clear" w:color="000000" w:fill="FFFFFF"/>
            <w:vAlign w:val="bottom"/>
            <w:hideMark/>
          </w:tcPr>
          <w:p w14:paraId="255CA6C5" w14:textId="608F6776" w:rsidR="002D74E2" w:rsidRPr="008246C1" w:rsidRDefault="002D74E2" w:rsidP="002D74E2">
            <w:pPr>
              <w:keepNext/>
              <w:keepLines/>
              <w:tabs>
                <w:tab w:val="clear" w:pos="567"/>
              </w:tabs>
              <w:spacing w:before="0" w:line="240" w:lineRule="auto"/>
              <w:jc w:val="right"/>
              <w:rPr>
                <w:rFonts w:eastAsia="Times New Roman" w:cs="Open Sans Light"/>
                <w:color w:val="000000"/>
                <w:sz w:val="16"/>
                <w:szCs w:val="16"/>
                <w:highlight w:val="yellow"/>
                <w:lang w:eastAsia="en-AU"/>
              </w:rPr>
            </w:pPr>
            <w:r>
              <w:rPr>
                <w:rFonts w:cs="Open Sans Light"/>
                <w:color w:val="000000"/>
                <w:sz w:val="16"/>
                <w:szCs w:val="16"/>
              </w:rPr>
              <w:t>2</w:t>
            </w:r>
          </w:p>
        </w:tc>
        <w:tc>
          <w:tcPr>
            <w:tcW w:w="616" w:type="dxa"/>
            <w:tcBorders>
              <w:top w:val="single" w:sz="4" w:space="0" w:color="ADD6EA"/>
              <w:left w:val="nil"/>
              <w:bottom w:val="nil"/>
              <w:right w:val="nil"/>
            </w:tcBorders>
            <w:shd w:val="clear" w:color="000000" w:fill="FFFFFF"/>
            <w:vAlign w:val="bottom"/>
            <w:hideMark/>
          </w:tcPr>
          <w:p w14:paraId="6E76A05E" w14:textId="09737181" w:rsidR="002D74E2" w:rsidRPr="008246C1" w:rsidRDefault="002D74E2" w:rsidP="002D74E2">
            <w:pPr>
              <w:keepNext/>
              <w:keepLines/>
              <w:tabs>
                <w:tab w:val="clear" w:pos="567"/>
              </w:tabs>
              <w:spacing w:before="0" w:line="240" w:lineRule="auto"/>
              <w:jc w:val="right"/>
              <w:rPr>
                <w:rFonts w:eastAsia="Times New Roman" w:cs="Open Sans Light"/>
                <w:color w:val="000000"/>
                <w:sz w:val="16"/>
                <w:szCs w:val="16"/>
                <w:highlight w:val="yellow"/>
                <w:lang w:eastAsia="en-AU"/>
              </w:rPr>
            </w:pPr>
            <w:r>
              <w:rPr>
                <w:rFonts w:cs="Open Sans Light"/>
                <w:color w:val="000000"/>
                <w:sz w:val="16"/>
                <w:szCs w:val="16"/>
              </w:rPr>
              <w:t>1</w:t>
            </w:r>
          </w:p>
        </w:tc>
        <w:tc>
          <w:tcPr>
            <w:tcW w:w="615" w:type="dxa"/>
            <w:tcBorders>
              <w:top w:val="single" w:sz="4" w:space="0" w:color="ADD6EA"/>
              <w:left w:val="nil"/>
              <w:bottom w:val="nil"/>
              <w:right w:val="nil"/>
            </w:tcBorders>
            <w:shd w:val="clear" w:color="000000" w:fill="FFFFFF"/>
            <w:vAlign w:val="bottom"/>
            <w:hideMark/>
          </w:tcPr>
          <w:p w14:paraId="57F316F4" w14:textId="2A03930A" w:rsidR="002D74E2" w:rsidRPr="008246C1" w:rsidRDefault="002D74E2" w:rsidP="002D74E2">
            <w:pPr>
              <w:keepNext/>
              <w:keepLines/>
              <w:tabs>
                <w:tab w:val="clear" w:pos="567"/>
              </w:tabs>
              <w:spacing w:before="0" w:line="240" w:lineRule="auto"/>
              <w:jc w:val="right"/>
              <w:rPr>
                <w:rFonts w:eastAsia="Times New Roman" w:cs="Open Sans Light"/>
                <w:color w:val="000000"/>
                <w:sz w:val="16"/>
                <w:szCs w:val="16"/>
                <w:highlight w:val="yellow"/>
                <w:lang w:eastAsia="en-AU"/>
              </w:rPr>
            </w:pPr>
            <w:r>
              <w:rPr>
                <w:rFonts w:cs="Open Sans Light"/>
                <w:color w:val="000000"/>
                <w:sz w:val="16"/>
                <w:szCs w:val="16"/>
              </w:rPr>
              <w:t>0</w:t>
            </w:r>
          </w:p>
        </w:tc>
        <w:tc>
          <w:tcPr>
            <w:tcW w:w="616" w:type="dxa"/>
            <w:tcBorders>
              <w:top w:val="single" w:sz="4" w:space="0" w:color="ADD6EA"/>
              <w:left w:val="nil"/>
              <w:bottom w:val="nil"/>
              <w:right w:val="nil"/>
            </w:tcBorders>
            <w:shd w:val="clear" w:color="000000" w:fill="FFFFFF"/>
            <w:vAlign w:val="bottom"/>
            <w:hideMark/>
          </w:tcPr>
          <w:p w14:paraId="23C4828F" w14:textId="5D457A9C" w:rsidR="002D74E2" w:rsidRPr="008246C1" w:rsidRDefault="002D74E2" w:rsidP="002D74E2">
            <w:pPr>
              <w:keepNext/>
              <w:keepLines/>
              <w:tabs>
                <w:tab w:val="clear" w:pos="567"/>
              </w:tabs>
              <w:spacing w:before="0" w:line="240" w:lineRule="auto"/>
              <w:jc w:val="right"/>
              <w:rPr>
                <w:rFonts w:eastAsia="Times New Roman" w:cs="Open Sans Light"/>
                <w:color w:val="000000"/>
                <w:sz w:val="16"/>
                <w:szCs w:val="16"/>
                <w:highlight w:val="yellow"/>
                <w:lang w:eastAsia="en-AU"/>
              </w:rPr>
            </w:pPr>
            <w:r>
              <w:rPr>
                <w:rFonts w:cs="Open Sans Light"/>
                <w:color w:val="000000"/>
                <w:sz w:val="16"/>
                <w:szCs w:val="16"/>
              </w:rPr>
              <w:t>-3</w:t>
            </w:r>
          </w:p>
        </w:tc>
        <w:tc>
          <w:tcPr>
            <w:tcW w:w="615" w:type="dxa"/>
            <w:tcBorders>
              <w:top w:val="single" w:sz="4" w:space="0" w:color="ADD6EA"/>
              <w:left w:val="nil"/>
              <w:bottom w:val="nil"/>
              <w:right w:val="nil"/>
            </w:tcBorders>
            <w:shd w:val="clear" w:color="000000" w:fill="FFFFFF"/>
            <w:vAlign w:val="bottom"/>
            <w:hideMark/>
          </w:tcPr>
          <w:p w14:paraId="44D15B5A" w14:textId="690D9B03" w:rsidR="002D74E2" w:rsidRPr="008246C1" w:rsidRDefault="002D74E2" w:rsidP="002D74E2">
            <w:pPr>
              <w:keepNext/>
              <w:keepLines/>
              <w:tabs>
                <w:tab w:val="clear" w:pos="567"/>
              </w:tabs>
              <w:spacing w:before="0" w:line="240" w:lineRule="auto"/>
              <w:jc w:val="right"/>
              <w:rPr>
                <w:rFonts w:eastAsia="Times New Roman" w:cs="Open Sans Light"/>
                <w:color w:val="000000"/>
                <w:sz w:val="16"/>
                <w:szCs w:val="16"/>
                <w:highlight w:val="yellow"/>
                <w:lang w:eastAsia="en-AU"/>
              </w:rPr>
            </w:pPr>
            <w:r>
              <w:rPr>
                <w:rFonts w:cs="Open Sans Light"/>
                <w:color w:val="000000"/>
                <w:sz w:val="16"/>
                <w:szCs w:val="16"/>
              </w:rPr>
              <w:t>0</w:t>
            </w:r>
          </w:p>
        </w:tc>
        <w:tc>
          <w:tcPr>
            <w:tcW w:w="616" w:type="dxa"/>
            <w:tcBorders>
              <w:top w:val="single" w:sz="4" w:space="0" w:color="ADD6EA"/>
              <w:left w:val="nil"/>
              <w:bottom w:val="nil"/>
              <w:right w:val="nil"/>
            </w:tcBorders>
            <w:shd w:val="clear" w:color="000000" w:fill="FFFFFF"/>
            <w:vAlign w:val="bottom"/>
            <w:hideMark/>
          </w:tcPr>
          <w:p w14:paraId="2EAA5666" w14:textId="17CEE414" w:rsidR="002D74E2" w:rsidRPr="008246C1" w:rsidRDefault="002D74E2" w:rsidP="002D74E2">
            <w:pPr>
              <w:keepNext/>
              <w:keepLines/>
              <w:tabs>
                <w:tab w:val="clear" w:pos="567"/>
              </w:tabs>
              <w:spacing w:before="0" w:line="240" w:lineRule="auto"/>
              <w:jc w:val="right"/>
              <w:rPr>
                <w:rFonts w:eastAsia="Times New Roman" w:cs="Open Sans Light"/>
                <w:color w:val="000000"/>
                <w:sz w:val="16"/>
                <w:szCs w:val="16"/>
                <w:highlight w:val="yellow"/>
                <w:lang w:eastAsia="en-AU"/>
              </w:rPr>
            </w:pPr>
            <w:r>
              <w:rPr>
                <w:rFonts w:cs="Open Sans Light"/>
                <w:color w:val="000000"/>
                <w:sz w:val="16"/>
                <w:szCs w:val="16"/>
              </w:rPr>
              <w:t>1</w:t>
            </w:r>
          </w:p>
        </w:tc>
        <w:tc>
          <w:tcPr>
            <w:tcW w:w="615" w:type="dxa"/>
            <w:tcBorders>
              <w:top w:val="single" w:sz="4" w:space="0" w:color="ADD6EA"/>
              <w:left w:val="nil"/>
              <w:bottom w:val="nil"/>
              <w:right w:val="nil"/>
            </w:tcBorders>
            <w:shd w:val="clear" w:color="000000" w:fill="FFFFFF"/>
            <w:vAlign w:val="bottom"/>
            <w:hideMark/>
          </w:tcPr>
          <w:p w14:paraId="57C16490" w14:textId="5332D47C" w:rsidR="002D74E2" w:rsidRPr="008246C1" w:rsidRDefault="002D74E2" w:rsidP="002D74E2">
            <w:pPr>
              <w:keepNext/>
              <w:keepLines/>
              <w:tabs>
                <w:tab w:val="clear" w:pos="567"/>
              </w:tabs>
              <w:spacing w:before="0" w:line="240" w:lineRule="auto"/>
              <w:jc w:val="right"/>
              <w:rPr>
                <w:rFonts w:eastAsia="Times New Roman" w:cs="Open Sans Light"/>
                <w:color w:val="000000"/>
                <w:sz w:val="16"/>
                <w:szCs w:val="16"/>
                <w:highlight w:val="yellow"/>
                <w:lang w:eastAsia="en-AU"/>
              </w:rPr>
            </w:pPr>
            <w:r>
              <w:rPr>
                <w:rFonts w:cs="Open Sans Light"/>
                <w:color w:val="000000"/>
                <w:sz w:val="16"/>
                <w:szCs w:val="16"/>
              </w:rPr>
              <w:t>1</w:t>
            </w:r>
          </w:p>
        </w:tc>
        <w:tc>
          <w:tcPr>
            <w:tcW w:w="512" w:type="dxa"/>
            <w:tcBorders>
              <w:top w:val="single" w:sz="4" w:space="0" w:color="ADD6EA"/>
              <w:left w:val="nil"/>
              <w:bottom w:val="nil"/>
              <w:right w:val="nil"/>
            </w:tcBorders>
            <w:shd w:val="clear" w:color="000000" w:fill="FFFFFF"/>
            <w:vAlign w:val="bottom"/>
            <w:hideMark/>
          </w:tcPr>
          <w:p w14:paraId="313BDC87" w14:textId="24DBC5D4" w:rsidR="002D74E2" w:rsidRPr="008246C1" w:rsidRDefault="002D74E2" w:rsidP="002D74E2">
            <w:pPr>
              <w:keepNext/>
              <w:keepLines/>
              <w:tabs>
                <w:tab w:val="clear" w:pos="567"/>
              </w:tabs>
              <w:spacing w:before="0" w:line="240" w:lineRule="auto"/>
              <w:jc w:val="right"/>
              <w:rPr>
                <w:rFonts w:eastAsia="Times New Roman" w:cs="Open Sans Light"/>
                <w:color w:val="000000"/>
                <w:sz w:val="16"/>
                <w:szCs w:val="16"/>
                <w:highlight w:val="yellow"/>
                <w:lang w:eastAsia="en-AU"/>
              </w:rPr>
            </w:pPr>
            <w:r>
              <w:rPr>
                <w:rFonts w:cs="Open Sans Light"/>
                <w:color w:val="000000"/>
                <w:sz w:val="16"/>
                <w:szCs w:val="16"/>
              </w:rPr>
              <w:t>-63</w:t>
            </w:r>
          </w:p>
        </w:tc>
        <w:tc>
          <w:tcPr>
            <w:tcW w:w="720" w:type="dxa"/>
            <w:tcBorders>
              <w:top w:val="single" w:sz="4" w:space="0" w:color="ADD6EA"/>
              <w:left w:val="nil"/>
              <w:bottom w:val="nil"/>
              <w:right w:val="nil"/>
            </w:tcBorders>
            <w:shd w:val="clear" w:color="000000" w:fill="FFFFFF"/>
            <w:vAlign w:val="bottom"/>
            <w:hideMark/>
          </w:tcPr>
          <w:p w14:paraId="6087F651" w14:textId="4432091D" w:rsidR="002D74E2" w:rsidRPr="008246C1" w:rsidRDefault="002D74E2" w:rsidP="002D74E2">
            <w:pPr>
              <w:keepNext/>
              <w:keepLines/>
              <w:tabs>
                <w:tab w:val="clear" w:pos="567"/>
              </w:tabs>
              <w:spacing w:before="0" w:line="240" w:lineRule="auto"/>
              <w:jc w:val="right"/>
              <w:rPr>
                <w:rFonts w:eastAsia="Times New Roman" w:cs="Open Sans Light"/>
                <w:color w:val="000000"/>
                <w:sz w:val="16"/>
                <w:szCs w:val="16"/>
                <w:highlight w:val="yellow"/>
                <w:lang w:eastAsia="en-AU"/>
              </w:rPr>
            </w:pPr>
            <w:r>
              <w:rPr>
                <w:rFonts w:cs="Open Sans Light"/>
                <w:color w:val="000000"/>
                <w:sz w:val="16"/>
                <w:szCs w:val="16"/>
              </w:rPr>
              <w:t>1</w:t>
            </w:r>
          </w:p>
        </w:tc>
      </w:tr>
      <w:tr w:rsidR="002D74E2" w:rsidRPr="00C37C1D" w14:paraId="740B4094" w14:textId="77777777" w:rsidTr="00B06022">
        <w:trPr>
          <w:trHeight w:val="318"/>
        </w:trPr>
        <w:tc>
          <w:tcPr>
            <w:tcW w:w="3402" w:type="dxa"/>
            <w:tcBorders>
              <w:top w:val="single" w:sz="4" w:space="0" w:color="ADD6EA"/>
              <w:left w:val="nil"/>
              <w:bottom w:val="nil"/>
              <w:right w:val="nil"/>
            </w:tcBorders>
            <w:shd w:val="clear" w:color="000000" w:fill="FFFFFF"/>
            <w:vAlign w:val="bottom"/>
            <w:hideMark/>
          </w:tcPr>
          <w:p w14:paraId="5F19C5BC" w14:textId="77777777" w:rsidR="002D74E2" w:rsidRPr="00C37C1D" w:rsidRDefault="002D74E2" w:rsidP="002D74E2">
            <w:pPr>
              <w:keepNext/>
              <w:keepLines/>
              <w:tabs>
                <w:tab w:val="clear" w:pos="567"/>
              </w:tabs>
              <w:spacing w:before="0" w:line="240" w:lineRule="auto"/>
              <w:rPr>
                <w:rFonts w:eastAsia="Times New Roman" w:cs="Open Sans Light"/>
                <w:color w:val="000000"/>
                <w:sz w:val="16"/>
                <w:szCs w:val="16"/>
                <w:lang w:eastAsia="en-AU"/>
              </w:rPr>
            </w:pPr>
            <w:r w:rsidRPr="00C37C1D">
              <w:rPr>
                <w:rFonts w:eastAsia="Times New Roman" w:cs="Open Sans Light"/>
                <w:color w:val="000000"/>
                <w:sz w:val="16"/>
                <w:szCs w:val="16"/>
                <w:lang w:eastAsia="en-AU"/>
              </w:rPr>
              <w:t>Removing regional costs in OLS</w:t>
            </w:r>
            <w:r>
              <w:rPr>
                <w:rFonts w:eastAsia="Times New Roman" w:cs="Open Sans Light"/>
                <w:color w:val="000000"/>
                <w:sz w:val="16"/>
                <w:szCs w:val="16"/>
                <w:lang w:eastAsia="en-AU"/>
              </w:rPr>
              <w:t xml:space="preserve"> (a)</w:t>
            </w:r>
          </w:p>
        </w:tc>
        <w:tc>
          <w:tcPr>
            <w:tcW w:w="615" w:type="dxa"/>
            <w:tcBorders>
              <w:top w:val="single" w:sz="4" w:space="0" w:color="ADD6EA"/>
              <w:left w:val="nil"/>
              <w:bottom w:val="nil"/>
              <w:right w:val="nil"/>
            </w:tcBorders>
            <w:shd w:val="clear" w:color="000000" w:fill="FFFFFF"/>
            <w:vAlign w:val="bottom"/>
            <w:hideMark/>
          </w:tcPr>
          <w:p w14:paraId="7AC3A36C" w14:textId="2ED18546" w:rsidR="002D74E2" w:rsidRPr="008246C1" w:rsidRDefault="002D74E2" w:rsidP="002D74E2">
            <w:pPr>
              <w:keepNext/>
              <w:keepLines/>
              <w:tabs>
                <w:tab w:val="clear" w:pos="567"/>
              </w:tabs>
              <w:spacing w:before="0" w:line="240" w:lineRule="auto"/>
              <w:jc w:val="right"/>
              <w:rPr>
                <w:rFonts w:eastAsia="Times New Roman" w:cs="Open Sans Light"/>
                <w:color w:val="000000"/>
                <w:sz w:val="16"/>
                <w:szCs w:val="16"/>
                <w:highlight w:val="yellow"/>
                <w:lang w:eastAsia="en-AU"/>
              </w:rPr>
            </w:pPr>
            <w:r>
              <w:rPr>
                <w:rFonts w:cs="Open Sans Light"/>
                <w:color w:val="000000"/>
                <w:sz w:val="16"/>
                <w:szCs w:val="16"/>
              </w:rPr>
              <w:t>0</w:t>
            </w:r>
          </w:p>
        </w:tc>
        <w:tc>
          <w:tcPr>
            <w:tcW w:w="616" w:type="dxa"/>
            <w:tcBorders>
              <w:top w:val="single" w:sz="4" w:space="0" w:color="ADD6EA"/>
              <w:left w:val="nil"/>
              <w:bottom w:val="nil"/>
              <w:right w:val="nil"/>
            </w:tcBorders>
            <w:shd w:val="clear" w:color="000000" w:fill="FFFFFF"/>
            <w:vAlign w:val="bottom"/>
            <w:hideMark/>
          </w:tcPr>
          <w:p w14:paraId="3E61562D" w14:textId="1661EE6A" w:rsidR="002D74E2" w:rsidRPr="008246C1" w:rsidRDefault="002D74E2" w:rsidP="002D74E2">
            <w:pPr>
              <w:keepNext/>
              <w:keepLines/>
              <w:tabs>
                <w:tab w:val="clear" w:pos="567"/>
              </w:tabs>
              <w:spacing w:before="0" w:line="240" w:lineRule="auto"/>
              <w:jc w:val="right"/>
              <w:rPr>
                <w:rFonts w:eastAsia="Times New Roman" w:cs="Open Sans Light"/>
                <w:color w:val="000000"/>
                <w:sz w:val="16"/>
                <w:szCs w:val="16"/>
                <w:highlight w:val="yellow"/>
                <w:lang w:eastAsia="en-AU"/>
              </w:rPr>
            </w:pPr>
            <w:r>
              <w:rPr>
                <w:rFonts w:cs="Open Sans Light"/>
                <w:color w:val="000000"/>
                <w:sz w:val="16"/>
                <w:szCs w:val="16"/>
              </w:rPr>
              <w:t>0</w:t>
            </w:r>
          </w:p>
        </w:tc>
        <w:tc>
          <w:tcPr>
            <w:tcW w:w="615" w:type="dxa"/>
            <w:tcBorders>
              <w:top w:val="single" w:sz="4" w:space="0" w:color="ADD6EA"/>
              <w:left w:val="nil"/>
              <w:bottom w:val="nil"/>
              <w:right w:val="nil"/>
            </w:tcBorders>
            <w:shd w:val="clear" w:color="000000" w:fill="FFFFFF"/>
            <w:vAlign w:val="bottom"/>
            <w:hideMark/>
          </w:tcPr>
          <w:p w14:paraId="3733E493" w14:textId="249D1099" w:rsidR="002D74E2" w:rsidRPr="008246C1" w:rsidRDefault="002D74E2" w:rsidP="002D74E2">
            <w:pPr>
              <w:keepNext/>
              <w:keepLines/>
              <w:tabs>
                <w:tab w:val="clear" w:pos="567"/>
              </w:tabs>
              <w:spacing w:before="0" w:line="240" w:lineRule="auto"/>
              <w:jc w:val="right"/>
              <w:rPr>
                <w:rFonts w:eastAsia="Times New Roman" w:cs="Open Sans Light"/>
                <w:color w:val="000000"/>
                <w:sz w:val="16"/>
                <w:szCs w:val="16"/>
                <w:highlight w:val="yellow"/>
                <w:lang w:eastAsia="en-AU"/>
              </w:rPr>
            </w:pPr>
            <w:r>
              <w:rPr>
                <w:rFonts w:cs="Open Sans Light"/>
                <w:color w:val="000000"/>
                <w:sz w:val="16"/>
                <w:szCs w:val="16"/>
              </w:rPr>
              <w:t>0</w:t>
            </w:r>
          </w:p>
        </w:tc>
        <w:tc>
          <w:tcPr>
            <w:tcW w:w="616" w:type="dxa"/>
            <w:tcBorders>
              <w:top w:val="single" w:sz="4" w:space="0" w:color="ADD6EA"/>
              <w:left w:val="nil"/>
              <w:bottom w:val="nil"/>
              <w:right w:val="nil"/>
            </w:tcBorders>
            <w:shd w:val="clear" w:color="000000" w:fill="FFFFFF"/>
            <w:vAlign w:val="bottom"/>
            <w:hideMark/>
          </w:tcPr>
          <w:p w14:paraId="5CD4A847" w14:textId="6AAB1D32" w:rsidR="002D74E2" w:rsidRPr="008246C1" w:rsidRDefault="002D74E2" w:rsidP="002D74E2">
            <w:pPr>
              <w:keepNext/>
              <w:keepLines/>
              <w:tabs>
                <w:tab w:val="clear" w:pos="567"/>
              </w:tabs>
              <w:spacing w:before="0" w:line="240" w:lineRule="auto"/>
              <w:jc w:val="right"/>
              <w:rPr>
                <w:rFonts w:eastAsia="Times New Roman" w:cs="Open Sans Light"/>
                <w:color w:val="000000"/>
                <w:sz w:val="16"/>
                <w:szCs w:val="16"/>
                <w:highlight w:val="yellow"/>
                <w:lang w:eastAsia="en-AU"/>
              </w:rPr>
            </w:pPr>
            <w:r>
              <w:rPr>
                <w:rFonts w:cs="Open Sans Light"/>
                <w:color w:val="000000"/>
                <w:sz w:val="16"/>
                <w:szCs w:val="16"/>
              </w:rPr>
              <w:t>0</w:t>
            </w:r>
          </w:p>
        </w:tc>
        <w:tc>
          <w:tcPr>
            <w:tcW w:w="615" w:type="dxa"/>
            <w:tcBorders>
              <w:top w:val="single" w:sz="4" w:space="0" w:color="ADD6EA"/>
              <w:left w:val="nil"/>
              <w:bottom w:val="nil"/>
              <w:right w:val="nil"/>
            </w:tcBorders>
            <w:shd w:val="clear" w:color="000000" w:fill="FFFFFF"/>
            <w:vAlign w:val="bottom"/>
            <w:hideMark/>
          </w:tcPr>
          <w:p w14:paraId="65489391" w14:textId="345F6EAF" w:rsidR="002D74E2" w:rsidRPr="008246C1" w:rsidRDefault="002D74E2" w:rsidP="002D74E2">
            <w:pPr>
              <w:keepNext/>
              <w:keepLines/>
              <w:tabs>
                <w:tab w:val="clear" w:pos="567"/>
              </w:tabs>
              <w:spacing w:before="0" w:line="240" w:lineRule="auto"/>
              <w:jc w:val="right"/>
              <w:rPr>
                <w:rFonts w:eastAsia="Times New Roman" w:cs="Open Sans Light"/>
                <w:color w:val="000000"/>
                <w:sz w:val="16"/>
                <w:szCs w:val="16"/>
                <w:highlight w:val="yellow"/>
                <w:lang w:eastAsia="en-AU"/>
              </w:rPr>
            </w:pPr>
            <w:r>
              <w:rPr>
                <w:rFonts w:cs="Open Sans Light"/>
                <w:color w:val="000000"/>
                <w:sz w:val="16"/>
                <w:szCs w:val="16"/>
              </w:rPr>
              <w:t>0</w:t>
            </w:r>
          </w:p>
        </w:tc>
        <w:tc>
          <w:tcPr>
            <w:tcW w:w="616" w:type="dxa"/>
            <w:tcBorders>
              <w:top w:val="single" w:sz="4" w:space="0" w:color="ADD6EA"/>
              <w:left w:val="nil"/>
              <w:bottom w:val="nil"/>
              <w:right w:val="nil"/>
            </w:tcBorders>
            <w:shd w:val="clear" w:color="000000" w:fill="FFFFFF"/>
            <w:vAlign w:val="bottom"/>
            <w:hideMark/>
          </w:tcPr>
          <w:p w14:paraId="2C521178" w14:textId="67AED6EC" w:rsidR="002D74E2" w:rsidRPr="008246C1" w:rsidRDefault="002D74E2" w:rsidP="002D74E2">
            <w:pPr>
              <w:keepNext/>
              <w:keepLines/>
              <w:tabs>
                <w:tab w:val="clear" w:pos="567"/>
              </w:tabs>
              <w:spacing w:before="0" w:line="240" w:lineRule="auto"/>
              <w:jc w:val="right"/>
              <w:rPr>
                <w:rFonts w:eastAsia="Times New Roman" w:cs="Open Sans Light"/>
                <w:color w:val="000000"/>
                <w:sz w:val="16"/>
                <w:szCs w:val="16"/>
                <w:highlight w:val="yellow"/>
                <w:lang w:eastAsia="en-AU"/>
              </w:rPr>
            </w:pPr>
            <w:r>
              <w:rPr>
                <w:rFonts w:cs="Open Sans Light"/>
                <w:color w:val="000000"/>
                <w:sz w:val="16"/>
                <w:szCs w:val="16"/>
              </w:rPr>
              <w:t>0</w:t>
            </w:r>
          </w:p>
        </w:tc>
        <w:tc>
          <w:tcPr>
            <w:tcW w:w="615" w:type="dxa"/>
            <w:tcBorders>
              <w:top w:val="single" w:sz="4" w:space="0" w:color="ADD6EA"/>
              <w:left w:val="nil"/>
              <w:bottom w:val="nil"/>
              <w:right w:val="nil"/>
            </w:tcBorders>
            <w:shd w:val="clear" w:color="000000" w:fill="FFFFFF"/>
            <w:vAlign w:val="bottom"/>
            <w:hideMark/>
          </w:tcPr>
          <w:p w14:paraId="637502BB" w14:textId="4E142C09" w:rsidR="002D74E2" w:rsidRPr="008246C1" w:rsidRDefault="002D74E2" w:rsidP="002D74E2">
            <w:pPr>
              <w:keepNext/>
              <w:keepLines/>
              <w:tabs>
                <w:tab w:val="clear" w:pos="567"/>
              </w:tabs>
              <w:spacing w:before="0" w:line="240" w:lineRule="auto"/>
              <w:jc w:val="right"/>
              <w:rPr>
                <w:rFonts w:eastAsia="Times New Roman" w:cs="Open Sans Light"/>
                <w:color w:val="000000"/>
                <w:sz w:val="16"/>
                <w:szCs w:val="16"/>
                <w:highlight w:val="yellow"/>
                <w:lang w:eastAsia="en-AU"/>
              </w:rPr>
            </w:pPr>
            <w:r>
              <w:rPr>
                <w:rFonts w:cs="Open Sans Light"/>
                <w:color w:val="000000"/>
                <w:sz w:val="16"/>
                <w:szCs w:val="16"/>
              </w:rPr>
              <w:t>0</w:t>
            </w:r>
          </w:p>
        </w:tc>
        <w:tc>
          <w:tcPr>
            <w:tcW w:w="512" w:type="dxa"/>
            <w:tcBorders>
              <w:top w:val="single" w:sz="4" w:space="0" w:color="ADD6EA"/>
              <w:left w:val="nil"/>
              <w:bottom w:val="nil"/>
              <w:right w:val="nil"/>
            </w:tcBorders>
            <w:shd w:val="clear" w:color="000000" w:fill="FFFFFF"/>
            <w:vAlign w:val="bottom"/>
            <w:hideMark/>
          </w:tcPr>
          <w:p w14:paraId="1AF6AD7B" w14:textId="0FA867A9" w:rsidR="002D74E2" w:rsidRPr="008246C1" w:rsidRDefault="002D74E2" w:rsidP="002D74E2">
            <w:pPr>
              <w:keepNext/>
              <w:keepLines/>
              <w:tabs>
                <w:tab w:val="clear" w:pos="567"/>
              </w:tabs>
              <w:spacing w:before="0" w:line="240" w:lineRule="auto"/>
              <w:jc w:val="right"/>
              <w:rPr>
                <w:rFonts w:eastAsia="Times New Roman" w:cs="Open Sans Light"/>
                <w:color w:val="000000"/>
                <w:sz w:val="16"/>
                <w:szCs w:val="16"/>
                <w:highlight w:val="yellow"/>
                <w:lang w:eastAsia="en-AU"/>
              </w:rPr>
            </w:pPr>
            <w:r>
              <w:rPr>
                <w:rFonts w:cs="Open Sans Light"/>
                <w:color w:val="000000"/>
                <w:sz w:val="16"/>
                <w:szCs w:val="16"/>
              </w:rPr>
              <w:t>-3</w:t>
            </w:r>
          </w:p>
        </w:tc>
        <w:tc>
          <w:tcPr>
            <w:tcW w:w="720" w:type="dxa"/>
            <w:tcBorders>
              <w:top w:val="single" w:sz="4" w:space="0" w:color="ADD6EA"/>
              <w:left w:val="nil"/>
              <w:bottom w:val="nil"/>
              <w:right w:val="nil"/>
            </w:tcBorders>
            <w:shd w:val="clear" w:color="000000" w:fill="FFFFFF"/>
            <w:vAlign w:val="bottom"/>
            <w:hideMark/>
          </w:tcPr>
          <w:p w14:paraId="046A1098" w14:textId="14E14CCA" w:rsidR="002D74E2" w:rsidRPr="008246C1" w:rsidRDefault="002D74E2" w:rsidP="002D74E2">
            <w:pPr>
              <w:keepNext/>
              <w:keepLines/>
              <w:tabs>
                <w:tab w:val="clear" w:pos="567"/>
              </w:tabs>
              <w:spacing w:before="0" w:line="240" w:lineRule="auto"/>
              <w:jc w:val="right"/>
              <w:rPr>
                <w:rFonts w:eastAsia="Times New Roman" w:cs="Open Sans Light"/>
                <w:color w:val="000000"/>
                <w:sz w:val="16"/>
                <w:szCs w:val="16"/>
                <w:highlight w:val="yellow"/>
                <w:lang w:eastAsia="en-AU"/>
              </w:rPr>
            </w:pPr>
            <w:r>
              <w:rPr>
                <w:rFonts w:cs="Open Sans Light"/>
                <w:color w:val="000000"/>
                <w:sz w:val="16"/>
                <w:szCs w:val="16"/>
              </w:rPr>
              <w:t>0</w:t>
            </w:r>
          </w:p>
        </w:tc>
      </w:tr>
      <w:tr w:rsidR="002D74E2" w:rsidRPr="00C37C1D" w14:paraId="77B47F9C" w14:textId="77777777" w:rsidTr="00B06022">
        <w:trPr>
          <w:trHeight w:val="318"/>
        </w:trPr>
        <w:tc>
          <w:tcPr>
            <w:tcW w:w="3402" w:type="dxa"/>
            <w:tcBorders>
              <w:top w:val="single" w:sz="4" w:space="0" w:color="ADD6EA"/>
              <w:left w:val="nil"/>
              <w:bottom w:val="nil"/>
              <w:right w:val="nil"/>
            </w:tcBorders>
            <w:shd w:val="clear" w:color="000000" w:fill="FFFFFF"/>
            <w:vAlign w:val="bottom"/>
            <w:hideMark/>
          </w:tcPr>
          <w:p w14:paraId="6EB951CB" w14:textId="77777777" w:rsidR="002D74E2" w:rsidRPr="00C37C1D" w:rsidRDefault="002D74E2" w:rsidP="002D74E2">
            <w:pPr>
              <w:keepNext/>
              <w:keepLines/>
              <w:tabs>
                <w:tab w:val="clear" w:pos="567"/>
              </w:tabs>
              <w:spacing w:before="0" w:line="240" w:lineRule="auto"/>
              <w:rPr>
                <w:rFonts w:ascii="Open Sans Semibold" w:eastAsia="Times New Roman" w:hAnsi="Open Sans Semibold" w:cs="Open Sans Semibold"/>
                <w:color w:val="000000"/>
                <w:sz w:val="16"/>
                <w:szCs w:val="16"/>
                <w:lang w:eastAsia="en-AU"/>
              </w:rPr>
            </w:pPr>
            <w:r w:rsidRPr="00C37C1D">
              <w:rPr>
                <w:rFonts w:ascii="Open Sans Semibold" w:eastAsia="Times New Roman" w:hAnsi="Open Sans Semibold" w:cs="Open Sans Semibold"/>
                <w:color w:val="000000"/>
                <w:sz w:val="16"/>
                <w:szCs w:val="16"/>
                <w:lang w:eastAsia="en-AU"/>
              </w:rPr>
              <w:t>Prisons</w:t>
            </w:r>
          </w:p>
        </w:tc>
        <w:tc>
          <w:tcPr>
            <w:tcW w:w="615" w:type="dxa"/>
            <w:tcBorders>
              <w:top w:val="single" w:sz="4" w:space="0" w:color="ADD6EA"/>
              <w:left w:val="nil"/>
              <w:bottom w:val="nil"/>
              <w:right w:val="nil"/>
            </w:tcBorders>
            <w:shd w:val="clear" w:color="000000" w:fill="FFFFFF"/>
            <w:vAlign w:val="bottom"/>
            <w:hideMark/>
          </w:tcPr>
          <w:p w14:paraId="5683C577" w14:textId="4BDC2817" w:rsidR="002D74E2" w:rsidRPr="008246C1" w:rsidRDefault="002D74E2" w:rsidP="002D74E2">
            <w:pPr>
              <w:keepNext/>
              <w:keepLines/>
              <w:tabs>
                <w:tab w:val="clear" w:pos="567"/>
              </w:tabs>
              <w:spacing w:before="0" w:line="240" w:lineRule="auto"/>
              <w:jc w:val="right"/>
              <w:rPr>
                <w:rFonts w:ascii="Open Sans Semibold" w:eastAsia="Times New Roman" w:hAnsi="Open Sans Semibold" w:cs="Open Sans Semibold"/>
                <w:color w:val="000000"/>
                <w:sz w:val="16"/>
                <w:szCs w:val="16"/>
                <w:highlight w:val="yellow"/>
                <w:lang w:eastAsia="en-AU"/>
              </w:rPr>
            </w:pPr>
            <w:r>
              <w:rPr>
                <w:rFonts w:ascii="Open Sans Semibold" w:hAnsi="Open Sans Semibold" w:cs="Open Sans Semibold"/>
                <w:color w:val="000000"/>
                <w:sz w:val="16"/>
                <w:szCs w:val="16"/>
              </w:rPr>
              <w:t>2</w:t>
            </w:r>
          </w:p>
        </w:tc>
        <w:tc>
          <w:tcPr>
            <w:tcW w:w="616" w:type="dxa"/>
            <w:tcBorders>
              <w:top w:val="single" w:sz="4" w:space="0" w:color="ADD6EA"/>
              <w:left w:val="nil"/>
              <w:bottom w:val="nil"/>
              <w:right w:val="nil"/>
            </w:tcBorders>
            <w:shd w:val="clear" w:color="000000" w:fill="FFFFFF"/>
            <w:vAlign w:val="bottom"/>
            <w:hideMark/>
          </w:tcPr>
          <w:p w14:paraId="183B55A7" w14:textId="4BB9DEB3" w:rsidR="002D74E2" w:rsidRPr="008246C1" w:rsidRDefault="002D74E2" w:rsidP="002D74E2">
            <w:pPr>
              <w:keepNext/>
              <w:keepLines/>
              <w:tabs>
                <w:tab w:val="clear" w:pos="567"/>
              </w:tabs>
              <w:spacing w:before="0" w:line="240" w:lineRule="auto"/>
              <w:jc w:val="right"/>
              <w:rPr>
                <w:rFonts w:ascii="Open Sans Semibold" w:eastAsia="Times New Roman" w:hAnsi="Open Sans Semibold" w:cs="Open Sans Semibold"/>
                <w:color w:val="000000"/>
                <w:sz w:val="16"/>
                <w:szCs w:val="16"/>
                <w:highlight w:val="yellow"/>
                <w:lang w:eastAsia="en-AU"/>
              </w:rPr>
            </w:pPr>
            <w:r>
              <w:rPr>
                <w:rFonts w:ascii="Open Sans Semibold" w:hAnsi="Open Sans Semibold" w:cs="Open Sans Semibold"/>
                <w:color w:val="000000"/>
                <w:sz w:val="16"/>
                <w:szCs w:val="16"/>
              </w:rPr>
              <w:t>-9</w:t>
            </w:r>
          </w:p>
        </w:tc>
        <w:tc>
          <w:tcPr>
            <w:tcW w:w="615" w:type="dxa"/>
            <w:tcBorders>
              <w:top w:val="single" w:sz="4" w:space="0" w:color="ADD6EA"/>
              <w:left w:val="nil"/>
              <w:bottom w:val="nil"/>
              <w:right w:val="nil"/>
            </w:tcBorders>
            <w:shd w:val="clear" w:color="000000" w:fill="FFFFFF"/>
            <w:vAlign w:val="bottom"/>
            <w:hideMark/>
          </w:tcPr>
          <w:p w14:paraId="37519EF7" w14:textId="2C061F8C" w:rsidR="002D74E2" w:rsidRPr="008246C1" w:rsidRDefault="002D74E2" w:rsidP="002D74E2">
            <w:pPr>
              <w:keepNext/>
              <w:keepLines/>
              <w:tabs>
                <w:tab w:val="clear" w:pos="567"/>
              </w:tabs>
              <w:spacing w:before="0" w:line="240" w:lineRule="auto"/>
              <w:jc w:val="right"/>
              <w:rPr>
                <w:rFonts w:ascii="Open Sans Semibold" w:eastAsia="Times New Roman" w:hAnsi="Open Sans Semibold" w:cs="Open Sans Semibold"/>
                <w:color w:val="000000"/>
                <w:sz w:val="16"/>
                <w:szCs w:val="16"/>
                <w:highlight w:val="yellow"/>
                <w:lang w:eastAsia="en-AU"/>
              </w:rPr>
            </w:pPr>
            <w:r>
              <w:rPr>
                <w:rFonts w:ascii="Open Sans Semibold" w:hAnsi="Open Sans Semibold" w:cs="Open Sans Semibold"/>
                <w:color w:val="000000"/>
                <w:sz w:val="16"/>
                <w:szCs w:val="16"/>
              </w:rPr>
              <w:t>9</w:t>
            </w:r>
          </w:p>
        </w:tc>
        <w:tc>
          <w:tcPr>
            <w:tcW w:w="616" w:type="dxa"/>
            <w:tcBorders>
              <w:top w:val="single" w:sz="4" w:space="0" w:color="ADD6EA"/>
              <w:left w:val="nil"/>
              <w:bottom w:val="nil"/>
              <w:right w:val="nil"/>
            </w:tcBorders>
            <w:shd w:val="clear" w:color="000000" w:fill="FFFFFF"/>
            <w:vAlign w:val="bottom"/>
            <w:hideMark/>
          </w:tcPr>
          <w:p w14:paraId="514C4584" w14:textId="2ED52B27" w:rsidR="002D74E2" w:rsidRPr="008246C1" w:rsidRDefault="002D74E2" w:rsidP="002D74E2">
            <w:pPr>
              <w:keepNext/>
              <w:keepLines/>
              <w:tabs>
                <w:tab w:val="clear" w:pos="567"/>
              </w:tabs>
              <w:spacing w:before="0" w:line="240" w:lineRule="auto"/>
              <w:jc w:val="right"/>
              <w:rPr>
                <w:rFonts w:ascii="Open Sans Semibold" w:eastAsia="Times New Roman" w:hAnsi="Open Sans Semibold" w:cs="Open Sans Semibold"/>
                <w:color w:val="000000"/>
                <w:sz w:val="16"/>
                <w:szCs w:val="16"/>
                <w:highlight w:val="yellow"/>
                <w:lang w:eastAsia="en-AU"/>
              </w:rPr>
            </w:pPr>
            <w:r>
              <w:rPr>
                <w:rFonts w:ascii="Open Sans Semibold" w:hAnsi="Open Sans Semibold" w:cs="Open Sans Semibold"/>
                <w:color w:val="000000"/>
                <w:sz w:val="16"/>
                <w:szCs w:val="16"/>
              </w:rPr>
              <w:t>-1</w:t>
            </w:r>
          </w:p>
        </w:tc>
        <w:tc>
          <w:tcPr>
            <w:tcW w:w="615" w:type="dxa"/>
            <w:tcBorders>
              <w:top w:val="single" w:sz="4" w:space="0" w:color="ADD6EA"/>
              <w:left w:val="nil"/>
              <w:bottom w:val="nil"/>
              <w:right w:val="nil"/>
            </w:tcBorders>
            <w:shd w:val="clear" w:color="000000" w:fill="FFFFFF"/>
            <w:vAlign w:val="bottom"/>
            <w:hideMark/>
          </w:tcPr>
          <w:p w14:paraId="7613C658" w14:textId="72DA5CF8" w:rsidR="002D74E2" w:rsidRPr="008246C1" w:rsidRDefault="002D74E2" w:rsidP="002D74E2">
            <w:pPr>
              <w:keepNext/>
              <w:keepLines/>
              <w:tabs>
                <w:tab w:val="clear" w:pos="567"/>
              </w:tabs>
              <w:spacing w:before="0" w:line="240" w:lineRule="auto"/>
              <w:jc w:val="right"/>
              <w:rPr>
                <w:rFonts w:ascii="Open Sans Semibold" w:eastAsia="Times New Roman" w:hAnsi="Open Sans Semibold" w:cs="Open Sans Semibold"/>
                <w:color w:val="000000"/>
                <w:sz w:val="16"/>
                <w:szCs w:val="16"/>
                <w:highlight w:val="yellow"/>
                <w:lang w:eastAsia="en-AU"/>
              </w:rPr>
            </w:pPr>
            <w:r>
              <w:rPr>
                <w:rFonts w:ascii="Open Sans Semibold" w:hAnsi="Open Sans Semibold" w:cs="Open Sans Semibold"/>
                <w:color w:val="000000"/>
                <w:sz w:val="16"/>
                <w:szCs w:val="16"/>
              </w:rPr>
              <w:t>-4</w:t>
            </w:r>
          </w:p>
        </w:tc>
        <w:tc>
          <w:tcPr>
            <w:tcW w:w="616" w:type="dxa"/>
            <w:tcBorders>
              <w:top w:val="single" w:sz="4" w:space="0" w:color="ADD6EA"/>
              <w:left w:val="nil"/>
              <w:bottom w:val="nil"/>
              <w:right w:val="nil"/>
            </w:tcBorders>
            <w:shd w:val="clear" w:color="000000" w:fill="FFFFFF"/>
            <w:vAlign w:val="bottom"/>
            <w:hideMark/>
          </w:tcPr>
          <w:p w14:paraId="6FAD25A9" w14:textId="718D85BC" w:rsidR="002D74E2" w:rsidRPr="008246C1" w:rsidRDefault="002D74E2" w:rsidP="002D74E2">
            <w:pPr>
              <w:keepNext/>
              <w:keepLines/>
              <w:tabs>
                <w:tab w:val="clear" w:pos="567"/>
              </w:tabs>
              <w:spacing w:before="0" w:line="240" w:lineRule="auto"/>
              <w:jc w:val="right"/>
              <w:rPr>
                <w:rFonts w:ascii="Open Sans Semibold" w:eastAsia="Times New Roman" w:hAnsi="Open Sans Semibold" w:cs="Open Sans Semibold"/>
                <w:color w:val="000000"/>
                <w:sz w:val="16"/>
                <w:szCs w:val="16"/>
                <w:highlight w:val="yellow"/>
                <w:lang w:eastAsia="en-AU"/>
              </w:rPr>
            </w:pPr>
            <w:r>
              <w:rPr>
                <w:rFonts w:ascii="Open Sans Semibold" w:hAnsi="Open Sans Semibold" w:cs="Open Sans Semibold"/>
                <w:color w:val="000000"/>
                <w:sz w:val="16"/>
                <w:szCs w:val="16"/>
              </w:rPr>
              <w:t>14</w:t>
            </w:r>
          </w:p>
        </w:tc>
        <w:tc>
          <w:tcPr>
            <w:tcW w:w="615" w:type="dxa"/>
            <w:tcBorders>
              <w:top w:val="single" w:sz="4" w:space="0" w:color="ADD6EA"/>
              <w:left w:val="nil"/>
              <w:bottom w:val="nil"/>
              <w:right w:val="nil"/>
            </w:tcBorders>
            <w:shd w:val="clear" w:color="000000" w:fill="FFFFFF"/>
            <w:vAlign w:val="bottom"/>
            <w:hideMark/>
          </w:tcPr>
          <w:p w14:paraId="608AC2CC" w14:textId="74B78023" w:rsidR="002D74E2" w:rsidRPr="008246C1" w:rsidRDefault="002D74E2" w:rsidP="002D74E2">
            <w:pPr>
              <w:keepNext/>
              <w:keepLines/>
              <w:tabs>
                <w:tab w:val="clear" w:pos="567"/>
              </w:tabs>
              <w:spacing w:before="0" w:line="240" w:lineRule="auto"/>
              <w:jc w:val="right"/>
              <w:rPr>
                <w:rFonts w:ascii="Open Sans Semibold" w:eastAsia="Times New Roman" w:hAnsi="Open Sans Semibold" w:cs="Open Sans Semibold"/>
                <w:color w:val="000000"/>
                <w:sz w:val="16"/>
                <w:szCs w:val="16"/>
                <w:highlight w:val="yellow"/>
                <w:lang w:eastAsia="en-AU"/>
              </w:rPr>
            </w:pPr>
            <w:r>
              <w:rPr>
                <w:rFonts w:ascii="Open Sans Semibold" w:hAnsi="Open Sans Semibold" w:cs="Open Sans Semibold"/>
                <w:color w:val="000000"/>
                <w:sz w:val="16"/>
                <w:szCs w:val="16"/>
              </w:rPr>
              <w:t>-8</w:t>
            </w:r>
          </w:p>
        </w:tc>
        <w:tc>
          <w:tcPr>
            <w:tcW w:w="512" w:type="dxa"/>
            <w:tcBorders>
              <w:top w:val="single" w:sz="4" w:space="0" w:color="ADD6EA"/>
              <w:left w:val="nil"/>
              <w:bottom w:val="nil"/>
              <w:right w:val="nil"/>
            </w:tcBorders>
            <w:shd w:val="clear" w:color="000000" w:fill="FFFFFF"/>
            <w:vAlign w:val="bottom"/>
            <w:hideMark/>
          </w:tcPr>
          <w:p w14:paraId="465FF66F" w14:textId="4202C16E" w:rsidR="002D74E2" w:rsidRPr="008246C1" w:rsidRDefault="002D74E2" w:rsidP="002D74E2">
            <w:pPr>
              <w:keepNext/>
              <w:keepLines/>
              <w:tabs>
                <w:tab w:val="clear" w:pos="567"/>
              </w:tabs>
              <w:spacing w:before="0" w:line="240" w:lineRule="auto"/>
              <w:jc w:val="right"/>
              <w:rPr>
                <w:rFonts w:ascii="Open Sans Semibold" w:eastAsia="Times New Roman" w:hAnsi="Open Sans Semibold" w:cs="Open Sans Semibold"/>
                <w:color w:val="000000"/>
                <w:sz w:val="16"/>
                <w:szCs w:val="16"/>
                <w:highlight w:val="yellow"/>
                <w:lang w:eastAsia="en-AU"/>
              </w:rPr>
            </w:pPr>
            <w:r>
              <w:rPr>
                <w:rFonts w:ascii="Open Sans Semibold" w:hAnsi="Open Sans Semibold" w:cs="Open Sans Semibold"/>
                <w:color w:val="000000"/>
                <w:sz w:val="16"/>
                <w:szCs w:val="16"/>
              </w:rPr>
              <w:t>38</w:t>
            </w:r>
          </w:p>
        </w:tc>
        <w:tc>
          <w:tcPr>
            <w:tcW w:w="720" w:type="dxa"/>
            <w:tcBorders>
              <w:top w:val="single" w:sz="4" w:space="0" w:color="ADD6EA"/>
              <w:left w:val="nil"/>
              <w:bottom w:val="nil"/>
              <w:right w:val="nil"/>
            </w:tcBorders>
            <w:shd w:val="clear" w:color="000000" w:fill="FFFFFF"/>
            <w:vAlign w:val="bottom"/>
            <w:hideMark/>
          </w:tcPr>
          <w:p w14:paraId="6A7DD07F" w14:textId="28353562" w:rsidR="002D74E2" w:rsidRPr="008246C1" w:rsidRDefault="002D74E2" w:rsidP="002D74E2">
            <w:pPr>
              <w:keepNext/>
              <w:keepLines/>
              <w:tabs>
                <w:tab w:val="clear" w:pos="567"/>
              </w:tabs>
              <w:spacing w:before="0" w:line="240" w:lineRule="auto"/>
              <w:jc w:val="right"/>
              <w:rPr>
                <w:rFonts w:ascii="Open Sans Semibold" w:eastAsia="Times New Roman" w:hAnsi="Open Sans Semibold" w:cs="Open Sans Semibold"/>
                <w:color w:val="000000"/>
                <w:sz w:val="16"/>
                <w:szCs w:val="16"/>
                <w:highlight w:val="yellow"/>
                <w:lang w:eastAsia="en-AU"/>
              </w:rPr>
            </w:pPr>
            <w:r>
              <w:rPr>
                <w:rFonts w:ascii="Open Sans Semibold" w:hAnsi="Open Sans Semibold" w:cs="Open Sans Semibold"/>
                <w:color w:val="000000"/>
                <w:sz w:val="16"/>
                <w:szCs w:val="16"/>
              </w:rPr>
              <w:t>3</w:t>
            </w:r>
          </w:p>
        </w:tc>
      </w:tr>
      <w:tr w:rsidR="002D74E2" w:rsidRPr="00C37C1D" w14:paraId="4B3E8A3A" w14:textId="77777777" w:rsidTr="00B06022">
        <w:trPr>
          <w:trHeight w:val="318"/>
        </w:trPr>
        <w:tc>
          <w:tcPr>
            <w:tcW w:w="3402" w:type="dxa"/>
            <w:tcBorders>
              <w:top w:val="single" w:sz="4" w:space="0" w:color="ADD6EA"/>
              <w:left w:val="nil"/>
              <w:bottom w:val="nil"/>
              <w:right w:val="nil"/>
            </w:tcBorders>
            <w:shd w:val="clear" w:color="000000" w:fill="FFFFFF"/>
            <w:vAlign w:val="bottom"/>
            <w:hideMark/>
          </w:tcPr>
          <w:p w14:paraId="62907DF4" w14:textId="77777777" w:rsidR="002D74E2" w:rsidRPr="00C37C1D" w:rsidRDefault="002D74E2" w:rsidP="002D74E2">
            <w:pPr>
              <w:keepNext/>
              <w:keepLines/>
              <w:tabs>
                <w:tab w:val="clear" w:pos="567"/>
              </w:tabs>
              <w:spacing w:before="0" w:line="240" w:lineRule="auto"/>
              <w:rPr>
                <w:rFonts w:eastAsia="Times New Roman" w:cs="Open Sans Light"/>
                <w:color w:val="000000"/>
                <w:sz w:val="16"/>
                <w:szCs w:val="16"/>
                <w:lang w:eastAsia="en-AU"/>
              </w:rPr>
            </w:pPr>
            <w:r w:rsidRPr="00C37C1D">
              <w:rPr>
                <w:rFonts w:eastAsia="Times New Roman" w:cs="Open Sans Light"/>
                <w:color w:val="000000"/>
                <w:sz w:val="16"/>
                <w:szCs w:val="16"/>
                <w:lang w:eastAsia="en-AU"/>
              </w:rPr>
              <w:t>New non-stated method</w:t>
            </w:r>
          </w:p>
        </w:tc>
        <w:tc>
          <w:tcPr>
            <w:tcW w:w="615" w:type="dxa"/>
            <w:tcBorders>
              <w:top w:val="single" w:sz="4" w:space="0" w:color="ADD6EA"/>
              <w:left w:val="nil"/>
              <w:bottom w:val="nil"/>
              <w:right w:val="nil"/>
            </w:tcBorders>
            <w:shd w:val="clear" w:color="000000" w:fill="FFFFFF"/>
            <w:vAlign w:val="bottom"/>
            <w:hideMark/>
          </w:tcPr>
          <w:p w14:paraId="5C3CE443" w14:textId="6D0BFD5C" w:rsidR="002D74E2" w:rsidRPr="008246C1" w:rsidRDefault="002D74E2" w:rsidP="002D74E2">
            <w:pPr>
              <w:keepNext/>
              <w:keepLines/>
              <w:tabs>
                <w:tab w:val="clear" w:pos="567"/>
              </w:tabs>
              <w:spacing w:before="0" w:line="240" w:lineRule="auto"/>
              <w:jc w:val="right"/>
              <w:rPr>
                <w:rFonts w:eastAsia="Times New Roman" w:cs="Open Sans Light"/>
                <w:color w:val="000000"/>
                <w:sz w:val="16"/>
                <w:szCs w:val="16"/>
                <w:highlight w:val="yellow"/>
                <w:lang w:eastAsia="en-AU"/>
              </w:rPr>
            </w:pPr>
            <w:r>
              <w:rPr>
                <w:rFonts w:cs="Open Sans Light"/>
                <w:color w:val="000000"/>
                <w:sz w:val="16"/>
                <w:szCs w:val="16"/>
              </w:rPr>
              <w:t>1</w:t>
            </w:r>
          </w:p>
        </w:tc>
        <w:tc>
          <w:tcPr>
            <w:tcW w:w="616" w:type="dxa"/>
            <w:tcBorders>
              <w:top w:val="single" w:sz="4" w:space="0" w:color="ADD6EA"/>
              <w:left w:val="nil"/>
              <w:bottom w:val="nil"/>
              <w:right w:val="nil"/>
            </w:tcBorders>
            <w:shd w:val="clear" w:color="000000" w:fill="FFFFFF"/>
            <w:vAlign w:val="bottom"/>
            <w:hideMark/>
          </w:tcPr>
          <w:p w14:paraId="270DCA63" w14:textId="2994EE1D" w:rsidR="002D74E2" w:rsidRPr="008246C1" w:rsidRDefault="002D74E2" w:rsidP="002D74E2">
            <w:pPr>
              <w:keepNext/>
              <w:keepLines/>
              <w:tabs>
                <w:tab w:val="clear" w:pos="567"/>
              </w:tabs>
              <w:spacing w:before="0" w:line="240" w:lineRule="auto"/>
              <w:jc w:val="right"/>
              <w:rPr>
                <w:rFonts w:eastAsia="Times New Roman" w:cs="Open Sans Light"/>
                <w:color w:val="000000"/>
                <w:sz w:val="16"/>
                <w:szCs w:val="16"/>
                <w:highlight w:val="yellow"/>
                <w:lang w:eastAsia="en-AU"/>
              </w:rPr>
            </w:pPr>
            <w:r>
              <w:rPr>
                <w:rFonts w:cs="Open Sans Light"/>
                <w:color w:val="000000"/>
                <w:sz w:val="16"/>
                <w:szCs w:val="16"/>
              </w:rPr>
              <w:t>1</w:t>
            </w:r>
          </w:p>
        </w:tc>
        <w:tc>
          <w:tcPr>
            <w:tcW w:w="615" w:type="dxa"/>
            <w:tcBorders>
              <w:top w:val="single" w:sz="4" w:space="0" w:color="ADD6EA"/>
              <w:left w:val="nil"/>
              <w:bottom w:val="nil"/>
              <w:right w:val="nil"/>
            </w:tcBorders>
            <w:shd w:val="clear" w:color="000000" w:fill="FFFFFF"/>
            <w:vAlign w:val="bottom"/>
            <w:hideMark/>
          </w:tcPr>
          <w:p w14:paraId="571A0EF5" w14:textId="27D5FC9C" w:rsidR="002D74E2" w:rsidRPr="008246C1" w:rsidRDefault="002D74E2" w:rsidP="002D74E2">
            <w:pPr>
              <w:keepNext/>
              <w:keepLines/>
              <w:tabs>
                <w:tab w:val="clear" w:pos="567"/>
              </w:tabs>
              <w:spacing w:before="0" w:line="240" w:lineRule="auto"/>
              <w:jc w:val="right"/>
              <w:rPr>
                <w:rFonts w:eastAsia="Times New Roman" w:cs="Open Sans Light"/>
                <w:color w:val="000000"/>
                <w:sz w:val="16"/>
                <w:szCs w:val="16"/>
                <w:highlight w:val="yellow"/>
                <w:lang w:eastAsia="en-AU"/>
              </w:rPr>
            </w:pPr>
            <w:r>
              <w:rPr>
                <w:rFonts w:cs="Open Sans Light"/>
                <w:color w:val="000000"/>
                <w:sz w:val="16"/>
                <w:szCs w:val="16"/>
              </w:rPr>
              <w:t>0</w:t>
            </w:r>
          </w:p>
        </w:tc>
        <w:tc>
          <w:tcPr>
            <w:tcW w:w="616" w:type="dxa"/>
            <w:tcBorders>
              <w:top w:val="single" w:sz="4" w:space="0" w:color="ADD6EA"/>
              <w:left w:val="nil"/>
              <w:bottom w:val="nil"/>
              <w:right w:val="nil"/>
            </w:tcBorders>
            <w:shd w:val="clear" w:color="000000" w:fill="FFFFFF"/>
            <w:vAlign w:val="bottom"/>
            <w:hideMark/>
          </w:tcPr>
          <w:p w14:paraId="1DBCA26D" w14:textId="190C39C8" w:rsidR="002D74E2" w:rsidRPr="008246C1" w:rsidRDefault="002D74E2" w:rsidP="002D74E2">
            <w:pPr>
              <w:keepNext/>
              <w:keepLines/>
              <w:tabs>
                <w:tab w:val="clear" w:pos="567"/>
              </w:tabs>
              <w:spacing w:before="0" w:line="240" w:lineRule="auto"/>
              <w:jc w:val="right"/>
              <w:rPr>
                <w:rFonts w:eastAsia="Times New Roman" w:cs="Open Sans Light"/>
                <w:color w:val="000000"/>
                <w:sz w:val="16"/>
                <w:szCs w:val="16"/>
                <w:highlight w:val="yellow"/>
                <w:lang w:eastAsia="en-AU"/>
              </w:rPr>
            </w:pPr>
            <w:r>
              <w:rPr>
                <w:rFonts w:cs="Open Sans Light"/>
                <w:color w:val="000000"/>
                <w:sz w:val="16"/>
                <w:szCs w:val="16"/>
              </w:rPr>
              <w:t>-3</w:t>
            </w:r>
          </w:p>
        </w:tc>
        <w:tc>
          <w:tcPr>
            <w:tcW w:w="615" w:type="dxa"/>
            <w:tcBorders>
              <w:top w:val="single" w:sz="4" w:space="0" w:color="ADD6EA"/>
              <w:left w:val="nil"/>
              <w:bottom w:val="nil"/>
              <w:right w:val="nil"/>
            </w:tcBorders>
            <w:shd w:val="clear" w:color="000000" w:fill="FFFFFF"/>
            <w:vAlign w:val="bottom"/>
            <w:hideMark/>
          </w:tcPr>
          <w:p w14:paraId="68AFE5C5" w14:textId="06638B8E" w:rsidR="002D74E2" w:rsidRPr="008246C1" w:rsidRDefault="002D74E2" w:rsidP="002D74E2">
            <w:pPr>
              <w:keepNext/>
              <w:keepLines/>
              <w:tabs>
                <w:tab w:val="clear" w:pos="567"/>
              </w:tabs>
              <w:spacing w:before="0" w:line="240" w:lineRule="auto"/>
              <w:jc w:val="right"/>
              <w:rPr>
                <w:rFonts w:eastAsia="Times New Roman" w:cs="Open Sans Light"/>
                <w:color w:val="000000"/>
                <w:sz w:val="16"/>
                <w:szCs w:val="16"/>
                <w:highlight w:val="yellow"/>
                <w:lang w:eastAsia="en-AU"/>
              </w:rPr>
            </w:pPr>
            <w:r>
              <w:rPr>
                <w:rFonts w:cs="Open Sans Light"/>
                <w:color w:val="000000"/>
                <w:sz w:val="16"/>
                <w:szCs w:val="16"/>
              </w:rPr>
              <w:t>-1</w:t>
            </w:r>
          </w:p>
        </w:tc>
        <w:tc>
          <w:tcPr>
            <w:tcW w:w="616" w:type="dxa"/>
            <w:tcBorders>
              <w:top w:val="single" w:sz="4" w:space="0" w:color="ADD6EA"/>
              <w:left w:val="nil"/>
              <w:bottom w:val="nil"/>
              <w:right w:val="nil"/>
            </w:tcBorders>
            <w:shd w:val="clear" w:color="000000" w:fill="FFFFFF"/>
            <w:vAlign w:val="bottom"/>
            <w:hideMark/>
          </w:tcPr>
          <w:p w14:paraId="3F0E9CEB" w14:textId="36FDBA2B" w:rsidR="002D74E2" w:rsidRPr="008246C1" w:rsidRDefault="002D74E2" w:rsidP="002D74E2">
            <w:pPr>
              <w:keepNext/>
              <w:keepLines/>
              <w:tabs>
                <w:tab w:val="clear" w:pos="567"/>
              </w:tabs>
              <w:spacing w:before="0" w:line="240" w:lineRule="auto"/>
              <w:jc w:val="right"/>
              <w:rPr>
                <w:rFonts w:eastAsia="Times New Roman" w:cs="Open Sans Light"/>
                <w:color w:val="000000"/>
                <w:sz w:val="16"/>
                <w:szCs w:val="16"/>
                <w:highlight w:val="yellow"/>
                <w:lang w:eastAsia="en-AU"/>
              </w:rPr>
            </w:pPr>
            <w:r>
              <w:rPr>
                <w:rFonts w:cs="Open Sans Light"/>
                <w:color w:val="000000"/>
                <w:sz w:val="16"/>
                <w:szCs w:val="16"/>
              </w:rPr>
              <w:t>2</w:t>
            </w:r>
          </w:p>
        </w:tc>
        <w:tc>
          <w:tcPr>
            <w:tcW w:w="615" w:type="dxa"/>
            <w:tcBorders>
              <w:top w:val="single" w:sz="4" w:space="0" w:color="ADD6EA"/>
              <w:left w:val="nil"/>
              <w:bottom w:val="nil"/>
              <w:right w:val="nil"/>
            </w:tcBorders>
            <w:shd w:val="clear" w:color="000000" w:fill="FFFFFF"/>
            <w:vAlign w:val="bottom"/>
            <w:hideMark/>
          </w:tcPr>
          <w:p w14:paraId="2EA6C1DB" w14:textId="12E8B3C2" w:rsidR="002D74E2" w:rsidRPr="008246C1" w:rsidRDefault="002D74E2" w:rsidP="002D74E2">
            <w:pPr>
              <w:keepNext/>
              <w:keepLines/>
              <w:tabs>
                <w:tab w:val="clear" w:pos="567"/>
              </w:tabs>
              <w:spacing w:before="0" w:line="240" w:lineRule="auto"/>
              <w:jc w:val="right"/>
              <w:rPr>
                <w:rFonts w:eastAsia="Times New Roman" w:cs="Open Sans Light"/>
                <w:color w:val="000000"/>
                <w:sz w:val="16"/>
                <w:szCs w:val="16"/>
                <w:highlight w:val="yellow"/>
                <w:lang w:eastAsia="en-AU"/>
              </w:rPr>
            </w:pPr>
            <w:r>
              <w:rPr>
                <w:rFonts w:cs="Open Sans Light"/>
                <w:color w:val="000000"/>
                <w:sz w:val="16"/>
                <w:szCs w:val="16"/>
              </w:rPr>
              <w:t>2</w:t>
            </w:r>
          </w:p>
        </w:tc>
        <w:tc>
          <w:tcPr>
            <w:tcW w:w="512" w:type="dxa"/>
            <w:tcBorders>
              <w:top w:val="single" w:sz="4" w:space="0" w:color="ADD6EA"/>
              <w:left w:val="nil"/>
              <w:bottom w:val="nil"/>
              <w:right w:val="nil"/>
            </w:tcBorders>
            <w:shd w:val="clear" w:color="000000" w:fill="FFFFFF"/>
            <w:vAlign w:val="bottom"/>
            <w:hideMark/>
          </w:tcPr>
          <w:p w14:paraId="4E67CA45" w14:textId="6131FEE2" w:rsidR="002D74E2" w:rsidRPr="008246C1" w:rsidRDefault="002D74E2" w:rsidP="002D74E2">
            <w:pPr>
              <w:keepNext/>
              <w:keepLines/>
              <w:tabs>
                <w:tab w:val="clear" w:pos="567"/>
              </w:tabs>
              <w:spacing w:before="0" w:line="240" w:lineRule="auto"/>
              <w:jc w:val="right"/>
              <w:rPr>
                <w:rFonts w:eastAsia="Times New Roman" w:cs="Open Sans Light"/>
                <w:color w:val="000000"/>
                <w:sz w:val="16"/>
                <w:szCs w:val="16"/>
                <w:highlight w:val="yellow"/>
                <w:lang w:eastAsia="en-AU"/>
              </w:rPr>
            </w:pPr>
            <w:r>
              <w:rPr>
                <w:rFonts w:cs="Open Sans Light"/>
                <w:color w:val="000000"/>
                <w:sz w:val="16"/>
                <w:szCs w:val="16"/>
              </w:rPr>
              <w:t>-56</w:t>
            </w:r>
          </w:p>
        </w:tc>
        <w:tc>
          <w:tcPr>
            <w:tcW w:w="720" w:type="dxa"/>
            <w:tcBorders>
              <w:top w:val="single" w:sz="4" w:space="0" w:color="ADD6EA"/>
              <w:left w:val="nil"/>
              <w:bottom w:val="nil"/>
              <w:right w:val="nil"/>
            </w:tcBorders>
            <w:shd w:val="clear" w:color="000000" w:fill="FFFFFF"/>
            <w:vAlign w:val="bottom"/>
            <w:hideMark/>
          </w:tcPr>
          <w:p w14:paraId="7EC79F7D" w14:textId="2A2FFDA4" w:rsidR="002D74E2" w:rsidRPr="008246C1" w:rsidRDefault="002D74E2" w:rsidP="002D74E2">
            <w:pPr>
              <w:keepNext/>
              <w:keepLines/>
              <w:tabs>
                <w:tab w:val="clear" w:pos="567"/>
              </w:tabs>
              <w:spacing w:before="0" w:line="240" w:lineRule="auto"/>
              <w:jc w:val="right"/>
              <w:rPr>
                <w:rFonts w:eastAsia="Times New Roman" w:cs="Open Sans Light"/>
                <w:color w:val="000000"/>
                <w:sz w:val="16"/>
                <w:szCs w:val="16"/>
                <w:highlight w:val="yellow"/>
                <w:lang w:eastAsia="en-AU"/>
              </w:rPr>
            </w:pPr>
            <w:r>
              <w:rPr>
                <w:rFonts w:cs="Open Sans Light"/>
                <w:color w:val="000000"/>
                <w:sz w:val="16"/>
                <w:szCs w:val="16"/>
              </w:rPr>
              <w:t>1</w:t>
            </w:r>
          </w:p>
        </w:tc>
      </w:tr>
      <w:tr w:rsidR="002D74E2" w:rsidRPr="00C37C1D" w14:paraId="3AB6A53B" w14:textId="77777777" w:rsidTr="00B06022">
        <w:trPr>
          <w:trHeight w:val="318"/>
        </w:trPr>
        <w:tc>
          <w:tcPr>
            <w:tcW w:w="3402" w:type="dxa"/>
            <w:tcBorders>
              <w:top w:val="single" w:sz="4" w:space="0" w:color="ADD6EA"/>
              <w:left w:val="nil"/>
              <w:bottom w:val="nil"/>
              <w:right w:val="nil"/>
            </w:tcBorders>
            <w:shd w:val="clear" w:color="000000" w:fill="FFFFFF"/>
            <w:vAlign w:val="bottom"/>
            <w:hideMark/>
          </w:tcPr>
          <w:p w14:paraId="3949AAD0" w14:textId="2929D612" w:rsidR="002D74E2" w:rsidRPr="00C37C1D" w:rsidRDefault="002D74E2" w:rsidP="002D74E2">
            <w:pPr>
              <w:keepNext/>
              <w:keepLines/>
              <w:tabs>
                <w:tab w:val="clear" w:pos="567"/>
              </w:tabs>
              <w:spacing w:before="0" w:line="240" w:lineRule="auto"/>
              <w:rPr>
                <w:rFonts w:eastAsia="Times New Roman" w:cs="Open Sans Light"/>
                <w:color w:val="000000"/>
                <w:sz w:val="16"/>
                <w:szCs w:val="16"/>
                <w:lang w:eastAsia="en-AU"/>
              </w:rPr>
            </w:pPr>
            <w:r w:rsidRPr="00C37C1D">
              <w:rPr>
                <w:rFonts w:eastAsia="Times New Roman" w:cs="Open Sans Light"/>
                <w:color w:val="000000"/>
                <w:sz w:val="16"/>
                <w:szCs w:val="16"/>
                <w:lang w:eastAsia="en-AU"/>
              </w:rPr>
              <w:t xml:space="preserve">Replacing regional costs with </w:t>
            </w:r>
            <w:r w:rsidR="00B6738A">
              <w:rPr>
                <w:rFonts w:eastAsia="Times New Roman" w:cs="Open Sans Light"/>
                <w:color w:val="000000"/>
                <w:sz w:val="16"/>
                <w:szCs w:val="16"/>
                <w:lang w:eastAsia="en-AU"/>
              </w:rPr>
              <w:t>the general service delivery scale</w:t>
            </w:r>
            <w:r w:rsidR="00B6738A" w:rsidRPr="00C37C1D">
              <w:rPr>
                <w:rFonts w:eastAsia="Times New Roman" w:cs="Open Sans Light"/>
                <w:color w:val="000000"/>
                <w:sz w:val="16"/>
                <w:szCs w:val="16"/>
                <w:lang w:eastAsia="en-AU"/>
              </w:rPr>
              <w:t xml:space="preserve"> </w:t>
            </w:r>
            <w:r w:rsidR="00B6738A">
              <w:rPr>
                <w:rFonts w:eastAsia="Times New Roman" w:cs="Open Sans Light"/>
                <w:color w:val="000000"/>
                <w:sz w:val="16"/>
                <w:szCs w:val="16"/>
                <w:lang w:eastAsia="en-AU"/>
              </w:rPr>
              <w:t xml:space="preserve">costs </w:t>
            </w:r>
            <w:r w:rsidRPr="00C37C1D">
              <w:rPr>
                <w:rFonts w:eastAsia="Times New Roman" w:cs="Open Sans Light"/>
                <w:color w:val="000000"/>
                <w:sz w:val="16"/>
                <w:szCs w:val="16"/>
                <w:lang w:eastAsia="en-AU"/>
              </w:rPr>
              <w:t>gradient</w:t>
            </w:r>
          </w:p>
        </w:tc>
        <w:tc>
          <w:tcPr>
            <w:tcW w:w="615" w:type="dxa"/>
            <w:tcBorders>
              <w:top w:val="single" w:sz="4" w:space="0" w:color="ADD6EA"/>
              <w:left w:val="nil"/>
              <w:bottom w:val="nil"/>
              <w:right w:val="nil"/>
            </w:tcBorders>
            <w:shd w:val="clear" w:color="000000" w:fill="FFFFFF"/>
            <w:vAlign w:val="bottom"/>
            <w:hideMark/>
          </w:tcPr>
          <w:p w14:paraId="5A2ABBF0" w14:textId="527A6529" w:rsidR="002D74E2" w:rsidRPr="008246C1" w:rsidRDefault="002D74E2" w:rsidP="002D74E2">
            <w:pPr>
              <w:keepNext/>
              <w:keepLines/>
              <w:tabs>
                <w:tab w:val="clear" w:pos="567"/>
              </w:tabs>
              <w:spacing w:before="0" w:line="240" w:lineRule="auto"/>
              <w:jc w:val="right"/>
              <w:rPr>
                <w:rFonts w:eastAsia="Times New Roman" w:cs="Open Sans Light"/>
                <w:color w:val="000000"/>
                <w:sz w:val="16"/>
                <w:szCs w:val="16"/>
                <w:highlight w:val="yellow"/>
                <w:lang w:eastAsia="en-AU"/>
              </w:rPr>
            </w:pPr>
            <w:r>
              <w:rPr>
                <w:rFonts w:cs="Open Sans Light"/>
                <w:color w:val="000000"/>
                <w:sz w:val="16"/>
                <w:szCs w:val="16"/>
              </w:rPr>
              <w:t>-1</w:t>
            </w:r>
          </w:p>
        </w:tc>
        <w:tc>
          <w:tcPr>
            <w:tcW w:w="616" w:type="dxa"/>
            <w:tcBorders>
              <w:top w:val="single" w:sz="4" w:space="0" w:color="ADD6EA"/>
              <w:left w:val="nil"/>
              <w:bottom w:val="nil"/>
              <w:right w:val="nil"/>
            </w:tcBorders>
            <w:shd w:val="clear" w:color="000000" w:fill="FFFFFF"/>
            <w:vAlign w:val="bottom"/>
            <w:hideMark/>
          </w:tcPr>
          <w:p w14:paraId="3478BFE1" w14:textId="3CB56DBC" w:rsidR="002D74E2" w:rsidRPr="008246C1" w:rsidRDefault="002D74E2" w:rsidP="002D74E2">
            <w:pPr>
              <w:keepNext/>
              <w:keepLines/>
              <w:tabs>
                <w:tab w:val="clear" w:pos="567"/>
              </w:tabs>
              <w:spacing w:before="0" w:line="240" w:lineRule="auto"/>
              <w:jc w:val="right"/>
              <w:rPr>
                <w:rFonts w:eastAsia="Times New Roman" w:cs="Open Sans Light"/>
                <w:color w:val="000000"/>
                <w:sz w:val="16"/>
                <w:szCs w:val="16"/>
                <w:highlight w:val="yellow"/>
                <w:lang w:eastAsia="en-AU"/>
              </w:rPr>
            </w:pPr>
            <w:r>
              <w:rPr>
                <w:rFonts w:cs="Open Sans Light"/>
                <w:color w:val="000000"/>
                <w:sz w:val="16"/>
                <w:szCs w:val="16"/>
              </w:rPr>
              <w:t>-2</w:t>
            </w:r>
          </w:p>
        </w:tc>
        <w:tc>
          <w:tcPr>
            <w:tcW w:w="615" w:type="dxa"/>
            <w:tcBorders>
              <w:top w:val="single" w:sz="4" w:space="0" w:color="ADD6EA"/>
              <w:left w:val="nil"/>
              <w:bottom w:val="nil"/>
              <w:right w:val="nil"/>
            </w:tcBorders>
            <w:shd w:val="clear" w:color="000000" w:fill="FFFFFF"/>
            <w:vAlign w:val="bottom"/>
            <w:hideMark/>
          </w:tcPr>
          <w:p w14:paraId="1765DE7A" w14:textId="00865F58" w:rsidR="002D74E2" w:rsidRPr="008246C1" w:rsidRDefault="002D74E2" w:rsidP="002D74E2">
            <w:pPr>
              <w:keepNext/>
              <w:keepLines/>
              <w:tabs>
                <w:tab w:val="clear" w:pos="567"/>
              </w:tabs>
              <w:spacing w:before="0" w:line="240" w:lineRule="auto"/>
              <w:jc w:val="right"/>
              <w:rPr>
                <w:rFonts w:eastAsia="Times New Roman" w:cs="Open Sans Light"/>
                <w:color w:val="000000"/>
                <w:sz w:val="16"/>
                <w:szCs w:val="16"/>
                <w:highlight w:val="yellow"/>
                <w:lang w:eastAsia="en-AU"/>
              </w:rPr>
            </w:pPr>
            <w:r>
              <w:rPr>
                <w:rFonts w:cs="Open Sans Light"/>
                <w:color w:val="000000"/>
                <w:sz w:val="16"/>
                <w:szCs w:val="16"/>
              </w:rPr>
              <w:t>2</w:t>
            </w:r>
          </w:p>
        </w:tc>
        <w:tc>
          <w:tcPr>
            <w:tcW w:w="616" w:type="dxa"/>
            <w:tcBorders>
              <w:top w:val="single" w:sz="4" w:space="0" w:color="ADD6EA"/>
              <w:left w:val="nil"/>
              <w:bottom w:val="nil"/>
              <w:right w:val="nil"/>
            </w:tcBorders>
            <w:shd w:val="clear" w:color="000000" w:fill="FFFFFF"/>
            <w:vAlign w:val="bottom"/>
            <w:hideMark/>
          </w:tcPr>
          <w:p w14:paraId="3A14A997" w14:textId="4BCC3EB7" w:rsidR="002D74E2" w:rsidRPr="008246C1" w:rsidRDefault="002D74E2" w:rsidP="002D74E2">
            <w:pPr>
              <w:keepNext/>
              <w:keepLines/>
              <w:tabs>
                <w:tab w:val="clear" w:pos="567"/>
              </w:tabs>
              <w:spacing w:before="0" w:line="240" w:lineRule="auto"/>
              <w:jc w:val="right"/>
              <w:rPr>
                <w:rFonts w:eastAsia="Times New Roman" w:cs="Open Sans Light"/>
                <w:color w:val="000000"/>
                <w:sz w:val="16"/>
                <w:szCs w:val="16"/>
                <w:highlight w:val="yellow"/>
                <w:lang w:eastAsia="en-AU"/>
              </w:rPr>
            </w:pPr>
            <w:r>
              <w:rPr>
                <w:rFonts w:cs="Open Sans Light"/>
                <w:color w:val="000000"/>
                <w:sz w:val="16"/>
                <w:szCs w:val="16"/>
              </w:rPr>
              <w:t>0</w:t>
            </w:r>
          </w:p>
        </w:tc>
        <w:tc>
          <w:tcPr>
            <w:tcW w:w="615" w:type="dxa"/>
            <w:tcBorders>
              <w:top w:val="single" w:sz="4" w:space="0" w:color="ADD6EA"/>
              <w:left w:val="nil"/>
              <w:bottom w:val="nil"/>
              <w:right w:val="nil"/>
            </w:tcBorders>
            <w:shd w:val="clear" w:color="000000" w:fill="FFFFFF"/>
            <w:vAlign w:val="bottom"/>
            <w:hideMark/>
          </w:tcPr>
          <w:p w14:paraId="45BAD355" w14:textId="008C4B1F" w:rsidR="002D74E2" w:rsidRPr="008246C1" w:rsidRDefault="002D74E2" w:rsidP="002D74E2">
            <w:pPr>
              <w:keepNext/>
              <w:keepLines/>
              <w:tabs>
                <w:tab w:val="clear" w:pos="567"/>
              </w:tabs>
              <w:spacing w:before="0" w:line="240" w:lineRule="auto"/>
              <w:jc w:val="right"/>
              <w:rPr>
                <w:rFonts w:eastAsia="Times New Roman" w:cs="Open Sans Light"/>
                <w:color w:val="000000"/>
                <w:sz w:val="16"/>
                <w:szCs w:val="16"/>
                <w:highlight w:val="yellow"/>
                <w:lang w:eastAsia="en-AU"/>
              </w:rPr>
            </w:pPr>
            <w:r>
              <w:rPr>
                <w:rFonts w:cs="Open Sans Light"/>
                <w:color w:val="000000"/>
                <w:sz w:val="16"/>
                <w:szCs w:val="16"/>
              </w:rPr>
              <w:t>0</w:t>
            </w:r>
          </w:p>
        </w:tc>
        <w:tc>
          <w:tcPr>
            <w:tcW w:w="616" w:type="dxa"/>
            <w:tcBorders>
              <w:top w:val="single" w:sz="4" w:space="0" w:color="ADD6EA"/>
              <w:left w:val="nil"/>
              <w:bottom w:val="nil"/>
              <w:right w:val="nil"/>
            </w:tcBorders>
            <w:shd w:val="clear" w:color="000000" w:fill="FFFFFF"/>
            <w:vAlign w:val="bottom"/>
            <w:hideMark/>
          </w:tcPr>
          <w:p w14:paraId="2B4A36AD" w14:textId="7BE36A1F" w:rsidR="002D74E2" w:rsidRPr="008246C1" w:rsidRDefault="002D74E2" w:rsidP="002D74E2">
            <w:pPr>
              <w:keepNext/>
              <w:keepLines/>
              <w:tabs>
                <w:tab w:val="clear" w:pos="567"/>
              </w:tabs>
              <w:spacing w:before="0" w:line="240" w:lineRule="auto"/>
              <w:jc w:val="right"/>
              <w:rPr>
                <w:rFonts w:eastAsia="Times New Roman" w:cs="Open Sans Light"/>
                <w:color w:val="000000"/>
                <w:sz w:val="16"/>
                <w:szCs w:val="16"/>
                <w:highlight w:val="yellow"/>
                <w:lang w:eastAsia="en-AU"/>
              </w:rPr>
            </w:pPr>
            <w:r>
              <w:rPr>
                <w:rFonts w:cs="Open Sans Light"/>
                <w:color w:val="000000"/>
                <w:sz w:val="16"/>
                <w:szCs w:val="16"/>
              </w:rPr>
              <w:t>10</w:t>
            </w:r>
          </w:p>
        </w:tc>
        <w:tc>
          <w:tcPr>
            <w:tcW w:w="615" w:type="dxa"/>
            <w:tcBorders>
              <w:top w:val="single" w:sz="4" w:space="0" w:color="ADD6EA"/>
              <w:left w:val="nil"/>
              <w:bottom w:val="nil"/>
              <w:right w:val="nil"/>
            </w:tcBorders>
            <w:shd w:val="clear" w:color="000000" w:fill="FFFFFF"/>
            <w:vAlign w:val="bottom"/>
            <w:hideMark/>
          </w:tcPr>
          <w:p w14:paraId="592059AC" w14:textId="4DF177CE" w:rsidR="002D74E2" w:rsidRPr="008246C1" w:rsidRDefault="002D74E2" w:rsidP="002D74E2">
            <w:pPr>
              <w:keepNext/>
              <w:keepLines/>
              <w:tabs>
                <w:tab w:val="clear" w:pos="567"/>
              </w:tabs>
              <w:spacing w:before="0" w:line="240" w:lineRule="auto"/>
              <w:jc w:val="right"/>
              <w:rPr>
                <w:rFonts w:eastAsia="Times New Roman" w:cs="Open Sans Light"/>
                <w:color w:val="000000"/>
                <w:sz w:val="16"/>
                <w:szCs w:val="16"/>
                <w:highlight w:val="yellow"/>
                <w:lang w:eastAsia="en-AU"/>
              </w:rPr>
            </w:pPr>
            <w:r>
              <w:rPr>
                <w:rFonts w:cs="Open Sans Light"/>
                <w:color w:val="000000"/>
                <w:sz w:val="16"/>
                <w:szCs w:val="16"/>
              </w:rPr>
              <w:t>-4</w:t>
            </w:r>
          </w:p>
        </w:tc>
        <w:tc>
          <w:tcPr>
            <w:tcW w:w="512" w:type="dxa"/>
            <w:tcBorders>
              <w:top w:val="single" w:sz="4" w:space="0" w:color="ADD6EA"/>
              <w:left w:val="nil"/>
              <w:bottom w:val="nil"/>
              <w:right w:val="nil"/>
            </w:tcBorders>
            <w:shd w:val="clear" w:color="000000" w:fill="FFFFFF"/>
            <w:vAlign w:val="bottom"/>
            <w:hideMark/>
          </w:tcPr>
          <w:p w14:paraId="491CF89F" w14:textId="39DDCD98" w:rsidR="002D74E2" w:rsidRPr="008246C1" w:rsidRDefault="002D74E2" w:rsidP="002D74E2">
            <w:pPr>
              <w:keepNext/>
              <w:keepLines/>
              <w:tabs>
                <w:tab w:val="clear" w:pos="567"/>
              </w:tabs>
              <w:spacing w:before="0" w:line="240" w:lineRule="auto"/>
              <w:jc w:val="right"/>
              <w:rPr>
                <w:rFonts w:eastAsia="Times New Roman" w:cs="Open Sans Light"/>
                <w:color w:val="000000"/>
                <w:sz w:val="16"/>
                <w:szCs w:val="16"/>
                <w:highlight w:val="yellow"/>
                <w:lang w:eastAsia="en-AU"/>
              </w:rPr>
            </w:pPr>
            <w:r>
              <w:rPr>
                <w:rFonts w:cs="Open Sans Light"/>
                <w:color w:val="000000"/>
                <w:sz w:val="16"/>
                <w:szCs w:val="16"/>
              </w:rPr>
              <w:t>43</w:t>
            </w:r>
          </w:p>
        </w:tc>
        <w:tc>
          <w:tcPr>
            <w:tcW w:w="720" w:type="dxa"/>
            <w:tcBorders>
              <w:top w:val="single" w:sz="4" w:space="0" w:color="ADD6EA"/>
              <w:left w:val="nil"/>
              <w:bottom w:val="nil"/>
              <w:right w:val="nil"/>
            </w:tcBorders>
            <w:shd w:val="clear" w:color="000000" w:fill="FFFFFF"/>
            <w:vAlign w:val="bottom"/>
            <w:hideMark/>
          </w:tcPr>
          <w:p w14:paraId="777ABD21" w14:textId="640F1B7D" w:rsidR="002D74E2" w:rsidRPr="008246C1" w:rsidRDefault="002D74E2" w:rsidP="002D74E2">
            <w:pPr>
              <w:keepNext/>
              <w:keepLines/>
              <w:tabs>
                <w:tab w:val="clear" w:pos="567"/>
              </w:tabs>
              <w:spacing w:before="0" w:line="240" w:lineRule="auto"/>
              <w:jc w:val="right"/>
              <w:rPr>
                <w:rFonts w:eastAsia="Times New Roman" w:cs="Open Sans Light"/>
                <w:color w:val="000000"/>
                <w:sz w:val="16"/>
                <w:szCs w:val="16"/>
                <w:highlight w:val="yellow"/>
                <w:lang w:eastAsia="en-AU"/>
              </w:rPr>
            </w:pPr>
            <w:r>
              <w:rPr>
                <w:rFonts w:cs="Open Sans Light"/>
                <w:color w:val="000000"/>
                <w:sz w:val="16"/>
                <w:szCs w:val="16"/>
              </w:rPr>
              <w:t>1</w:t>
            </w:r>
          </w:p>
        </w:tc>
      </w:tr>
      <w:tr w:rsidR="002D74E2" w:rsidRPr="00C37C1D" w14:paraId="23927A3B" w14:textId="77777777" w:rsidTr="00B06022">
        <w:trPr>
          <w:trHeight w:val="318"/>
        </w:trPr>
        <w:tc>
          <w:tcPr>
            <w:tcW w:w="3402" w:type="dxa"/>
            <w:tcBorders>
              <w:top w:val="single" w:sz="4" w:space="0" w:color="ADD6EA"/>
              <w:left w:val="nil"/>
              <w:bottom w:val="nil"/>
              <w:right w:val="nil"/>
            </w:tcBorders>
            <w:shd w:val="clear" w:color="000000" w:fill="FFFFFF"/>
            <w:vAlign w:val="bottom"/>
            <w:hideMark/>
          </w:tcPr>
          <w:p w14:paraId="0BEDA739" w14:textId="77777777" w:rsidR="002D74E2" w:rsidRPr="00C37C1D" w:rsidRDefault="002D74E2" w:rsidP="002D74E2">
            <w:pPr>
              <w:keepNext/>
              <w:keepLines/>
              <w:tabs>
                <w:tab w:val="clear" w:pos="567"/>
              </w:tabs>
              <w:spacing w:before="0" w:line="240" w:lineRule="auto"/>
              <w:rPr>
                <w:rFonts w:eastAsia="Times New Roman" w:cs="Open Sans Light"/>
                <w:color w:val="000000"/>
                <w:sz w:val="16"/>
                <w:szCs w:val="16"/>
                <w:lang w:eastAsia="en-AU"/>
              </w:rPr>
            </w:pPr>
            <w:r w:rsidRPr="00C37C1D">
              <w:rPr>
                <w:rFonts w:eastAsia="Times New Roman" w:cs="Open Sans Light"/>
                <w:color w:val="000000"/>
                <w:sz w:val="16"/>
                <w:szCs w:val="16"/>
                <w:lang w:eastAsia="en-AU"/>
              </w:rPr>
              <w:t>Adding juvenile detainee cost weight</w:t>
            </w:r>
          </w:p>
        </w:tc>
        <w:tc>
          <w:tcPr>
            <w:tcW w:w="615" w:type="dxa"/>
            <w:tcBorders>
              <w:top w:val="single" w:sz="4" w:space="0" w:color="ADD6EA"/>
              <w:left w:val="nil"/>
              <w:bottom w:val="nil"/>
              <w:right w:val="nil"/>
            </w:tcBorders>
            <w:shd w:val="clear" w:color="000000" w:fill="FFFFFF"/>
            <w:vAlign w:val="bottom"/>
            <w:hideMark/>
          </w:tcPr>
          <w:p w14:paraId="3734E091" w14:textId="0535F1DC" w:rsidR="002D74E2" w:rsidRPr="008246C1" w:rsidRDefault="002D74E2" w:rsidP="002D74E2">
            <w:pPr>
              <w:keepNext/>
              <w:keepLines/>
              <w:tabs>
                <w:tab w:val="clear" w:pos="567"/>
              </w:tabs>
              <w:spacing w:before="0" w:line="240" w:lineRule="auto"/>
              <w:jc w:val="right"/>
              <w:rPr>
                <w:rFonts w:eastAsia="Times New Roman" w:cs="Open Sans Light"/>
                <w:color w:val="000000"/>
                <w:sz w:val="16"/>
                <w:szCs w:val="16"/>
                <w:highlight w:val="yellow"/>
                <w:lang w:eastAsia="en-AU"/>
              </w:rPr>
            </w:pPr>
            <w:r>
              <w:rPr>
                <w:rFonts w:cs="Open Sans Light"/>
                <w:color w:val="000000"/>
                <w:sz w:val="16"/>
                <w:szCs w:val="16"/>
              </w:rPr>
              <w:t>2</w:t>
            </w:r>
          </w:p>
        </w:tc>
        <w:tc>
          <w:tcPr>
            <w:tcW w:w="616" w:type="dxa"/>
            <w:tcBorders>
              <w:top w:val="single" w:sz="4" w:space="0" w:color="ADD6EA"/>
              <w:left w:val="nil"/>
              <w:bottom w:val="nil"/>
              <w:right w:val="nil"/>
            </w:tcBorders>
            <w:shd w:val="clear" w:color="000000" w:fill="FFFFFF"/>
            <w:vAlign w:val="bottom"/>
            <w:hideMark/>
          </w:tcPr>
          <w:p w14:paraId="0297F09F" w14:textId="7C9B845E" w:rsidR="002D74E2" w:rsidRPr="008246C1" w:rsidRDefault="002D74E2" w:rsidP="002D74E2">
            <w:pPr>
              <w:keepNext/>
              <w:keepLines/>
              <w:tabs>
                <w:tab w:val="clear" w:pos="567"/>
              </w:tabs>
              <w:spacing w:before="0" w:line="240" w:lineRule="auto"/>
              <w:jc w:val="right"/>
              <w:rPr>
                <w:rFonts w:eastAsia="Times New Roman" w:cs="Open Sans Light"/>
                <w:color w:val="000000"/>
                <w:sz w:val="16"/>
                <w:szCs w:val="16"/>
                <w:highlight w:val="yellow"/>
                <w:lang w:eastAsia="en-AU"/>
              </w:rPr>
            </w:pPr>
            <w:r>
              <w:rPr>
                <w:rFonts w:cs="Open Sans Light"/>
                <w:color w:val="000000"/>
                <w:sz w:val="16"/>
                <w:szCs w:val="16"/>
              </w:rPr>
              <w:t>-9</w:t>
            </w:r>
          </w:p>
        </w:tc>
        <w:tc>
          <w:tcPr>
            <w:tcW w:w="615" w:type="dxa"/>
            <w:tcBorders>
              <w:top w:val="single" w:sz="4" w:space="0" w:color="ADD6EA"/>
              <w:left w:val="nil"/>
              <w:bottom w:val="nil"/>
              <w:right w:val="nil"/>
            </w:tcBorders>
            <w:shd w:val="clear" w:color="000000" w:fill="FFFFFF"/>
            <w:vAlign w:val="bottom"/>
            <w:hideMark/>
          </w:tcPr>
          <w:p w14:paraId="19F6C45A" w14:textId="1C22D7A4" w:rsidR="002D74E2" w:rsidRPr="008246C1" w:rsidRDefault="002D74E2" w:rsidP="002D74E2">
            <w:pPr>
              <w:keepNext/>
              <w:keepLines/>
              <w:tabs>
                <w:tab w:val="clear" w:pos="567"/>
              </w:tabs>
              <w:spacing w:before="0" w:line="240" w:lineRule="auto"/>
              <w:jc w:val="right"/>
              <w:rPr>
                <w:rFonts w:eastAsia="Times New Roman" w:cs="Open Sans Light"/>
                <w:color w:val="000000"/>
                <w:sz w:val="16"/>
                <w:szCs w:val="16"/>
                <w:highlight w:val="yellow"/>
                <w:lang w:eastAsia="en-AU"/>
              </w:rPr>
            </w:pPr>
            <w:r>
              <w:rPr>
                <w:rFonts w:cs="Open Sans Light"/>
                <w:color w:val="000000"/>
                <w:sz w:val="16"/>
                <w:szCs w:val="16"/>
              </w:rPr>
              <w:t>6</w:t>
            </w:r>
          </w:p>
        </w:tc>
        <w:tc>
          <w:tcPr>
            <w:tcW w:w="616" w:type="dxa"/>
            <w:tcBorders>
              <w:top w:val="single" w:sz="4" w:space="0" w:color="ADD6EA"/>
              <w:left w:val="nil"/>
              <w:bottom w:val="nil"/>
              <w:right w:val="nil"/>
            </w:tcBorders>
            <w:shd w:val="clear" w:color="000000" w:fill="FFFFFF"/>
            <w:vAlign w:val="bottom"/>
            <w:hideMark/>
          </w:tcPr>
          <w:p w14:paraId="2AD77A34" w14:textId="3BA0A915" w:rsidR="002D74E2" w:rsidRPr="008246C1" w:rsidRDefault="002D74E2" w:rsidP="002D74E2">
            <w:pPr>
              <w:keepNext/>
              <w:keepLines/>
              <w:tabs>
                <w:tab w:val="clear" w:pos="567"/>
              </w:tabs>
              <w:spacing w:before="0" w:line="240" w:lineRule="auto"/>
              <w:jc w:val="right"/>
              <w:rPr>
                <w:rFonts w:eastAsia="Times New Roman" w:cs="Open Sans Light"/>
                <w:color w:val="000000"/>
                <w:sz w:val="16"/>
                <w:szCs w:val="16"/>
                <w:highlight w:val="yellow"/>
                <w:lang w:eastAsia="en-AU"/>
              </w:rPr>
            </w:pPr>
            <w:r>
              <w:rPr>
                <w:rFonts w:cs="Open Sans Light"/>
                <w:color w:val="000000"/>
                <w:sz w:val="16"/>
                <w:szCs w:val="16"/>
              </w:rPr>
              <w:t>2</w:t>
            </w:r>
          </w:p>
        </w:tc>
        <w:tc>
          <w:tcPr>
            <w:tcW w:w="615" w:type="dxa"/>
            <w:tcBorders>
              <w:top w:val="single" w:sz="4" w:space="0" w:color="ADD6EA"/>
              <w:left w:val="nil"/>
              <w:bottom w:val="nil"/>
              <w:right w:val="nil"/>
            </w:tcBorders>
            <w:shd w:val="clear" w:color="000000" w:fill="FFFFFF"/>
            <w:vAlign w:val="bottom"/>
            <w:hideMark/>
          </w:tcPr>
          <w:p w14:paraId="2777EEA4" w14:textId="54B22144" w:rsidR="002D74E2" w:rsidRPr="008246C1" w:rsidRDefault="002D74E2" w:rsidP="002D74E2">
            <w:pPr>
              <w:keepNext/>
              <w:keepLines/>
              <w:tabs>
                <w:tab w:val="clear" w:pos="567"/>
              </w:tabs>
              <w:spacing w:before="0" w:line="240" w:lineRule="auto"/>
              <w:jc w:val="right"/>
              <w:rPr>
                <w:rFonts w:eastAsia="Times New Roman" w:cs="Open Sans Light"/>
                <w:color w:val="000000"/>
                <w:sz w:val="16"/>
                <w:szCs w:val="16"/>
                <w:highlight w:val="yellow"/>
                <w:lang w:eastAsia="en-AU"/>
              </w:rPr>
            </w:pPr>
            <w:r>
              <w:rPr>
                <w:rFonts w:cs="Open Sans Light"/>
                <w:color w:val="000000"/>
                <w:sz w:val="16"/>
                <w:szCs w:val="16"/>
              </w:rPr>
              <w:t>-3</w:t>
            </w:r>
          </w:p>
        </w:tc>
        <w:tc>
          <w:tcPr>
            <w:tcW w:w="616" w:type="dxa"/>
            <w:tcBorders>
              <w:top w:val="single" w:sz="4" w:space="0" w:color="ADD6EA"/>
              <w:left w:val="nil"/>
              <w:bottom w:val="nil"/>
              <w:right w:val="nil"/>
            </w:tcBorders>
            <w:shd w:val="clear" w:color="000000" w:fill="FFFFFF"/>
            <w:vAlign w:val="bottom"/>
            <w:hideMark/>
          </w:tcPr>
          <w:p w14:paraId="3F0AC393" w14:textId="7F23F1F1" w:rsidR="002D74E2" w:rsidRPr="008246C1" w:rsidRDefault="002D74E2" w:rsidP="002D74E2">
            <w:pPr>
              <w:keepNext/>
              <w:keepLines/>
              <w:tabs>
                <w:tab w:val="clear" w:pos="567"/>
              </w:tabs>
              <w:spacing w:before="0" w:line="240" w:lineRule="auto"/>
              <w:jc w:val="right"/>
              <w:rPr>
                <w:rFonts w:eastAsia="Times New Roman" w:cs="Open Sans Light"/>
                <w:color w:val="000000"/>
                <w:sz w:val="16"/>
                <w:szCs w:val="16"/>
                <w:highlight w:val="yellow"/>
                <w:lang w:eastAsia="en-AU"/>
              </w:rPr>
            </w:pPr>
            <w:r>
              <w:rPr>
                <w:rFonts w:cs="Open Sans Light"/>
                <w:color w:val="000000"/>
                <w:sz w:val="16"/>
                <w:szCs w:val="16"/>
              </w:rPr>
              <w:t>2</w:t>
            </w:r>
          </w:p>
        </w:tc>
        <w:tc>
          <w:tcPr>
            <w:tcW w:w="615" w:type="dxa"/>
            <w:tcBorders>
              <w:top w:val="single" w:sz="4" w:space="0" w:color="ADD6EA"/>
              <w:left w:val="nil"/>
              <w:bottom w:val="nil"/>
              <w:right w:val="nil"/>
            </w:tcBorders>
            <w:shd w:val="clear" w:color="000000" w:fill="FFFFFF"/>
            <w:vAlign w:val="bottom"/>
            <w:hideMark/>
          </w:tcPr>
          <w:p w14:paraId="1AFDA882" w14:textId="6F58182C" w:rsidR="002D74E2" w:rsidRPr="008246C1" w:rsidRDefault="002D74E2" w:rsidP="002D74E2">
            <w:pPr>
              <w:keepNext/>
              <w:keepLines/>
              <w:tabs>
                <w:tab w:val="clear" w:pos="567"/>
              </w:tabs>
              <w:spacing w:before="0" w:line="240" w:lineRule="auto"/>
              <w:jc w:val="right"/>
              <w:rPr>
                <w:rFonts w:eastAsia="Times New Roman" w:cs="Open Sans Light"/>
                <w:color w:val="000000"/>
                <w:sz w:val="16"/>
                <w:szCs w:val="16"/>
                <w:highlight w:val="yellow"/>
                <w:lang w:eastAsia="en-AU"/>
              </w:rPr>
            </w:pPr>
            <w:r>
              <w:rPr>
                <w:rFonts w:cs="Open Sans Light"/>
                <w:color w:val="000000"/>
                <w:sz w:val="16"/>
                <w:szCs w:val="16"/>
              </w:rPr>
              <w:t>-7</w:t>
            </w:r>
          </w:p>
        </w:tc>
        <w:tc>
          <w:tcPr>
            <w:tcW w:w="512" w:type="dxa"/>
            <w:tcBorders>
              <w:top w:val="single" w:sz="4" w:space="0" w:color="ADD6EA"/>
              <w:left w:val="nil"/>
              <w:bottom w:val="nil"/>
              <w:right w:val="nil"/>
            </w:tcBorders>
            <w:shd w:val="clear" w:color="000000" w:fill="FFFFFF"/>
            <w:vAlign w:val="bottom"/>
            <w:hideMark/>
          </w:tcPr>
          <w:p w14:paraId="10364F5B" w14:textId="33FEDD4B" w:rsidR="002D74E2" w:rsidRPr="008246C1" w:rsidRDefault="002D74E2" w:rsidP="002D74E2">
            <w:pPr>
              <w:keepNext/>
              <w:keepLines/>
              <w:tabs>
                <w:tab w:val="clear" w:pos="567"/>
              </w:tabs>
              <w:spacing w:before="0" w:line="240" w:lineRule="auto"/>
              <w:jc w:val="right"/>
              <w:rPr>
                <w:rFonts w:eastAsia="Times New Roman" w:cs="Open Sans Light"/>
                <w:color w:val="000000"/>
                <w:sz w:val="16"/>
                <w:szCs w:val="16"/>
                <w:highlight w:val="yellow"/>
                <w:lang w:eastAsia="en-AU"/>
              </w:rPr>
            </w:pPr>
            <w:r>
              <w:rPr>
                <w:rFonts w:cs="Open Sans Light"/>
                <w:color w:val="000000"/>
                <w:sz w:val="16"/>
                <w:szCs w:val="16"/>
              </w:rPr>
              <w:t>50</w:t>
            </w:r>
          </w:p>
        </w:tc>
        <w:tc>
          <w:tcPr>
            <w:tcW w:w="720" w:type="dxa"/>
            <w:tcBorders>
              <w:top w:val="single" w:sz="4" w:space="0" w:color="ADD6EA"/>
              <w:left w:val="nil"/>
              <w:bottom w:val="nil"/>
              <w:right w:val="nil"/>
            </w:tcBorders>
            <w:shd w:val="clear" w:color="000000" w:fill="FFFFFF"/>
            <w:vAlign w:val="bottom"/>
            <w:hideMark/>
          </w:tcPr>
          <w:p w14:paraId="0E8F1E85" w14:textId="61434E6B" w:rsidR="002D74E2" w:rsidRPr="008246C1" w:rsidRDefault="002D74E2" w:rsidP="002D74E2">
            <w:pPr>
              <w:keepNext/>
              <w:keepLines/>
              <w:tabs>
                <w:tab w:val="clear" w:pos="567"/>
              </w:tabs>
              <w:spacing w:before="0" w:line="240" w:lineRule="auto"/>
              <w:jc w:val="right"/>
              <w:rPr>
                <w:rFonts w:eastAsia="Times New Roman" w:cs="Open Sans Light"/>
                <w:color w:val="000000"/>
                <w:sz w:val="16"/>
                <w:szCs w:val="16"/>
                <w:highlight w:val="yellow"/>
                <w:lang w:eastAsia="en-AU"/>
              </w:rPr>
            </w:pPr>
            <w:r>
              <w:rPr>
                <w:rFonts w:cs="Open Sans Light"/>
                <w:color w:val="000000"/>
                <w:sz w:val="16"/>
                <w:szCs w:val="16"/>
              </w:rPr>
              <w:t>3</w:t>
            </w:r>
          </w:p>
        </w:tc>
      </w:tr>
      <w:tr w:rsidR="002D74E2" w:rsidRPr="00C37C1D" w14:paraId="030A71F9" w14:textId="77777777" w:rsidTr="00B06022">
        <w:trPr>
          <w:trHeight w:val="318"/>
        </w:trPr>
        <w:tc>
          <w:tcPr>
            <w:tcW w:w="3402" w:type="dxa"/>
            <w:tcBorders>
              <w:top w:val="single" w:sz="4" w:space="0" w:color="ADD6EA"/>
              <w:left w:val="nil"/>
              <w:bottom w:val="nil"/>
              <w:right w:val="nil"/>
            </w:tcBorders>
            <w:shd w:val="clear" w:color="000000" w:fill="FFFFFF"/>
            <w:vAlign w:val="bottom"/>
            <w:hideMark/>
          </w:tcPr>
          <w:p w14:paraId="4567FFD3" w14:textId="77777777" w:rsidR="002D74E2" w:rsidRPr="00C37C1D" w:rsidRDefault="002D74E2" w:rsidP="002D74E2">
            <w:pPr>
              <w:keepNext/>
              <w:keepLines/>
              <w:tabs>
                <w:tab w:val="clear" w:pos="567"/>
              </w:tabs>
              <w:spacing w:before="0" w:line="240" w:lineRule="auto"/>
              <w:rPr>
                <w:rFonts w:ascii="Open Sans Semibold" w:eastAsia="Times New Roman" w:hAnsi="Open Sans Semibold" w:cs="Open Sans Semibold"/>
                <w:color w:val="000000"/>
                <w:sz w:val="16"/>
                <w:szCs w:val="16"/>
                <w:lang w:eastAsia="en-AU"/>
              </w:rPr>
            </w:pPr>
            <w:r w:rsidRPr="00C37C1D">
              <w:rPr>
                <w:rFonts w:ascii="Open Sans Semibold" w:eastAsia="Times New Roman" w:hAnsi="Open Sans Semibold" w:cs="Open Sans Semibold"/>
                <w:color w:val="000000"/>
                <w:sz w:val="16"/>
                <w:szCs w:val="16"/>
                <w:lang w:eastAsia="en-AU"/>
              </w:rPr>
              <w:t>Changing age groups (</w:t>
            </w:r>
            <w:r>
              <w:rPr>
                <w:rFonts w:ascii="Open Sans Semibold" w:eastAsia="Times New Roman" w:hAnsi="Open Sans Semibold" w:cs="Open Sans Semibold"/>
                <w:color w:val="000000"/>
                <w:sz w:val="16"/>
                <w:szCs w:val="16"/>
                <w:lang w:eastAsia="en-AU"/>
              </w:rPr>
              <w:t>b</w:t>
            </w:r>
            <w:r w:rsidRPr="00C37C1D">
              <w:rPr>
                <w:rFonts w:ascii="Open Sans Semibold" w:eastAsia="Times New Roman" w:hAnsi="Open Sans Semibold" w:cs="Open Sans Semibold"/>
                <w:color w:val="000000"/>
                <w:sz w:val="16"/>
                <w:szCs w:val="16"/>
                <w:lang w:eastAsia="en-AU"/>
              </w:rPr>
              <w:t>)</w:t>
            </w:r>
          </w:p>
        </w:tc>
        <w:tc>
          <w:tcPr>
            <w:tcW w:w="615" w:type="dxa"/>
            <w:tcBorders>
              <w:top w:val="single" w:sz="4" w:space="0" w:color="ADD6EA"/>
              <w:left w:val="nil"/>
              <w:bottom w:val="nil"/>
              <w:right w:val="nil"/>
            </w:tcBorders>
            <w:shd w:val="clear" w:color="000000" w:fill="FFFFFF"/>
            <w:vAlign w:val="bottom"/>
            <w:hideMark/>
          </w:tcPr>
          <w:p w14:paraId="41CE2C0D" w14:textId="016C2F97" w:rsidR="002D74E2" w:rsidRPr="008246C1" w:rsidRDefault="002D74E2" w:rsidP="002D74E2">
            <w:pPr>
              <w:keepNext/>
              <w:keepLines/>
              <w:tabs>
                <w:tab w:val="clear" w:pos="567"/>
              </w:tabs>
              <w:spacing w:before="0" w:line="240" w:lineRule="auto"/>
              <w:jc w:val="right"/>
              <w:rPr>
                <w:rFonts w:ascii="Open Sans Semibold" w:eastAsia="Times New Roman" w:hAnsi="Open Sans Semibold" w:cs="Open Sans Semibold"/>
                <w:color w:val="000000"/>
                <w:sz w:val="16"/>
                <w:szCs w:val="16"/>
                <w:highlight w:val="yellow"/>
                <w:lang w:eastAsia="en-AU"/>
              </w:rPr>
            </w:pPr>
            <w:r>
              <w:rPr>
                <w:rFonts w:ascii="Open Sans Semibold" w:hAnsi="Open Sans Semibold" w:cs="Open Sans Semibold"/>
                <w:color w:val="000000"/>
                <w:sz w:val="16"/>
                <w:szCs w:val="16"/>
              </w:rPr>
              <w:t>0</w:t>
            </w:r>
          </w:p>
        </w:tc>
        <w:tc>
          <w:tcPr>
            <w:tcW w:w="616" w:type="dxa"/>
            <w:tcBorders>
              <w:top w:val="single" w:sz="4" w:space="0" w:color="ADD6EA"/>
              <w:left w:val="nil"/>
              <w:bottom w:val="nil"/>
              <w:right w:val="nil"/>
            </w:tcBorders>
            <w:shd w:val="clear" w:color="000000" w:fill="FFFFFF"/>
            <w:vAlign w:val="bottom"/>
            <w:hideMark/>
          </w:tcPr>
          <w:p w14:paraId="1D7CC5DE" w14:textId="446F6984" w:rsidR="002D74E2" w:rsidRPr="008246C1" w:rsidRDefault="002D74E2" w:rsidP="002D74E2">
            <w:pPr>
              <w:keepNext/>
              <w:keepLines/>
              <w:tabs>
                <w:tab w:val="clear" w:pos="567"/>
              </w:tabs>
              <w:spacing w:before="0" w:line="240" w:lineRule="auto"/>
              <w:jc w:val="right"/>
              <w:rPr>
                <w:rFonts w:ascii="Open Sans Semibold" w:eastAsia="Times New Roman" w:hAnsi="Open Sans Semibold" w:cs="Open Sans Semibold"/>
                <w:color w:val="000000"/>
                <w:sz w:val="16"/>
                <w:szCs w:val="16"/>
                <w:highlight w:val="yellow"/>
                <w:lang w:eastAsia="en-AU"/>
              </w:rPr>
            </w:pPr>
            <w:r>
              <w:rPr>
                <w:rFonts w:ascii="Open Sans Semibold" w:hAnsi="Open Sans Semibold" w:cs="Open Sans Semibold"/>
                <w:color w:val="000000"/>
                <w:sz w:val="16"/>
                <w:szCs w:val="16"/>
              </w:rPr>
              <w:t>0</w:t>
            </w:r>
          </w:p>
        </w:tc>
        <w:tc>
          <w:tcPr>
            <w:tcW w:w="615" w:type="dxa"/>
            <w:tcBorders>
              <w:top w:val="single" w:sz="4" w:space="0" w:color="ADD6EA"/>
              <w:left w:val="nil"/>
              <w:bottom w:val="nil"/>
              <w:right w:val="nil"/>
            </w:tcBorders>
            <w:shd w:val="clear" w:color="000000" w:fill="FFFFFF"/>
            <w:vAlign w:val="bottom"/>
            <w:hideMark/>
          </w:tcPr>
          <w:p w14:paraId="56BF92A4" w14:textId="20BABD97" w:rsidR="002D74E2" w:rsidRPr="008246C1" w:rsidRDefault="002D74E2" w:rsidP="002D74E2">
            <w:pPr>
              <w:keepNext/>
              <w:keepLines/>
              <w:tabs>
                <w:tab w:val="clear" w:pos="567"/>
              </w:tabs>
              <w:spacing w:before="0" w:line="240" w:lineRule="auto"/>
              <w:jc w:val="right"/>
              <w:rPr>
                <w:rFonts w:ascii="Open Sans Semibold" w:eastAsia="Times New Roman" w:hAnsi="Open Sans Semibold" w:cs="Open Sans Semibold"/>
                <w:color w:val="000000"/>
                <w:sz w:val="16"/>
                <w:szCs w:val="16"/>
                <w:highlight w:val="yellow"/>
                <w:lang w:eastAsia="en-AU"/>
              </w:rPr>
            </w:pPr>
            <w:r>
              <w:rPr>
                <w:rFonts w:ascii="Open Sans Semibold" w:hAnsi="Open Sans Semibold" w:cs="Open Sans Semibold"/>
                <w:color w:val="000000"/>
                <w:sz w:val="16"/>
                <w:szCs w:val="16"/>
              </w:rPr>
              <w:t>-1</w:t>
            </w:r>
          </w:p>
        </w:tc>
        <w:tc>
          <w:tcPr>
            <w:tcW w:w="616" w:type="dxa"/>
            <w:tcBorders>
              <w:top w:val="single" w:sz="4" w:space="0" w:color="ADD6EA"/>
              <w:left w:val="nil"/>
              <w:bottom w:val="nil"/>
              <w:right w:val="nil"/>
            </w:tcBorders>
            <w:shd w:val="clear" w:color="000000" w:fill="FFFFFF"/>
            <w:vAlign w:val="bottom"/>
            <w:hideMark/>
          </w:tcPr>
          <w:p w14:paraId="0E6971E0" w14:textId="4D73CAAA" w:rsidR="002D74E2" w:rsidRPr="008246C1" w:rsidRDefault="002D74E2" w:rsidP="002D74E2">
            <w:pPr>
              <w:keepNext/>
              <w:keepLines/>
              <w:tabs>
                <w:tab w:val="clear" w:pos="567"/>
              </w:tabs>
              <w:spacing w:before="0" w:line="240" w:lineRule="auto"/>
              <w:jc w:val="right"/>
              <w:rPr>
                <w:rFonts w:ascii="Open Sans Semibold" w:eastAsia="Times New Roman" w:hAnsi="Open Sans Semibold" w:cs="Open Sans Semibold"/>
                <w:color w:val="000000"/>
                <w:sz w:val="16"/>
                <w:szCs w:val="16"/>
                <w:highlight w:val="yellow"/>
                <w:lang w:eastAsia="en-AU"/>
              </w:rPr>
            </w:pPr>
            <w:r>
              <w:rPr>
                <w:rFonts w:ascii="Open Sans Semibold" w:hAnsi="Open Sans Semibold" w:cs="Open Sans Semibold"/>
                <w:color w:val="000000"/>
                <w:sz w:val="16"/>
                <w:szCs w:val="16"/>
              </w:rPr>
              <w:t>0</w:t>
            </w:r>
          </w:p>
        </w:tc>
        <w:tc>
          <w:tcPr>
            <w:tcW w:w="615" w:type="dxa"/>
            <w:tcBorders>
              <w:top w:val="single" w:sz="4" w:space="0" w:color="ADD6EA"/>
              <w:left w:val="nil"/>
              <w:bottom w:val="nil"/>
              <w:right w:val="nil"/>
            </w:tcBorders>
            <w:shd w:val="clear" w:color="000000" w:fill="FFFFFF"/>
            <w:vAlign w:val="bottom"/>
            <w:hideMark/>
          </w:tcPr>
          <w:p w14:paraId="7E425F1C" w14:textId="2D7E3CF3" w:rsidR="002D74E2" w:rsidRPr="008246C1" w:rsidRDefault="002D74E2" w:rsidP="002D74E2">
            <w:pPr>
              <w:keepNext/>
              <w:keepLines/>
              <w:tabs>
                <w:tab w:val="clear" w:pos="567"/>
              </w:tabs>
              <w:spacing w:before="0" w:line="240" w:lineRule="auto"/>
              <w:jc w:val="right"/>
              <w:rPr>
                <w:rFonts w:ascii="Open Sans Semibold" w:eastAsia="Times New Roman" w:hAnsi="Open Sans Semibold" w:cs="Open Sans Semibold"/>
                <w:color w:val="000000"/>
                <w:sz w:val="16"/>
                <w:szCs w:val="16"/>
                <w:highlight w:val="yellow"/>
                <w:lang w:eastAsia="en-AU"/>
              </w:rPr>
            </w:pPr>
            <w:r>
              <w:rPr>
                <w:rFonts w:ascii="Open Sans Semibold" w:hAnsi="Open Sans Semibold" w:cs="Open Sans Semibold"/>
                <w:color w:val="000000"/>
                <w:sz w:val="16"/>
                <w:szCs w:val="16"/>
              </w:rPr>
              <w:t>-1</w:t>
            </w:r>
          </w:p>
        </w:tc>
        <w:tc>
          <w:tcPr>
            <w:tcW w:w="616" w:type="dxa"/>
            <w:tcBorders>
              <w:top w:val="single" w:sz="4" w:space="0" w:color="ADD6EA"/>
              <w:left w:val="nil"/>
              <w:bottom w:val="nil"/>
              <w:right w:val="nil"/>
            </w:tcBorders>
            <w:shd w:val="clear" w:color="000000" w:fill="FFFFFF"/>
            <w:vAlign w:val="bottom"/>
            <w:hideMark/>
          </w:tcPr>
          <w:p w14:paraId="5347B2FA" w14:textId="7889B6D0" w:rsidR="002D74E2" w:rsidRPr="008246C1" w:rsidRDefault="002D74E2" w:rsidP="002D74E2">
            <w:pPr>
              <w:keepNext/>
              <w:keepLines/>
              <w:tabs>
                <w:tab w:val="clear" w:pos="567"/>
              </w:tabs>
              <w:spacing w:before="0" w:line="240" w:lineRule="auto"/>
              <w:jc w:val="right"/>
              <w:rPr>
                <w:rFonts w:ascii="Open Sans Semibold" w:eastAsia="Times New Roman" w:hAnsi="Open Sans Semibold" w:cs="Open Sans Semibold"/>
                <w:color w:val="000000"/>
                <w:sz w:val="16"/>
                <w:szCs w:val="16"/>
                <w:highlight w:val="yellow"/>
                <w:lang w:eastAsia="en-AU"/>
              </w:rPr>
            </w:pPr>
            <w:r>
              <w:rPr>
                <w:rFonts w:ascii="Open Sans Semibold" w:hAnsi="Open Sans Semibold" w:cs="Open Sans Semibold"/>
                <w:color w:val="000000"/>
                <w:sz w:val="16"/>
                <w:szCs w:val="16"/>
              </w:rPr>
              <w:t>-4</w:t>
            </w:r>
          </w:p>
        </w:tc>
        <w:tc>
          <w:tcPr>
            <w:tcW w:w="615" w:type="dxa"/>
            <w:tcBorders>
              <w:top w:val="single" w:sz="4" w:space="0" w:color="ADD6EA"/>
              <w:left w:val="nil"/>
              <w:bottom w:val="nil"/>
              <w:right w:val="nil"/>
            </w:tcBorders>
            <w:shd w:val="clear" w:color="000000" w:fill="FFFFFF"/>
            <w:vAlign w:val="bottom"/>
            <w:hideMark/>
          </w:tcPr>
          <w:p w14:paraId="00A9F9C4" w14:textId="1F021963" w:rsidR="002D74E2" w:rsidRPr="008246C1" w:rsidRDefault="002D74E2" w:rsidP="002D74E2">
            <w:pPr>
              <w:keepNext/>
              <w:keepLines/>
              <w:tabs>
                <w:tab w:val="clear" w:pos="567"/>
              </w:tabs>
              <w:spacing w:before="0" w:line="240" w:lineRule="auto"/>
              <w:jc w:val="right"/>
              <w:rPr>
                <w:rFonts w:ascii="Open Sans Semibold" w:eastAsia="Times New Roman" w:hAnsi="Open Sans Semibold" w:cs="Open Sans Semibold"/>
                <w:color w:val="000000"/>
                <w:sz w:val="16"/>
                <w:szCs w:val="16"/>
                <w:highlight w:val="yellow"/>
                <w:lang w:eastAsia="en-AU"/>
              </w:rPr>
            </w:pPr>
            <w:r>
              <w:rPr>
                <w:rFonts w:ascii="Open Sans Semibold" w:hAnsi="Open Sans Semibold" w:cs="Open Sans Semibold"/>
                <w:color w:val="000000"/>
                <w:sz w:val="16"/>
                <w:szCs w:val="16"/>
              </w:rPr>
              <w:t>2</w:t>
            </w:r>
          </w:p>
        </w:tc>
        <w:tc>
          <w:tcPr>
            <w:tcW w:w="512" w:type="dxa"/>
            <w:tcBorders>
              <w:top w:val="single" w:sz="4" w:space="0" w:color="ADD6EA"/>
              <w:left w:val="nil"/>
              <w:bottom w:val="nil"/>
              <w:right w:val="nil"/>
            </w:tcBorders>
            <w:shd w:val="clear" w:color="000000" w:fill="FFFFFF"/>
            <w:vAlign w:val="bottom"/>
            <w:hideMark/>
          </w:tcPr>
          <w:p w14:paraId="13DF789F" w14:textId="1A075EC3" w:rsidR="002D74E2" w:rsidRPr="008246C1" w:rsidRDefault="002D74E2" w:rsidP="002D74E2">
            <w:pPr>
              <w:keepNext/>
              <w:keepLines/>
              <w:tabs>
                <w:tab w:val="clear" w:pos="567"/>
              </w:tabs>
              <w:spacing w:before="0" w:line="240" w:lineRule="auto"/>
              <w:jc w:val="right"/>
              <w:rPr>
                <w:rFonts w:ascii="Open Sans Semibold" w:eastAsia="Times New Roman" w:hAnsi="Open Sans Semibold" w:cs="Open Sans Semibold"/>
                <w:color w:val="000000"/>
                <w:sz w:val="16"/>
                <w:szCs w:val="16"/>
                <w:highlight w:val="yellow"/>
                <w:lang w:eastAsia="en-AU"/>
              </w:rPr>
            </w:pPr>
            <w:r>
              <w:rPr>
                <w:rFonts w:ascii="Open Sans Semibold" w:hAnsi="Open Sans Semibold" w:cs="Open Sans Semibold"/>
                <w:color w:val="000000"/>
                <w:sz w:val="16"/>
                <w:szCs w:val="16"/>
              </w:rPr>
              <w:t>11</w:t>
            </w:r>
          </w:p>
        </w:tc>
        <w:tc>
          <w:tcPr>
            <w:tcW w:w="720" w:type="dxa"/>
            <w:tcBorders>
              <w:top w:val="single" w:sz="4" w:space="0" w:color="ADD6EA"/>
              <w:left w:val="nil"/>
              <w:bottom w:val="nil"/>
              <w:right w:val="nil"/>
            </w:tcBorders>
            <w:shd w:val="clear" w:color="000000" w:fill="FFFFFF"/>
            <w:vAlign w:val="bottom"/>
            <w:hideMark/>
          </w:tcPr>
          <w:p w14:paraId="7F2329E0" w14:textId="391C6A76" w:rsidR="002D74E2" w:rsidRPr="008246C1" w:rsidRDefault="002D74E2" w:rsidP="002D74E2">
            <w:pPr>
              <w:keepNext/>
              <w:keepLines/>
              <w:tabs>
                <w:tab w:val="clear" w:pos="567"/>
              </w:tabs>
              <w:spacing w:before="0" w:line="240" w:lineRule="auto"/>
              <w:jc w:val="right"/>
              <w:rPr>
                <w:rFonts w:ascii="Open Sans Semibold" w:eastAsia="Times New Roman" w:hAnsi="Open Sans Semibold" w:cs="Open Sans Semibold"/>
                <w:color w:val="000000"/>
                <w:sz w:val="16"/>
                <w:szCs w:val="16"/>
                <w:highlight w:val="yellow"/>
                <w:lang w:eastAsia="en-AU"/>
              </w:rPr>
            </w:pPr>
            <w:r>
              <w:rPr>
                <w:rFonts w:ascii="Open Sans Semibold" w:hAnsi="Open Sans Semibold" w:cs="Open Sans Semibold"/>
                <w:color w:val="000000"/>
                <w:sz w:val="16"/>
                <w:szCs w:val="16"/>
              </w:rPr>
              <w:t>0</w:t>
            </w:r>
          </w:p>
        </w:tc>
      </w:tr>
      <w:tr w:rsidR="002D74E2" w:rsidRPr="00C37C1D" w14:paraId="46DD0FFB" w14:textId="77777777">
        <w:trPr>
          <w:trHeight w:val="318"/>
        </w:trPr>
        <w:tc>
          <w:tcPr>
            <w:tcW w:w="3402" w:type="dxa"/>
            <w:tcBorders>
              <w:top w:val="single" w:sz="4" w:space="0" w:color="ADD6EA"/>
              <w:left w:val="nil"/>
              <w:bottom w:val="nil"/>
              <w:right w:val="nil"/>
            </w:tcBorders>
            <w:shd w:val="clear" w:color="000000" w:fill="D6E7F0"/>
            <w:vAlign w:val="bottom"/>
            <w:hideMark/>
          </w:tcPr>
          <w:p w14:paraId="42C3156E" w14:textId="77777777" w:rsidR="002D74E2" w:rsidRPr="00C37C1D" w:rsidRDefault="002D74E2" w:rsidP="002D74E2">
            <w:pPr>
              <w:keepNext/>
              <w:keepLines/>
              <w:tabs>
                <w:tab w:val="clear" w:pos="567"/>
              </w:tabs>
              <w:spacing w:before="0" w:line="240" w:lineRule="auto"/>
              <w:rPr>
                <w:rFonts w:ascii="Open Sans Semibold" w:eastAsia="Times New Roman" w:hAnsi="Open Sans Semibold" w:cs="Open Sans Semibold"/>
                <w:color w:val="000000"/>
                <w:sz w:val="16"/>
                <w:szCs w:val="16"/>
                <w:lang w:eastAsia="en-AU"/>
              </w:rPr>
            </w:pPr>
            <w:r w:rsidRPr="00C37C1D">
              <w:rPr>
                <w:rFonts w:ascii="Open Sans Semibold" w:eastAsia="Times New Roman" w:hAnsi="Open Sans Semibold" w:cs="Open Sans Semibold"/>
                <w:color w:val="000000"/>
                <w:sz w:val="16"/>
                <w:szCs w:val="16"/>
                <w:lang w:eastAsia="en-AU"/>
              </w:rPr>
              <w:t>Total</w:t>
            </w:r>
          </w:p>
        </w:tc>
        <w:tc>
          <w:tcPr>
            <w:tcW w:w="615" w:type="dxa"/>
            <w:tcBorders>
              <w:top w:val="single" w:sz="4" w:space="0" w:color="ADD6EA"/>
              <w:left w:val="nil"/>
              <w:bottom w:val="single" w:sz="4" w:space="0" w:color="ADD6EA"/>
              <w:right w:val="nil"/>
            </w:tcBorders>
            <w:shd w:val="clear" w:color="000000" w:fill="D6E7F0"/>
            <w:vAlign w:val="bottom"/>
            <w:hideMark/>
          </w:tcPr>
          <w:p w14:paraId="5119EABD" w14:textId="668A61B5" w:rsidR="002D74E2" w:rsidRPr="008246C1" w:rsidRDefault="002D74E2" w:rsidP="002D74E2">
            <w:pPr>
              <w:keepNext/>
              <w:keepLines/>
              <w:tabs>
                <w:tab w:val="clear" w:pos="567"/>
              </w:tabs>
              <w:spacing w:before="0" w:line="240" w:lineRule="auto"/>
              <w:jc w:val="right"/>
              <w:rPr>
                <w:rFonts w:ascii="Open Sans Semibold" w:eastAsia="Times New Roman" w:hAnsi="Open Sans Semibold" w:cs="Open Sans Semibold"/>
                <w:color w:val="000000"/>
                <w:sz w:val="16"/>
                <w:szCs w:val="16"/>
                <w:highlight w:val="yellow"/>
                <w:lang w:eastAsia="en-AU"/>
              </w:rPr>
            </w:pPr>
            <w:r>
              <w:rPr>
                <w:rFonts w:ascii="Open Sans Semibold" w:hAnsi="Open Sans Semibold" w:cs="Open Sans Semibold"/>
                <w:color w:val="000000"/>
                <w:sz w:val="16"/>
                <w:szCs w:val="16"/>
              </w:rPr>
              <w:t>6</w:t>
            </w:r>
          </w:p>
        </w:tc>
        <w:tc>
          <w:tcPr>
            <w:tcW w:w="616" w:type="dxa"/>
            <w:tcBorders>
              <w:top w:val="single" w:sz="4" w:space="0" w:color="ADD6EA"/>
              <w:left w:val="nil"/>
              <w:bottom w:val="single" w:sz="4" w:space="0" w:color="ADD6EA"/>
              <w:right w:val="nil"/>
            </w:tcBorders>
            <w:shd w:val="clear" w:color="000000" w:fill="D6E7F0"/>
            <w:vAlign w:val="bottom"/>
            <w:hideMark/>
          </w:tcPr>
          <w:p w14:paraId="6A4F33F7" w14:textId="7471C4E9" w:rsidR="002D74E2" w:rsidRPr="008246C1" w:rsidRDefault="002D74E2" w:rsidP="002D74E2">
            <w:pPr>
              <w:keepNext/>
              <w:keepLines/>
              <w:tabs>
                <w:tab w:val="clear" w:pos="567"/>
              </w:tabs>
              <w:spacing w:before="0" w:line="240" w:lineRule="auto"/>
              <w:jc w:val="right"/>
              <w:rPr>
                <w:rFonts w:ascii="Open Sans Semibold" w:eastAsia="Times New Roman" w:hAnsi="Open Sans Semibold" w:cs="Open Sans Semibold"/>
                <w:color w:val="000000"/>
                <w:sz w:val="16"/>
                <w:szCs w:val="16"/>
                <w:highlight w:val="yellow"/>
                <w:lang w:eastAsia="en-AU"/>
              </w:rPr>
            </w:pPr>
            <w:r>
              <w:rPr>
                <w:rFonts w:ascii="Open Sans Semibold" w:hAnsi="Open Sans Semibold" w:cs="Open Sans Semibold"/>
                <w:color w:val="000000"/>
                <w:sz w:val="16"/>
                <w:szCs w:val="16"/>
              </w:rPr>
              <w:t>-8</w:t>
            </w:r>
          </w:p>
        </w:tc>
        <w:tc>
          <w:tcPr>
            <w:tcW w:w="615" w:type="dxa"/>
            <w:tcBorders>
              <w:top w:val="single" w:sz="4" w:space="0" w:color="ADD6EA"/>
              <w:left w:val="nil"/>
              <w:bottom w:val="single" w:sz="4" w:space="0" w:color="ADD6EA"/>
              <w:right w:val="nil"/>
            </w:tcBorders>
            <w:shd w:val="clear" w:color="000000" w:fill="D6E7F0"/>
            <w:vAlign w:val="bottom"/>
            <w:hideMark/>
          </w:tcPr>
          <w:p w14:paraId="7B898CBA" w14:textId="3FAB98C1" w:rsidR="002D74E2" w:rsidRPr="008246C1" w:rsidRDefault="002D74E2" w:rsidP="002D74E2">
            <w:pPr>
              <w:keepNext/>
              <w:keepLines/>
              <w:tabs>
                <w:tab w:val="clear" w:pos="567"/>
              </w:tabs>
              <w:spacing w:before="0" w:line="240" w:lineRule="auto"/>
              <w:jc w:val="right"/>
              <w:rPr>
                <w:rFonts w:ascii="Open Sans Semibold" w:eastAsia="Times New Roman" w:hAnsi="Open Sans Semibold" w:cs="Open Sans Semibold"/>
                <w:color w:val="000000"/>
                <w:sz w:val="16"/>
                <w:szCs w:val="16"/>
                <w:highlight w:val="yellow"/>
                <w:lang w:eastAsia="en-AU"/>
              </w:rPr>
            </w:pPr>
            <w:r>
              <w:rPr>
                <w:rFonts w:ascii="Open Sans Semibold" w:hAnsi="Open Sans Semibold" w:cs="Open Sans Semibold"/>
                <w:color w:val="000000"/>
                <w:sz w:val="16"/>
                <w:szCs w:val="16"/>
              </w:rPr>
              <w:t>6</w:t>
            </w:r>
          </w:p>
        </w:tc>
        <w:tc>
          <w:tcPr>
            <w:tcW w:w="616" w:type="dxa"/>
            <w:tcBorders>
              <w:top w:val="single" w:sz="4" w:space="0" w:color="ADD6EA"/>
              <w:left w:val="nil"/>
              <w:bottom w:val="single" w:sz="4" w:space="0" w:color="ADD6EA"/>
              <w:right w:val="nil"/>
            </w:tcBorders>
            <w:shd w:val="clear" w:color="000000" w:fill="D6E7F0"/>
            <w:vAlign w:val="bottom"/>
            <w:hideMark/>
          </w:tcPr>
          <w:p w14:paraId="66E8C164" w14:textId="40D373B8" w:rsidR="002D74E2" w:rsidRPr="008246C1" w:rsidRDefault="002D74E2" w:rsidP="002D74E2">
            <w:pPr>
              <w:keepNext/>
              <w:keepLines/>
              <w:tabs>
                <w:tab w:val="clear" w:pos="567"/>
              </w:tabs>
              <w:spacing w:before="0" w:line="240" w:lineRule="auto"/>
              <w:jc w:val="right"/>
              <w:rPr>
                <w:rFonts w:ascii="Open Sans Semibold" w:eastAsia="Times New Roman" w:hAnsi="Open Sans Semibold" w:cs="Open Sans Semibold"/>
                <w:color w:val="000000"/>
                <w:sz w:val="16"/>
                <w:szCs w:val="16"/>
                <w:highlight w:val="yellow"/>
                <w:lang w:eastAsia="en-AU"/>
              </w:rPr>
            </w:pPr>
            <w:r>
              <w:rPr>
                <w:rFonts w:ascii="Open Sans Semibold" w:hAnsi="Open Sans Semibold" w:cs="Open Sans Semibold"/>
                <w:color w:val="000000"/>
                <w:sz w:val="16"/>
                <w:szCs w:val="16"/>
              </w:rPr>
              <w:t>-5</w:t>
            </w:r>
          </w:p>
        </w:tc>
        <w:tc>
          <w:tcPr>
            <w:tcW w:w="615" w:type="dxa"/>
            <w:tcBorders>
              <w:top w:val="single" w:sz="4" w:space="0" w:color="ADD6EA"/>
              <w:left w:val="nil"/>
              <w:bottom w:val="single" w:sz="4" w:space="0" w:color="ADD6EA"/>
              <w:right w:val="nil"/>
            </w:tcBorders>
            <w:shd w:val="clear" w:color="000000" w:fill="D6E7F0"/>
            <w:vAlign w:val="bottom"/>
            <w:hideMark/>
          </w:tcPr>
          <w:p w14:paraId="0A50030E" w14:textId="479F7430" w:rsidR="002D74E2" w:rsidRPr="008246C1" w:rsidRDefault="002D74E2" w:rsidP="002D74E2">
            <w:pPr>
              <w:keepNext/>
              <w:keepLines/>
              <w:tabs>
                <w:tab w:val="clear" w:pos="567"/>
              </w:tabs>
              <w:spacing w:before="0" w:line="240" w:lineRule="auto"/>
              <w:jc w:val="right"/>
              <w:rPr>
                <w:rFonts w:ascii="Open Sans Semibold" w:eastAsia="Times New Roman" w:hAnsi="Open Sans Semibold" w:cs="Open Sans Semibold"/>
                <w:color w:val="000000"/>
                <w:sz w:val="16"/>
                <w:szCs w:val="16"/>
                <w:highlight w:val="yellow"/>
                <w:lang w:eastAsia="en-AU"/>
              </w:rPr>
            </w:pPr>
            <w:r>
              <w:rPr>
                <w:rFonts w:ascii="Open Sans Semibold" w:hAnsi="Open Sans Semibold" w:cs="Open Sans Semibold"/>
                <w:color w:val="000000"/>
                <w:sz w:val="16"/>
                <w:szCs w:val="16"/>
              </w:rPr>
              <w:t>-6</w:t>
            </w:r>
          </w:p>
        </w:tc>
        <w:tc>
          <w:tcPr>
            <w:tcW w:w="616" w:type="dxa"/>
            <w:tcBorders>
              <w:top w:val="single" w:sz="4" w:space="0" w:color="ADD6EA"/>
              <w:left w:val="nil"/>
              <w:bottom w:val="single" w:sz="4" w:space="0" w:color="ADD6EA"/>
              <w:right w:val="nil"/>
            </w:tcBorders>
            <w:shd w:val="clear" w:color="000000" w:fill="D6E7F0"/>
            <w:vAlign w:val="bottom"/>
            <w:hideMark/>
          </w:tcPr>
          <w:p w14:paraId="3A91EEE0" w14:textId="698A42F9" w:rsidR="002D74E2" w:rsidRPr="008246C1" w:rsidRDefault="002D74E2" w:rsidP="002D74E2">
            <w:pPr>
              <w:keepNext/>
              <w:keepLines/>
              <w:tabs>
                <w:tab w:val="clear" w:pos="567"/>
              </w:tabs>
              <w:spacing w:before="0" w:line="240" w:lineRule="auto"/>
              <w:jc w:val="right"/>
              <w:rPr>
                <w:rFonts w:ascii="Open Sans Semibold" w:eastAsia="Times New Roman" w:hAnsi="Open Sans Semibold" w:cs="Open Sans Semibold"/>
                <w:color w:val="000000"/>
                <w:sz w:val="16"/>
                <w:szCs w:val="16"/>
                <w:highlight w:val="yellow"/>
                <w:lang w:eastAsia="en-AU"/>
              </w:rPr>
            </w:pPr>
            <w:r>
              <w:rPr>
                <w:rFonts w:ascii="Open Sans Semibold" w:hAnsi="Open Sans Semibold" w:cs="Open Sans Semibold"/>
                <w:color w:val="000000"/>
                <w:sz w:val="16"/>
                <w:szCs w:val="16"/>
              </w:rPr>
              <w:t>14</w:t>
            </w:r>
          </w:p>
        </w:tc>
        <w:tc>
          <w:tcPr>
            <w:tcW w:w="615" w:type="dxa"/>
            <w:tcBorders>
              <w:top w:val="single" w:sz="4" w:space="0" w:color="ADD6EA"/>
              <w:left w:val="nil"/>
              <w:bottom w:val="single" w:sz="4" w:space="0" w:color="ADD6EA"/>
              <w:right w:val="nil"/>
            </w:tcBorders>
            <w:shd w:val="clear" w:color="000000" w:fill="D6E7F0"/>
            <w:vAlign w:val="bottom"/>
            <w:hideMark/>
          </w:tcPr>
          <w:p w14:paraId="0B85E976" w14:textId="22A3666C" w:rsidR="002D74E2" w:rsidRPr="008246C1" w:rsidRDefault="002D74E2" w:rsidP="002D74E2">
            <w:pPr>
              <w:keepNext/>
              <w:keepLines/>
              <w:tabs>
                <w:tab w:val="clear" w:pos="567"/>
              </w:tabs>
              <w:spacing w:before="0" w:line="240" w:lineRule="auto"/>
              <w:jc w:val="right"/>
              <w:rPr>
                <w:rFonts w:ascii="Open Sans Semibold" w:eastAsia="Times New Roman" w:hAnsi="Open Sans Semibold" w:cs="Open Sans Semibold"/>
                <w:color w:val="000000"/>
                <w:sz w:val="16"/>
                <w:szCs w:val="16"/>
                <w:highlight w:val="yellow"/>
                <w:lang w:eastAsia="en-AU"/>
              </w:rPr>
            </w:pPr>
            <w:r>
              <w:rPr>
                <w:rFonts w:ascii="Open Sans Semibold" w:hAnsi="Open Sans Semibold" w:cs="Open Sans Semibold"/>
                <w:color w:val="000000"/>
                <w:sz w:val="16"/>
                <w:szCs w:val="16"/>
              </w:rPr>
              <w:t>-7</w:t>
            </w:r>
          </w:p>
        </w:tc>
        <w:tc>
          <w:tcPr>
            <w:tcW w:w="512" w:type="dxa"/>
            <w:tcBorders>
              <w:top w:val="single" w:sz="4" w:space="0" w:color="ADD6EA"/>
              <w:left w:val="nil"/>
              <w:bottom w:val="single" w:sz="4" w:space="0" w:color="ADD6EA"/>
              <w:right w:val="nil"/>
            </w:tcBorders>
            <w:shd w:val="clear" w:color="000000" w:fill="D6E7F0"/>
            <w:vAlign w:val="bottom"/>
            <w:hideMark/>
          </w:tcPr>
          <w:p w14:paraId="2B59FE6E" w14:textId="2F6629C9" w:rsidR="002D74E2" w:rsidRPr="008246C1" w:rsidRDefault="002D74E2" w:rsidP="002D74E2">
            <w:pPr>
              <w:keepNext/>
              <w:keepLines/>
              <w:tabs>
                <w:tab w:val="clear" w:pos="567"/>
              </w:tabs>
              <w:spacing w:before="0" w:line="240" w:lineRule="auto"/>
              <w:jc w:val="right"/>
              <w:rPr>
                <w:rFonts w:ascii="Open Sans Semibold" w:eastAsia="Times New Roman" w:hAnsi="Open Sans Semibold" w:cs="Open Sans Semibold"/>
                <w:color w:val="000000"/>
                <w:sz w:val="16"/>
                <w:szCs w:val="16"/>
                <w:highlight w:val="yellow"/>
                <w:lang w:eastAsia="en-AU"/>
              </w:rPr>
            </w:pPr>
            <w:r>
              <w:rPr>
                <w:rFonts w:ascii="Open Sans Semibold" w:hAnsi="Open Sans Semibold" w:cs="Open Sans Semibold"/>
                <w:color w:val="000000"/>
                <w:sz w:val="16"/>
                <w:szCs w:val="16"/>
              </w:rPr>
              <w:t>-14</w:t>
            </w:r>
          </w:p>
        </w:tc>
        <w:tc>
          <w:tcPr>
            <w:tcW w:w="720" w:type="dxa"/>
            <w:tcBorders>
              <w:top w:val="single" w:sz="4" w:space="0" w:color="ADD6EA"/>
              <w:left w:val="nil"/>
              <w:bottom w:val="single" w:sz="4" w:space="0" w:color="ADD6EA"/>
              <w:right w:val="nil"/>
            </w:tcBorders>
            <w:shd w:val="clear" w:color="000000" w:fill="D6E7F0"/>
            <w:vAlign w:val="bottom"/>
            <w:hideMark/>
          </w:tcPr>
          <w:p w14:paraId="36827C08" w14:textId="157C8DF1" w:rsidR="002D74E2" w:rsidRPr="008246C1" w:rsidRDefault="002D74E2" w:rsidP="002D74E2">
            <w:pPr>
              <w:keepNext/>
              <w:keepLines/>
              <w:tabs>
                <w:tab w:val="clear" w:pos="567"/>
              </w:tabs>
              <w:spacing w:before="0" w:line="240" w:lineRule="auto"/>
              <w:jc w:val="right"/>
              <w:rPr>
                <w:rFonts w:ascii="Open Sans Semibold" w:eastAsia="Times New Roman" w:hAnsi="Open Sans Semibold" w:cs="Open Sans Semibold"/>
                <w:color w:val="000000"/>
                <w:sz w:val="16"/>
                <w:szCs w:val="16"/>
                <w:highlight w:val="yellow"/>
                <w:lang w:eastAsia="en-AU"/>
              </w:rPr>
            </w:pPr>
            <w:r>
              <w:rPr>
                <w:rFonts w:ascii="Open Sans Semibold" w:hAnsi="Open Sans Semibold" w:cs="Open Sans Semibold"/>
                <w:color w:val="000000"/>
                <w:sz w:val="16"/>
                <w:szCs w:val="16"/>
              </w:rPr>
              <w:t>3</w:t>
            </w:r>
          </w:p>
        </w:tc>
      </w:tr>
    </w:tbl>
    <w:p w14:paraId="000498A3" w14:textId="77777777" w:rsidR="0092793D" w:rsidRDefault="0092793D" w:rsidP="0092793D">
      <w:pPr>
        <w:pStyle w:val="CGC2025TableNote"/>
        <w:keepNext/>
        <w:keepLines/>
        <w:numPr>
          <w:ilvl w:val="0"/>
          <w:numId w:val="39"/>
        </w:numPr>
      </w:pPr>
      <w:r>
        <w:t xml:space="preserve">OLS refers to the other legal services component.  </w:t>
      </w:r>
    </w:p>
    <w:p w14:paraId="4B60479B" w14:textId="77777777" w:rsidR="0092793D" w:rsidRDefault="0092793D" w:rsidP="0092793D">
      <w:pPr>
        <w:pStyle w:val="CGC2025TableNote"/>
        <w:keepNext/>
        <w:keepLines/>
        <w:numPr>
          <w:ilvl w:val="0"/>
          <w:numId w:val="39"/>
        </w:numPr>
      </w:pPr>
      <w:r>
        <w:t>Introducing the juvenile detainee cost weight required a change to the age groups across components. This line represents the combined impact of this change.</w:t>
      </w:r>
    </w:p>
    <w:p w14:paraId="47A7ED76" w14:textId="77777777" w:rsidR="0092793D" w:rsidRPr="00EA5207" w:rsidRDefault="0092793D" w:rsidP="0092793D">
      <w:pPr>
        <w:tabs>
          <w:tab w:val="clear" w:pos="567"/>
        </w:tabs>
        <w:spacing w:before="0" w:after="200" w:line="276" w:lineRule="auto"/>
        <w:rPr>
          <w:rFonts w:ascii="Work Sans" w:hAnsi="Work Sans"/>
          <w:sz w:val="14"/>
        </w:rPr>
      </w:pPr>
      <w:r>
        <w:br w:type="page"/>
      </w:r>
    </w:p>
    <w:p w14:paraId="104D9BA4" w14:textId="77777777" w:rsidR="0092793D" w:rsidRDefault="0092793D" w:rsidP="0092793D">
      <w:pPr>
        <w:pStyle w:val="Heading3"/>
        <w:keepNext/>
      </w:pPr>
      <w:r>
        <w:lastRenderedPageBreak/>
        <w:t>Police</w:t>
      </w:r>
    </w:p>
    <w:p w14:paraId="0C5898E8" w14:textId="19BAC542" w:rsidR="0092793D" w:rsidRDefault="0092793D" w:rsidP="0092793D">
      <w:pPr>
        <w:pStyle w:val="CGC2025ParaNumbers"/>
      </w:pPr>
      <w:r>
        <w:t xml:space="preserve">Allocating police central costs on the basis of a 50% proportion of police district expenses and 50% proportion of full-time equivalent staff increased the relative expenses allocated to major cities and </w:t>
      </w:r>
      <w:r w:rsidR="009D0CA6">
        <w:t xml:space="preserve">outer </w:t>
      </w:r>
      <w:r>
        <w:t>regional areas, and lowered expenses allocated to remote areas. This reduced the assessed GST needs of states with larger remote populations, such as Western Australia and the Northern Territory. It increased the needs of states with larger non-remote populations, such as the ACT.</w:t>
      </w:r>
    </w:p>
    <w:p w14:paraId="3DEEA3D8" w14:textId="77777777" w:rsidR="0092793D" w:rsidRDefault="0092793D" w:rsidP="0092793D">
      <w:pPr>
        <w:pStyle w:val="CGC2025ParaNumbers"/>
      </w:pPr>
      <w:r>
        <w:t xml:space="preserve">Combining remote and very remote costs increased the assessed expense needs of very remote populations and decreased the needs of remote populations. This change increased the assessed GST needs of the Northern Territory and decreased the needs of South Australia.  </w:t>
      </w:r>
    </w:p>
    <w:p w14:paraId="07106BB7" w14:textId="77777777" w:rsidR="0092793D" w:rsidRDefault="0092793D" w:rsidP="0092793D">
      <w:pPr>
        <w:pStyle w:val="CGC2025ParaNumbers"/>
      </w:pPr>
      <w:r>
        <w:t>Increasing the socio-economic status structure of First Nations offenders from a 3</w:t>
      </w:r>
      <w:r>
        <w:noBreakHyphen/>
        <w:t xml:space="preserve">tier system to a 5-tier system increased the use weights applied to First Nations populations experiencing the highest level of socio-economic disadvantage and decreased the use weights applied to First Nations populations experiencing the lowest levels of socio-economic disadvantage. This change increased the assessed GST need of states with a greater proportion of First Nations populations experiencing the highest levels of socio-economic disadvantage, such as the Northern Territory. It reduced needs for states with a below-average proportion of this population, such as the ACT.   </w:t>
      </w:r>
    </w:p>
    <w:p w14:paraId="1C010195" w14:textId="77777777" w:rsidR="0092793D" w:rsidRDefault="0092793D" w:rsidP="0092793D">
      <w:pPr>
        <w:pStyle w:val="Heading3"/>
        <w:keepNext/>
      </w:pPr>
      <w:r>
        <w:t xml:space="preserve">Criminal courts and other legal services </w:t>
      </w:r>
    </w:p>
    <w:p w14:paraId="6DA66A26" w14:textId="2C8FDABD" w:rsidR="0092793D" w:rsidRDefault="0092793D" w:rsidP="0092793D">
      <w:pPr>
        <w:pStyle w:val="CGC2025ParaNumbers"/>
      </w:pPr>
      <w:r>
        <w:t>Under the new method of allocating no</w:t>
      </w:r>
      <w:r w:rsidR="00BD2D47">
        <w:t>n</w:t>
      </w:r>
      <w:r>
        <w:t>-stated Indigenous status responses by proportions of stated responses, states with a higher proportion of First Nations people tended to have increased assessed GST needs (such as Queensland</w:t>
      </w:r>
      <w:r w:rsidR="002A18EC" w:rsidRPr="005D6049">
        <w:t>, Tasmania</w:t>
      </w:r>
      <w:r>
        <w:t xml:space="preserve"> and the Northern Territory). </w:t>
      </w:r>
    </w:p>
    <w:p w14:paraId="2443166A" w14:textId="6DB768DA" w:rsidR="0092793D" w:rsidRDefault="0092793D" w:rsidP="0092793D">
      <w:pPr>
        <w:pStyle w:val="CGC2025ParaNumbers"/>
      </w:pPr>
      <w:r>
        <w:t xml:space="preserve">Determining whether non-stated responses are allocated to First Nations defendants or non-Indigenous defendants under the method depends on the composition of each individual socio-demographic sub-group. The largest increases in numbers of defendants that identify as First Nations are in major cities and inner regional areas. </w:t>
      </w:r>
      <w:r w:rsidR="007C527B">
        <w:t>The</w:t>
      </w:r>
      <w:r w:rsidR="001C73C5">
        <w:t>se areas also experienced the</w:t>
      </w:r>
      <w:r w:rsidR="007C527B">
        <w:t xml:space="preserve"> largest decrease in</w:t>
      </w:r>
      <w:r>
        <w:t xml:space="preserve"> non-Indigenous defendants. In some states, such as New South Wales and Queensland, the combination of changes increased the assessed GST needs, but in others, such as Victoria, needs were reduced. </w:t>
      </w:r>
    </w:p>
    <w:p w14:paraId="3CBF957C" w14:textId="523CB035" w:rsidR="0092793D" w:rsidRPr="00BC1E45" w:rsidRDefault="0092793D" w:rsidP="00FB1919">
      <w:pPr>
        <w:pStyle w:val="CGC2025ParaNumbers"/>
      </w:pPr>
      <w:r w:rsidRPr="00BC1E45">
        <w:t xml:space="preserve">Removing the regional </w:t>
      </w:r>
      <w:r w:rsidR="005E70BF">
        <w:t xml:space="preserve">costs </w:t>
      </w:r>
      <w:r w:rsidRPr="00BC1E45">
        <w:t>gradient from the assessments of criminal courts and other legal services decreased the assessed GST needs of states with larger remote populations, such as Western Australia and the Northern Territory, and increased the needs for states with a smaller proportion of remote populations, such as New South</w:t>
      </w:r>
      <w:r w:rsidR="00CE250E" w:rsidRPr="00BC1E45">
        <w:t> </w:t>
      </w:r>
      <w:r w:rsidRPr="00BC1E45">
        <w:t xml:space="preserve">Wales and Victoria. </w:t>
      </w:r>
    </w:p>
    <w:p w14:paraId="1CD679A2" w14:textId="77777777" w:rsidR="0092793D" w:rsidRDefault="0092793D" w:rsidP="0092793D">
      <w:pPr>
        <w:pStyle w:val="Heading3"/>
        <w:keepNext/>
        <w:keepLines/>
      </w:pPr>
      <w:r>
        <w:lastRenderedPageBreak/>
        <w:t xml:space="preserve">Prisons </w:t>
      </w:r>
    </w:p>
    <w:p w14:paraId="6B050F8B" w14:textId="77777777" w:rsidR="0092793D" w:rsidRDefault="0092793D" w:rsidP="0092793D">
      <w:pPr>
        <w:pStyle w:val="CGC2025ParaNumbers"/>
      </w:pPr>
      <w:r>
        <w:t xml:space="preserve">Introducing an assessment of the additional costs of juvenile detainees increased the assessed GST needs of states with a greater share of the assessed juvenile detainee population, such as the Northern Territory. This was largely driven by states’ relative shares of the 0–17 aged population, predominately those who experience disadvantage and/or who identify as First Nations.  </w:t>
      </w:r>
    </w:p>
    <w:p w14:paraId="3C324394" w14:textId="030B495F" w:rsidR="0092793D" w:rsidRDefault="0092793D" w:rsidP="0092793D">
      <w:pPr>
        <w:pStyle w:val="CGC2025ParaNumbers"/>
      </w:pPr>
      <w:r>
        <w:t xml:space="preserve">The new method of allocating non-stated Indigenous status of defendants in </w:t>
      </w:r>
      <w:r w:rsidR="00D65740">
        <w:t xml:space="preserve">the </w:t>
      </w:r>
      <w:r>
        <w:t xml:space="preserve">criminal courts assessment impacts the prisons assessment because defendant data are used to impute the socio-economic profile of prisoners. The change reduced the share of prisoners who identify as First Nations who experience the highest level of socio-economic disadvantage. This reduced the assessed GST needs of states with a greater proportion of First Nations populations experiencing the highest level of socio-economic disadvantage, particularly the Northern Territory. It increased needs for states with a below-average proportion of this population, such as the ACT. </w:t>
      </w:r>
    </w:p>
    <w:p w14:paraId="6F5756CF" w14:textId="5A55894A" w:rsidR="0092793D" w:rsidRDefault="0092793D" w:rsidP="0092793D">
      <w:pPr>
        <w:pStyle w:val="CGC2025ParaNumbers"/>
      </w:pPr>
      <w:r>
        <w:t>Replacing the regional cost</w:t>
      </w:r>
      <w:r w:rsidR="00CD38CC">
        <w:t>s</w:t>
      </w:r>
      <w:r>
        <w:t xml:space="preserve"> gradient with the general service delivery scale </w:t>
      </w:r>
      <w:r w:rsidR="001D24F6">
        <w:t xml:space="preserve">costs </w:t>
      </w:r>
      <w:r>
        <w:t xml:space="preserve">gradient increased the assessed cost per prisoner in regional areas and very remote areas and reduced the assessed cost per prisoner in remote areas. This increased the assessed GST needs of states with greater shares of regional populations, such as Tasmania, and/or very remote populations, such as the Northern Territory. </w:t>
      </w:r>
    </w:p>
    <w:p w14:paraId="12412CA8" w14:textId="77777777" w:rsidR="008246C1" w:rsidRDefault="008246C1" w:rsidP="008246C1">
      <w:pPr>
        <w:pStyle w:val="Heading3"/>
      </w:pPr>
      <w:r>
        <w:t>Investment in justice</w:t>
      </w:r>
    </w:p>
    <w:p w14:paraId="695AD324" w14:textId="09125C99" w:rsidR="008246C1" w:rsidRPr="00B17B37" w:rsidRDefault="008246C1" w:rsidP="00FB1919">
      <w:pPr>
        <w:pStyle w:val="CGC2025ParaNumbers"/>
      </w:pPr>
      <w:r>
        <w:t>There are no method changes to the investment assessment. However, changes to the recurrent justice assessment flow through to the investment assessment. States that receive an increase in GST due to the recurrent method changes receive an increase in GST due to the resultant change in the investment. This is shown in Table </w:t>
      </w:r>
      <w:r w:rsidR="009B57B8" w:rsidRPr="008B7491">
        <w:t>4</w:t>
      </w:r>
      <w:r w:rsidRPr="008B7491">
        <w:t>.</w:t>
      </w:r>
    </w:p>
    <w:p w14:paraId="5C62E910" w14:textId="1FA33D73" w:rsidR="008246C1" w:rsidRPr="00FD386A" w:rsidRDefault="008246C1" w:rsidP="00363964">
      <w:pPr>
        <w:pStyle w:val="CGC2025Caption"/>
        <w:keepNext/>
        <w:keepLines/>
        <w:ind w:left="1134" w:hanging="1134"/>
      </w:pPr>
      <w:r>
        <w:t xml:space="preserve">Table </w:t>
      </w:r>
      <w:r w:rsidR="009B57B8" w:rsidRPr="008B7491">
        <w:t>4</w:t>
      </w:r>
      <w:r>
        <w:tab/>
        <w:t xml:space="preserve">Impact on GST distribution from justice method changes on investment, </w:t>
      </w:r>
      <w:r w:rsidR="002639E1">
        <w:br/>
      </w:r>
      <w:r>
        <w:t>2025–26 to 2026–27</w:t>
      </w:r>
    </w:p>
    <w:tbl>
      <w:tblPr>
        <w:tblW w:w="8931" w:type="dxa"/>
        <w:tblLook w:val="04A0" w:firstRow="1" w:lastRow="0" w:firstColumn="1" w:lastColumn="0" w:noHBand="0" w:noVBand="1"/>
      </w:tblPr>
      <w:tblGrid>
        <w:gridCol w:w="2332"/>
        <w:gridCol w:w="286"/>
        <w:gridCol w:w="581"/>
        <w:gridCol w:w="692"/>
        <w:gridCol w:w="645"/>
        <w:gridCol w:w="805"/>
        <w:gridCol w:w="613"/>
        <w:gridCol w:w="709"/>
        <w:gridCol w:w="708"/>
        <w:gridCol w:w="709"/>
        <w:gridCol w:w="851"/>
      </w:tblGrid>
      <w:tr w:rsidR="008246C1" w:rsidRPr="001237A3" w14:paraId="3C98B700" w14:textId="77777777" w:rsidTr="3F31BF64">
        <w:trPr>
          <w:trHeight w:val="381"/>
        </w:trPr>
        <w:tc>
          <w:tcPr>
            <w:tcW w:w="2618" w:type="dxa"/>
            <w:gridSpan w:val="2"/>
            <w:tcBorders>
              <w:top w:val="nil"/>
              <w:left w:val="nil"/>
              <w:bottom w:val="nil"/>
              <w:right w:val="nil"/>
            </w:tcBorders>
            <w:shd w:val="clear" w:color="auto" w:fill="006991"/>
            <w:vAlign w:val="bottom"/>
            <w:hideMark/>
          </w:tcPr>
          <w:p w14:paraId="5993F49C" w14:textId="77777777" w:rsidR="008246C1" w:rsidRPr="001237A3" w:rsidRDefault="008246C1" w:rsidP="00B06022">
            <w:pPr>
              <w:tabs>
                <w:tab w:val="clear" w:pos="567"/>
              </w:tabs>
              <w:spacing w:before="0" w:line="240" w:lineRule="auto"/>
              <w:rPr>
                <w:rFonts w:ascii="Open Sans Semibold" w:eastAsia="Times New Roman" w:hAnsi="Open Sans Semibold" w:cs="Open Sans Semibold"/>
                <w:color w:val="FFFFFF"/>
                <w:sz w:val="16"/>
                <w:szCs w:val="16"/>
                <w:lang w:eastAsia="en-AU"/>
              </w:rPr>
            </w:pPr>
            <w:r w:rsidRPr="001237A3">
              <w:rPr>
                <w:rFonts w:ascii="Open Sans Semibold" w:eastAsia="Times New Roman" w:hAnsi="Open Sans Semibold" w:cs="Open Sans Semibold"/>
                <w:color w:val="FFFFFF"/>
                <w:sz w:val="16"/>
                <w:szCs w:val="16"/>
                <w:lang w:eastAsia="en-AU"/>
              </w:rPr>
              <w:t> </w:t>
            </w:r>
          </w:p>
        </w:tc>
        <w:tc>
          <w:tcPr>
            <w:tcW w:w="581" w:type="dxa"/>
            <w:tcBorders>
              <w:top w:val="nil"/>
              <w:left w:val="nil"/>
              <w:bottom w:val="nil"/>
              <w:right w:val="nil"/>
            </w:tcBorders>
            <w:shd w:val="clear" w:color="auto" w:fill="006991"/>
            <w:vAlign w:val="center"/>
            <w:hideMark/>
          </w:tcPr>
          <w:p w14:paraId="1C1BF0CC" w14:textId="77777777" w:rsidR="008246C1" w:rsidRPr="001237A3" w:rsidRDefault="008246C1" w:rsidP="00B06022">
            <w:pPr>
              <w:tabs>
                <w:tab w:val="clear" w:pos="567"/>
              </w:tabs>
              <w:spacing w:before="0" w:line="240" w:lineRule="auto"/>
              <w:jc w:val="right"/>
              <w:rPr>
                <w:rFonts w:ascii="Open Sans Semibold" w:eastAsia="Times New Roman" w:hAnsi="Open Sans Semibold" w:cs="Open Sans Semibold"/>
                <w:color w:val="FFFFFF"/>
                <w:sz w:val="16"/>
                <w:szCs w:val="16"/>
                <w:lang w:eastAsia="en-AU"/>
              </w:rPr>
            </w:pPr>
            <w:r w:rsidRPr="001237A3">
              <w:rPr>
                <w:rFonts w:ascii="Open Sans Semibold" w:eastAsia="Times New Roman" w:hAnsi="Open Sans Semibold" w:cs="Open Sans Semibold"/>
                <w:color w:val="FFFFFF"/>
                <w:sz w:val="16"/>
                <w:szCs w:val="16"/>
                <w:lang w:eastAsia="en-AU"/>
              </w:rPr>
              <w:t>NSW</w:t>
            </w:r>
          </w:p>
        </w:tc>
        <w:tc>
          <w:tcPr>
            <w:tcW w:w="692" w:type="dxa"/>
            <w:tcBorders>
              <w:top w:val="nil"/>
              <w:left w:val="nil"/>
              <w:bottom w:val="nil"/>
              <w:right w:val="nil"/>
            </w:tcBorders>
            <w:shd w:val="clear" w:color="auto" w:fill="006991"/>
            <w:vAlign w:val="center"/>
            <w:hideMark/>
          </w:tcPr>
          <w:p w14:paraId="76F179B4" w14:textId="77777777" w:rsidR="008246C1" w:rsidRPr="001237A3" w:rsidRDefault="008246C1" w:rsidP="00B06022">
            <w:pPr>
              <w:tabs>
                <w:tab w:val="clear" w:pos="567"/>
              </w:tabs>
              <w:spacing w:before="0" w:line="240" w:lineRule="auto"/>
              <w:jc w:val="right"/>
              <w:rPr>
                <w:rFonts w:ascii="Open Sans Semibold" w:eastAsia="Times New Roman" w:hAnsi="Open Sans Semibold" w:cs="Open Sans Semibold"/>
                <w:color w:val="FFFFFF"/>
                <w:sz w:val="16"/>
                <w:szCs w:val="16"/>
                <w:lang w:eastAsia="en-AU"/>
              </w:rPr>
            </w:pPr>
            <w:r w:rsidRPr="001237A3">
              <w:rPr>
                <w:rFonts w:ascii="Open Sans Semibold" w:eastAsia="Times New Roman" w:hAnsi="Open Sans Semibold" w:cs="Open Sans Semibold"/>
                <w:color w:val="FFFFFF"/>
                <w:sz w:val="16"/>
                <w:szCs w:val="16"/>
                <w:lang w:eastAsia="en-AU"/>
              </w:rPr>
              <w:t>Vic</w:t>
            </w:r>
          </w:p>
        </w:tc>
        <w:tc>
          <w:tcPr>
            <w:tcW w:w="645" w:type="dxa"/>
            <w:tcBorders>
              <w:top w:val="nil"/>
              <w:left w:val="nil"/>
              <w:bottom w:val="nil"/>
              <w:right w:val="nil"/>
            </w:tcBorders>
            <w:shd w:val="clear" w:color="auto" w:fill="006991"/>
            <w:vAlign w:val="center"/>
            <w:hideMark/>
          </w:tcPr>
          <w:p w14:paraId="28D6E60E" w14:textId="77777777" w:rsidR="008246C1" w:rsidRPr="001237A3" w:rsidRDefault="008246C1" w:rsidP="00B06022">
            <w:pPr>
              <w:tabs>
                <w:tab w:val="clear" w:pos="567"/>
              </w:tabs>
              <w:spacing w:before="0" w:line="240" w:lineRule="auto"/>
              <w:jc w:val="right"/>
              <w:rPr>
                <w:rFonts w:ascii="Open Sans Semibold" w:eastAsia="Times New Roman" w:hAnsi="Open Sans Semibold" w:cs="Open Sans Semibold"/>
                <w:color w:val="FFFFFF"/>
                <w:sz w:val="16"/>
                <w:szCs w:val="16"/>
                <w:lang w:eastAsia="en-AU"/>
              </w:rPr>
            </w:pPr>
            <w:r w:rsidRPr="001237A3">
              <w:rPr>
                <w:rFonts w:ascii="Open Sans Semibold" w:eastAsia="Times New Roman" w:hAnsi="Open Sans Semibold" w:cs="Open Sans Semibold"/>
                <w:color w:val="FFFFFF"/>
                <w:sz w:val="16"/>
                <w:szCs w:val="16"/>
                <w:lang w:eastAsia="en-AU"/>
              </w:rPr>
              <w:t>Qld</w:t>
            </w:r>
          </w:p>
        </w:tc>
        <w:tc>
          <w:tcPr>
            <w:tcW w:w="805" w:type="dxa"/>
            <w:tcBorders>
              <w:top w:val="nil"/>
              <w:left w:val="nil"/>
              <w:bottom w:val="nil"/>
              <w:right w:val="nil"/>
            </w:tcBorders>
            <w:shd w:val="clear" w:color="auto" w:fill="006991"/>
            <w:vAlign w:val="center"/>
            <w:hideMark/>
          </w:tcPr>
          <w:p w14:paraId="57445DB5" w14:textId="77777777" w:rsidR="008246C1" w:rsidRPr="001237A3" w:rsidRDefault="008246C1" w:rsidP="00B06022">
            <w:pPr>
              <w:tabs>
                <w:tab w:val="clear" w:pos="567"/>
              </w:tabs>
              <w:spacing w:before="0" w:line="240" w:lineRule="auto"/>
              <w:jc w:val="right"/>
              <w:rPr>
                <w:rFonts w:ascii="Open Sans Semibold" w:eastAsia="Times New Roman" w:hAnsi="Open Sans Semibold" w:cs="Open Sans Semibold"/>
                <w:color w:val="FFFFFF"/>
                <w:sz w:val="16"/>
                <w:szCs w:val="16"/>
                <w:lang w:eastAsia="en-AU"/>
              </w:rPr>
            </w:pPr>
            <w:r w:rsidRPr="001237A3">
              <w:rPr>
                <w:rFonts w:ascii="Open Sans Semibold" w:eastAsia="Times New Roman" w:hAnsi="Open Sans Semibold" w:cs="Open Sans Semibold"/>
                <w:color w:val="FFFFFF"/>
                <w:sz w:val="16"/>
                <w:szCs w:val="16"/>
                <w:lang w:eastAsia="en-AU"/>
              </w:rPr>
              <w:t>WA</w:t>
            </w:r>
          </w:p>
        </w:tc>
        <w:tc>
          <w:tcPr>
            <w:tcW w:w="613" w:type="dxa"/>
            <w:tcBorders>
              <w:top w:val="nil"/>
              <w:left w:val="nil"/>
              <w:bottom w:val="nil"/>
              <w:right w:val="nil"/>
            </w:tcBorders>
            <w:shd w:val="clear" w:color="auto" w:fill="006991"/>
            <w:vAlign w:val="center"/>
            <w:hideMark/>
          </w:tcPr>
          <w:p w14:paraId="74CBD28D" w14:textId="77777777" w:rsidR="008246C1" w:rsidRPr="001237A3" w:rsidRDefault="008246C1" w:rsidP="00B06022">
            <w:pPr>
              <w:tabs>
                <w:tab w:val="clear" w:pos="567"/>
              </w:tabs>
              <w:spacing w:before="0" w:line="240" w:lineRule="auto"/>
              <w:jc w:val="right"/>
              <w:rPr>
                <w:rFonts w:ascii="Open Sans Semibold" w:eastAsia="Times New Roman" w:hAnsi="Open Sans Semibold" w:cs="Open Sans Semibold"/>
                <w:color w:val="FFFFFF"/>
                <w:sz w:val="16"/>
                <w:szCs w:val="16"/>
                <w:lang w:eastAsia="en-AU"/>
              </w:rPr>
            </w:pPr>
            <w:r w:rsidRPr="001237A3">
              <w:rPr>
                <w:rFonts w:ascii="Open Sans Semibold" w:eastAsia="Times New Roman" w:hAnsi="Open Sans Semibold" w:cs="Open Sans Semibold"/>
                <w:color w:val="FFFFFF"/>
                <w:sz w:val="16"/>
                <w:szCs w:val="16"/>
                <w:lang w:eastAsia="en-AU"/>
              </w:rPr>
              <w:t>SA</w:t>
            </w:r>
          </w:p>
        </w:tc>
        <w:tc>
          <w:tcPr>
            <w:tcW w:w="709" w:type="dxa"/>
            <w:tcBorders>
              <w:top w:val="nil"/>
              <w:left w:val="nil"/>
              <w:bottom w:val="nil"/>
              <w:right w:val="nil"/>
            </w:tcBorders>
            <w:shd w:val="clear" w:color="auto" w:fill="006991"/>
            <w:vAlign w:val="center"/>
            <w:hideMark/>
          </w:tcPr>
          <w:p w14:paraId="4A595758" w14:textId="77777777" w:rsidR="008246C1" w:rsidRPr="001237A3" w:rsidRDefault="008246C1" w:rsidP="00B06022">
            <w:pPr>
              <w:tabs>
                <w:tab w:val="clear" w:pos="567"/>
              </w:tabs>
              <w:spacing w:before="0" w:line="240" w:lineRule="auto"/>
              <w:jc w:val="right"/>
              <w:rPr>
                <w:rFonts w:ascii="Open Sans Semibold" w:eastAsia="Times New Roman" w:hAnsi="Open Sans Semibold" w:cs="Open Sans Semibold"/>
                <w:color w:val="FFFFFF"/>
                <w:sz w:val="16"/>
                <w:szCs w:val="16"/>
                <w:lang w:eastAsia="en-AU"/>
              </w:rPr>
            </w:pPr>
            <w:r w:rsidRPr="001237A3">
              <w:rPr>
                <w:rFonts w:ascii="Open Sans Semibold" w:eastAsia="Times New Roman" w:hAnsi="Open Sans Semibold" w:cs="Open Sans Semibold"/>
                <w:color w:val="FFFFFF"/>
                <w:sz w:val="16"/>
                <w:szCs w:val="16"/>
                <w:lang w:eastAsia="en-AU"/>
              </w:rPr>
              <w:t>Tas</w:t>
            </w:r>
          </w:p>
        </w:tc>
        <w:tc>
          <w:tcPr>
            <w:tcW w:w="708" w:type="dxa"/>
            <w:tcBorders>
              <w:top w:val="nil"/>
              <w:left w:val="nil"/>
              <w:bottom w:val="nil"/>
              <w:right w:val="nil"/>
            </w:tcBorders>
            <w:shd w:val="clear" w:color="auto" w:fill="006991"/>
            <w:vAlign w:val="center"/>
            <w:hideMark/>
          </w:tcPr>
          <w:p w14:paraId="6078A901" w14:textId="77777777" w:rsidR="008246C1" w:rsidRPr="001237A3" w:rsidRDefault="008246C1" w:rsidP="00B06022">
            <w:pPr>
              <w:tabs>
                <w:tab w:val="clear" w:pos="567"/>
              </w:tabs>
              <w:spacing w:before="0" w:line="240" w:lineRule="auto"/>
              <w:jc w:val="right"/>
              <w:rPr>
                <w:rFonts w:ascii="Open Sans Semibold" w:eastAsia="Times New Roman" w:hAnsi="Open Sans Semibold" w:cs="Open Sans Semibold"/>
                <w:color w:val="FFFFFF"/>
                <w:sz w:val="16"/>
                <w:szCs w:val="16"/>
                <w:lang w:eastAsia="en-AU"/>
              </w:rPr>
            </w:pPr>
            <w:r w:rsidRPr="001237A3">
              <w:rPr>
                <w:rFonts w:ascii="Open Sans Semibold" w:eastAsia="Times New Roman" w:hAnsi="Open Sans Semibold" w:cs="Open Sans Semibold"/>
                <w:color w:val="FFFFFF"/>
                <w:sz w:val="16"/>
                <w:szCs w:val="16"/>
                <w:lang w:eastAsia="en-AU"/>
              </w:rPr>
              <w:t>ACT</w:t>
            </w:r>
          </w:p>
        </w:tc>
        <w:tc>
          <w:tcPr>
            <w:tcW w:w="709" w:type="dxa"/>
            <w:tcBorders>
              <w:top w:val="nil"/>
              <w:left w:val="nil"/>
              <w:bottom w:val="nil"/>
              <w:right w:val="nil"/>
            </w:tcBorders>
            <w:shd w:val="clear" w:color="auto" w:fill="006991"/>
            <w:vAlign w:val="center"/>
            <w:hideMark/>
          </w:tcPr>
          <w:p w14:paraId="0FF863A2" w14:textId="77777777" w:rsidR="008246C1" w:rsidRPr="001237A3" w:rsidRDefault="008246C1" w:rsidP="00B06022">
            <w:pPr>
              <w:tabs>
                <w:tab w:val="clear" w:pos="567"/>
              </w:tabs>
              <w:spacing w:before="0" w:line="240" w:lineRule="auto"/>
              <w:jc w:val="right"/>
              <w:rPr>
                <w:rFonts w:ascii="Open Sans Semibold" w:eastAsia="Times New Roman" w:hAnsi="Open Sans Semibold" w:cs="Open Sans Semibold"/>
                <w:color w:val="FFFFFF"/>
                <w:sz w:val="16"/>
                <w:szCs w:val="16"/>
                <w:lang w:eastAsia="en-AU"/>
              </w:rPr>
            </w:pPr>
            <w:r w:rsidRPr="001237A3">
              <w:rPr>
                <w:rFonts w:ascii="Open Sans Semibold" w:eastAsia="Times New Roman" w:hAnsi="Open Sans Semibold" w:cs="Open Sans Semibold"/>
                <w:color w:val="FFFFFF"/>
                <w:sz w:val="16"/>
                <w:szCs w:val="16"/>
                <w:lang w:eastAsia="en-AU"/>
              </w:rPr>
              <w:t>NT</w:t>
            </w:r>
          </w:p>
        </w:tc>
        <w:tc>
          <w:tcPr>
            <w:tcW w:w="851" w:type="dxa"/>
            <w:tcBorders>
              <w:top w:val="nil"/>
              <w:left w:val="nil"/>
              <w:bottom w:val="nil"/>
              <w:right w:val="nil"/>
            </w:tcBorders>
            <w:shd w:val="clear" w:color="auto" w:fill="006991"/>
            <w:vAlign w:val="center"/>
            <w:hideMark/>
          </w:tcPr>
          <w:p w14:paraId="4712F047" w14:textId="59FEB711" w:rsidR="008246C1" w:rsidRPr="001237A3" w:rsidRDefault="008246C1" w:rsidP="00B06022">
            <w:pPr>
              <w:tabs>
                <w:tab w:val="clear" w:pos="567"/>
              </w:tabs>
              <w:spacing w:before="0" w:line="240" w:lineRule="auto"/>
              <w:jc w:val="right"/>
              <w:rPr>
                <w:rFonts w:ascii="Open Sans Semibold" w:eastAsia="Times New Roman" w:hAnsi="Open Sans Semibold" w:cs="Open Sans Semibold"/>
                <w:color w:val="FFFFFF"/>
                <w:sz w:val="16"/>
                <w:szCs w:val="16"/>
                <w:lang w:eastAsia="en-AU"/>
              </w:rPr>
            </w:pPr>
            <w:r w:rsidRPr="001237A3">
              <w:rPr>
                <w:rFonts w:ascii="Open Sans Semibold" w:eastAsia="Times New Roman" w:hAnsi="Open Sans Semibold" w:cs="Open Sans Semibold"/>
                <w:color w:val="FFFFFF"/>
                <w:sz w:val="16"/>
                <w:szCs w:val="16"/>
                <w:lang w:eastAsia="en-AU"/>
              </w:rPr>
              <w:t>Total</w:t>
            </w:r>
            <w:r>
              <w:rPr>
                <w:rFonts w:ascii="Open Sans Semibold" w:eastAsia="Times New Roman" w:hAnsi="Open Sans Semibold" w:cs="Open Sans Semibold"/>
                <w:color w:val="FFFFFF"/>
                <w:sz w:val="16"/>
                <w:szCs w:val="16"/>
                <w:lang w:eastAsia="en-AU"/>
              </w:rPr>
              <w:t xml:space="preserve"> </w:t>
            </w:r>
            <w:r w:rsidR="00C54491">
              <w:rPr>
                <w:rFonts w:ascii="Open Sans Semibold" w:eastAsia="Times New Roman" w:hAnsi="Open Sans Semibold" w:cs="Open Sans Semibold"/>
                <w:color w:val="FFFFFF"/>
                <w:sz w:val="16"/>
                <w:szCs w:val="16"/>
                <w:lang w:eastAsia="en-AU"/>
              </w:rPr>
              <w:t>e</w:t>
            </w:r>
            <w:r>
              <w:rPr>
                <w:rFonts w:ascii="Open Sans Semibold" w:eastAsia="Times New Roman" w:hAnsi="Open Sans Semibold" w:cs="Open Sans Semibold"/>
                <w:color w:val="FFFFFF"/>
                <w:sz w:val="16"/>
                <w:szCs w:val="16"/>
                <w:lang w:eastAsia="en-AU"/>
              </w:rPr>
              <w:t>ffect</w:t>
            </w:r>
          </w:p>
        </w:tc>
      </w:tr>
      <w:tr w:rsidR="006A0DFF" w14:paraId="72CF0954" w14:textId="77777777" w:rsidTr="3F31BF64">
        <w:trPr>
          <w:trHeight w:val="321"/>
        </w:trPr>
        <w:tc>
          <w:tcPr>
            <w:tcW w:w="2332" w:type="dxa"/>
            <w:tcBorders>
              <w:top w:val="single" w:sz="4" w:space="0" w:color="ADD6EA"/>
              <w:left w:val="nil"/>
              <w:bottom w:val="nil"/>
              <w:right w:val="nil"/>
            </w:tcBorders>
            <w:shd w:val="clear" w:color="auto" w:fill="FFFFFF" w:themeFill="background1"/>
            <w:vAlign w:val="bottom"/>
            <w:hideMark/>
          </w:tcPr>
          <w:p w14:paraId="49B1415B" w14:textId="77777777" w:rsidR="006A0DFF" w:rsidRDefault="006A0DFF" w:rsidP="006A0DFF">
            <w:pPr>
              <w:spacing w:line="240" w:lineRule="auto"/>
              <w:rPr>
                <w:rFonts w:eastAsia="Times New Roman" w:cs="Open Sans Light"/>
                <w:color w:val="000000"/>
                <w:sz w:val="16"/>
                <w:szCs w:val="16"/>
                <w:lang w:eastAsia="en-AU"/>
              </w:rPr>
            </w:pPr>
            <w:r>
              <w:rPr>
                <w:rFonts w:eastAsia="Times New Roman" w:cs="Open Sans Light"/>
                <w:color w:val="000000"/>
                <w:sz w:val="16"/>
                <w:szCs w:val="16"/>
                <w:lang w:eastAsia="en-AU"/>
              </w:rPr>
              <w:t>$m</w:t>
            </w:r>
          </w:p>
        </w:tc>
        <w:tc>
          <w:tcPr>
            <w:tcW w:w="867" w:type="dxa"/>
            <w:gridSpan w:val="2"/>
            <w:tcBorders>
              <w:top w:val="single" w:sz="4" w:space="0" w:color="ADD6EA"/>
              <w:left w:val="nil"/>
              <w:bottom w:val="nil"/>
              <w:right w:val="nil"/>
            </w:tcBorders>
            <w:shd w:val="clear" w:color="auto" w:fill="FFFFFF" w:themeFill="background1"/>
            <w:vAlign w:val="bottom"/>
            <w:hideMark/>
          </w:tcPr>
          <w:p w14:paraId="30252F67" w14:textId="193DDD85" w:rsidR="006A0DFF" w:rsidRPr="001A5511" w:rsidRDefault="006A0DFF" w:rsidP="006A0DFF">
            <w:pPr>
              <w:spacing w:line="240" w:lineRule="auto"/>
              <w:jc w:val="right"/>
              <w:rPr>
                <w:rFonts w:eastAsia="Times New Roman" w:cs="Open Sans Light"/>
                <w:color w:val="000000"/>
                <w:sz w:val="16"/>
                <w:szCs w:val="16"/>
                <w:lang w:eastAsia="en-AU"/>
              </w:rPr>
            </w:pPr>
            <w:r>
              <w:rPr>
                <w:rFonts w:cs="Open Sans Light"/>
                <w:color w:val="000000"/>
                <w:sz w:val="16"/>
                <w:szCs w:val="16"/>
              </w:rPr>
              <w:t>32</w:t>
            </w:r>
          </w:p>
        </w:tc>
        <w:tc>
          <w:tcPr>
            <w:tcW w:w="692" w:type="dxa"/>
            <w:tcBorders>
              <w:top w:val="single" w:sz="4" w:space="0" w:color="ADD6EA"/>
              <w:left w:val="nil"/>
              <w:bottom w:val="nil"/>
              <w:right w:val="nil"/>
            </w:tcBorders>
            <w:shd w:val="clear" w:color="auto" w:fill="FFFFFF" w:themeFill="background1"/>
            <w:vAlign w:val="bottom"/>
            <w:hideMark/>
          </w:tcPr>
          <w:p w14:paraId="1D98591D" w14:textId="2F9E744C" w:rsidR="006A0DFF" w:rsidRPr="001A5511" w:rsidRDefault="006A0DFF" w:rsidP="006A0DFF">
            <w:pPr>
              <w:spacing w:line="240" w:lineRule="auto"/>
              <w:jc w:val="right"/>
              <w:rPr>
                <w:rFonts w:eastAsia="Times New Roman" w:cs="Open Sans Light"/>
                <w:color w:val="000000"/>
                <w:sz w:val="16"/>
                <w:szCs w:val="16"/>
                <w:lang w:eastAsia="en-AU"/>
              </w:rPr>
            </w:pPr>
            <w:r>
              <w:rPr>
                <w:rFonts w:cs="Open Sans Light"/>
                <w:color w:val="000000"/>
                <w:sz w:val="16"/>
                <w:szCs w:val="16"/>
              </w:rPr>
              <w:t>-19</w:t>
            </w:r>
          </w:p>
        </w:tc>
        <w:tc>
          <w:tcPr>
            <w:tcW w:w="645" w:type="dxa"/>
            <w:tcBorders>
              <w:top w:val="single" w:sz="4" w:space="0" w:color="ADD6EA"/>
              <w:left w:val="nil"/>
              <w:bottom w:val="nil"/>
              <w:right w:val="nil"/>
            </w:tcBorders>
            <w:shd w:val="clear" w:color="auto" w:fill="FFFFFF" w:themeFill="background1"/>
            <w:vAlign w:val="bottom"/>
            <w:hideMark/>
          </w:tcPr>
          <w:p w14:paraId="789F6714" w14:textId="75975B00" w:rsidR="006A0DFF" w:rsidRPr="001A5511" w:rsidRDefault="006A0DFF" w:rsidP="006A0DFF">
            <w:pPr>
              <w:spacing w:line="240" w:lineRule="auto"/>
              <w:jc w:val="right"/>
              <w:rPr>
                <w:rFonts w:eastAsia="Times New Roman" w:cs="Open Sans Light"/>
                <w:color w:val="000000"/>
                <w:sz w:val="16"/>
                <w:szCs w:val="16"/>
                <w:lang w:eastAsia="en-AU"/>
              </w:rPr>
            </w:pPr>
            <w:r>
              <w:rPr>
                <w:rFonts w:cs="Open Sans Light"/>
                <w:color w:val="000000"/>
                <w:sz w:val="16"/>
                <w:szCs w:val="16"/>
              </w:rPr>
              <w:t>3</w:t>
            </w:r>
          </w:p>
        </w:tc>
        <w:tc>
          <w:tcPr>
            <w:tcW w:w="805" w:type="dxa"/>
            <w:tcBorders>
              <w:top w:val="single" w:sz="4" w:space="0" w:color="ADD6EA"/>
              <w:left w:val="nil"/>
              <w:bottom w:val="nil"/>
              <w:right w:val="nil"/>
            </w:tcBorders>
            <w:shd w:val="clear" w:color="auto" w:fill="FFFFFF" w:themeFill="background1"/>
            <w:vAlign w:val="bottom"/>
            <w:hideMark/>
          </w:tcPr>
          <w:p w14:paraId="1642574A" w14:textId="5257A0B5" w:rsidR="006A0DFF" w:rsidRPr="001A5511" w:rsidRDefault="006A0DFF" w:rsidP="006A0DFF">
            <w:pPr>
              <w:spacing w:line="240" w:lineRule="auto"/>
              <w:jc w:val="right"/>
              <w:rPr>
                <w:rFonts w:eastAsia="Times New Roman" w:cs="Open Sans Light"/>
                <w:color w:val="000000"/>
                <w:sz w:val="16"/>
                <w:szCs w:val="16"/>
                <w:lang w:eastAsia="en-AU"/>
              </w:rPr>
            </w:pPr>
            <w:r>
              <w:rPr>
                <w:rFonts w:cs="Open Sans Light"/>
                <w:color w:val="000000"/>
                <w:sz w:val="16"/>
                <w:szCs w:val="16"/>
              </w:rPr>
              <w:t>-15</w:t>
            </w:r>
          </w:p>
        </w:tc>
        <w:tc>
          <w:tcPr>
            <w:tcW w:w="613" w:type="dxa"/>
            <w:tcBorders>
              <w:top w:val="single" w:sz="4" w:space="0" w:color="ADD6EA"/>
              <w:left w:val="nil"/>
              <w:bottom w:val="nil"/>
              <w:right w:val="nil"/>
            </w:tcBorders>
            <w:shd w:val="clear" w:color="auto" w:fill="FFFFFF" w:themeFill="background1"/>
            <w:vAlign w:val="bottom"/>
            <w:hideMark/>
          </w:tcPr>
          <w:p w14:paraId="0A1B7074" w14:textId="218E36BE" w:rsidR="006A0DFF" w:rsidRPr="001A5511" w:rsidRDefault="006A0DFF" w:rsidP="006A0DFF">
            <w:pPr>
              <w:spacing w:line="240" w:lineRule="auto"/>
              <w:jc w:val="right"/>
              <w:rPr>
                <w:rFonts w:eastAsia="Times New Roman" w:cs="Open Sans Light"/>
                <w:color w:val="000000"/>
                <w:sz w:val="16"/>
                <w:szCs w:val="16"/>
                <w:lang w:eastAsia="en-AU"/>
              </w:rPr>
            </w:pPr>
            <w:r>
              <w:rPr>
                <w:rFonts w:cs="Open Sans Light"/>
                <w:color w:val="000000"/>
                <w:sz w:val="16"/>
                <w:szCs w:val="16"/>
              </w:rPr>
              <w:t>-2</w:t>
            </w:r>
          </w:p>
        </w:tc>
        <w:tc>
          <w:tcPr>
            <w:tcW w:w="709" w:type="dxa"/>
            <w:tcBorders>
              <w:top w:val="single" w:sz="4" w:space="0" w:color="ADD6EA"/>
              <w:left w:val="nil"/>
              <w:bottom w:val="nil"/>
              <w:right w:val="nil"/>
            </w:tcBorders>
            <w:shd w:val="clear" w:color="auto" w:fill="FFFFFF" w:themeFill="background1"/>
            <w:vAlign w:val="bottom"/>
            <w:hideMark/>
          </w:tcPr>
          <w:p w14:paraId="59B5B8F4" w14:textId="3A818FDD" w:rsidR="006A0DFF" w:rsidRPr="001A5511" w:rsidRDefault="006A0DFF" w:rsidP="006A0DFF">
            <w:pPr>
              <w:spacing w:line="240" w:lineRule="auto"/>
              <w:jc w:val="right"/>
              <w:rPr>
                <w:rFonts w:eastAsia="Times New Roman" w:cs="Open Sans Light"/>
                <w:color w:val="000000"/>
                <w:sz w:val="16"/>
                <w:szCs w:val="16"/>
                <w:lang w:eastAsia="en-AU"/>
              </w:rPr>
            </w:pPr>
            <w:r>
              <w:rPr>
                <w:rFonts w:cs="Open Sans Light"/>
                <w:color w:val="000000"/>
                <w:sz w:val="16"/>
                <w:szCs w:val="16"/>
              </w:rPr>
              <w:t>6</w:t>
            </w:r>
          </w:p>
        </w:tc>
        <w:tc>
          <w:tcPr>
            <w:tcW w:w="708" w:type="dxa"/>
            <w:tcBorders>
              <w:top w:val="single" w:sz="4" w:space="0" w:color="ADD6EA"/>
              <w:left w:val="nil"/>
              <w:bottom w:val="nil"/>
              <w:right w:val="nil"/>
            </w:tcBorders>
            <w:shd w:val="clear" w:color="auto" w:fill="FFFFFF" w:themeFill="background1"/>
            <w:vAlign w:val="bottom"/>
            <w:hideMark/>
          </w:tcPr>
          <w:p w14:paraId="2B8545EE" w14:textId="16090EFB" w:rsidR="006A0DFF" w:rsidRPr="001A5511" w:rsidRDefault="006A0DFF" w:rsidP="006A0DFF">
            <w:pPr>
              <w:spacing w:line="240" w:lineRule="auto"/>
              <w:jc w:val="right"/>
              <w:rPr>
                <w:rFonts w:eastAsia="Times New Roman" w:cs="Open Sans Light"/>
                <w:color w:val="000000"/>
                <w:sz w:val="16"/>
                <w:szCs w:val="16"/>
                <w:lang w:eastAsia="en-AU"/>
              </w:rPr>
            </w:pPr>
            <w:r>
              <w:rPr>
                <w:rFonts w:cs="Open Sans Light"/>
                <w:color w:val="000000"/>
                <w:sz w:val="16"/>
                <w:szCs w:val="16"/>
              </w:rPr>
              <w:t>-1</w:t>
            </w:r>
          </w:p>
        </w:tc>
        <w:tc>
          <w:tcPr>
            <w:tcW w:w="709" w:type="dxa"/>
            <w:tcBorders>
              <w:top w:val="single" w:sz="4" w:space="0" w:color="ADD6EA"/>
              <w:left w:val="nil"/>
              <w:bottom w:val="nil"/>
              <w:right w:val="nil"/>
            </w:tcBorders>
            <w:shd w:val="clear" w:color="auto" w:fill="FFFFFF" w:themeFill="background1"/>
            <w:vAlign w:val="bottom"/>
            <w:hideMark/>
          </w:tcPr>
          <w:p w14:paraId="32D87468" w14:textId="624F181C" w:rsidR="006A0DFF" w:rsidRPr="001A5511" w:rsidRDefault="006A0DFF" w:rsidP="006A0DFF">
            <w:pPr>
              <w:spacing w:line="240" w:lineRule="auto"/>
              <w:jc w:val="right"/>
              <w:rPr>
                <w:rFonts w:eastAsia="Times New Roman" w:cs="Open Sans Light"/>
                <w:color w:val="000000"/>
                <w:sz w:val="16"/>
                <w:szCs w:val="16"/>
                <w:lang w:eastAsia="en-AU"/>
              </w:rPr>
            </w:pPr>
            <w:r>
              <w:rPr>
                <w:rFonts w:cs="Open Sans Light"/>
                <w:color w:val="000000"/>
                <w:sz w:val="16"/>
                <w:szCs w:val="16"/>
              </w:rPr>
              <w:t>-4</w:t>
            </w:r>
          </w:p>
        </w:tc>
        <w:tc>
          <w:tcPr>
            <w:tcW w:w="851" w:type="dxa"/>
            <w:tcBorders>
              <w:top w:val="single" w:sz="4" w:space="0" w:color="ADD6EA"/>
              <w:left w:val="nil"/>
              <w:bottom w:val="nil"/>
              <w:right w:val="nil"/>
            </w:tcBorders>
            <w:shd w:val="clear" w:color="auto" w:fill="FFFFFF" w:themeFill="background1"/>
            <w:vAlign w:val="bottom"/>
            <w:hideMark/>
          </w:tcPr>
          <w:p w14:paraId="34F6956B" w14:textId="75E0ECDC" w:rsidR="006A0DFF" w:rsidRPr="001A5511" w:rsidRDefault="006A0DFF" w:rsidP="006A0DFF">
            <w:pPr>
              <w:spacing w:line="240" w:lineRule="auto"/>
              <w:jc w:val="right"/>
              <w:rPr>
                <w:rFonts w:eastAsia="Times New Roman" w:cs="Open Sans Light"/>
                <w:color w:val="000000"/>
                <w:sz w:val="16"/>
                <w:szCs w:val="16"/>
                <w:lang w:eastAsia="en-AU"/>
              </w:rPr>
            </w:pPr>
            <w:r>
              <w:rPr>
                <w:rFonts w:cs="Open Sans Light"/>
                <w:color w:val="000000"/>
                <w:sz w:val="16"/>
                <w:szCs w:val="16"/>
              </w:rPr>
              <w:t>41</w:t>
            </w:r>
          </w:p>
        </w:tc>
      </w:tr>
      <w:tr w:rsidR="006A0DFF" w14:paraId="640947F7" w14:textId="77777777" w:rsidTr="3F31BF64">
        <w:trPr>
          <w:trHeight w:val="321"/>
        </w:trPr>
        <w:tc>
          <w:tcPr>
            <w:tcW w:w="2332" w:type="dxa"/>
            <w:tcBorders>
              <w:top w:val="single" w:sz="8" w:space="0" w:color="ADD6EA"/>
              <w:left w:val="nil"/>
              <w:bottom w:val="single" w:sz="8" w:space="0" w:color="ADD6EA"/>
              <w:right w:val="nil"/>
            </w:tcBorders>
            <w:shd w:val="clear" w:color="auto" w:fill="FFFFFF" w:themeFill="background1"/>
            <w:vAlign w:val="bottom"/>
            <w:hideMark/>
          </w:tcPr>
          <w:p w14:paraId="0BA5C518" w14:textId="77777777" w:rsidR="006A0DFF" w:rsidRDefault="006A0DFF" w:rsidP="006A0DFF">
            <w:pPr>
              <w:spacing w:line="240" w:lineRule="auto"/>
              <w:rPr>
                <w:rFonts w:eastAsia="Times New Roman" w:cs="Open Sans Light"/>
                <w:color w:val="000000"/>
                <w:sz w:val="16"/>
                <w:szCs w:val="16"/>
                <w:lang w:eastAsia="en-AU"/>
              </w:rPr>
            </w:pPr>
            <w:r>
              <w:rPr>
                <w:rFonts w:eastAsia="Times New Roman" w:cs="Open Sans Light"/>
                <w:color w:val="000000"/>
                <w:sz w:val="16"/>
                <w:szCs w:val="16"/>
                <w:lang w:eastAsia="en-AU"/>
              </w:rPr>
              <w:t>$pc</w:t>
            </w:r>
          </w:p>
        </w:tc>
        <w:tc>
          <w:tcPr>
            <w:tcW w:w="867" w:type="dxa"/>
            <w:gridSpan w:val="2"/>
            <w:tcBorders>
              <w:top w:val="single" w:sz="4" w:space="0" w:color="ADD6EA"/>
              <w:left w:val="nil"/>
              <w:bottom w:val="single" w:sz="4" w:space="0" w:color="ADD6EA"/>
              <w:right w:val="nil"/>
            </w:tcBorders>
            <w:shd w:val="clear" w:color="auto" w:fill="FFFFFF" w:themeFill="background1"/>
            <w:vAlign w:val="bottom"/>
            <w:hideMark/>
          </w:tcPr>
          <w:p w14:paraId="7186DAA5" w14:textId="7E053A62" w:rsidR="006A0DFF" w:rsidRPr="001A5511" w:rsidRDefault="006A0DFF" w:rsidP="006A0DFF">
            <w:pPr>
              <w:spacing w:line="240" w:lineRule="auto"/>
              <w:jc w:val="right"/>
              <w:rPr>
                <w:rFonts w:eastAsia="Times New Roman" w:cs="Open Sans Light"/>
                <w:color w:val="000000"/>
                <w:sz w:val="16"/>
                <w:szCs w:val="16"/>
                <w:lang w:eastAsia="en-AU"/>
              </w:rPr>
            </w:pPr>
            <w:r>
              <w:rPr>
                <w:rFonts w:cs="Open Sans Light"/>
                <w:color w:val="000000"/>
                <w:sz w:val="16"/>
                <w:szCs w:val="16"/>
              </w:rPr>
              <w:t>4</w:t>
            </w:r>
          </w:p>
        </w:tc>
        <w:tc>
          <w:tcPr>
            <w:tcW w:w="692" w:type="dxa"/>
            <w:tcBorders>
              <w:top w:val="single" w:sz="4" w:space="0" w:color="ADD6EA"/>
              <w:left w:val="nil"/>
              <w:bottom w:val="single" w:sz="4" w:space="0" w:color="ADD6EA"/>
              <w:right w:val="nil"/>
            </w:tcBorders>
            <w:shd w:val="clear" w:color="auto" w:fill="FFFFFF" w:themeFill="background1"/>
            <w:vAlign w:val="bottom"/>
            <w:hideMark/>
          </w:tcPr>
          <w:p w14:paraId="5D7EDD3B" w14:textId="26401511" w:rsidR="006A0DFF" w:rsidRPr="001A5511" w:rsidRDefault="006A0DFF" w:rsidP="006A0DFF">
            <w:pPr>
              <w:spacing w:line="240" w:lineRule="auto"/>
              <w:jc w:val="right"/>
              <w:rPr>
                <w:rFonts w:eastAsia="Times New Roman" w:cs="Open Sans Light"/>
                <w:color w:val="000000"/>
                <w:sz w:val="16"/>
                <w:szCs w:val="16"/>
                <w:lang w:eastAsia="en-AU"/>
              </w:rPr>
            </w:pPr>
            <w:r>
              <w:rPr>
                <w:rFonts w:cs="Open Sans Light"/>
                <w:color w:val="000000"/>
                <w:sz w:val="16"/>
                <w:szCs w:val="16"/>
              </w:rPr>
              <w:t>-3</w:t>
            </w:r>
          </w:p>
        </w:tc>
        <w:tc>
          <w:tcPr>
            <w:tcW w:w="645" w:type="dxa"/>
            <w:tcBorders>
              <w:top w:val="single" w:sz="4" w:space="0" w:color="ADD6EA"/>
              <w:left w:val="nil"/>
              <w:bottom w:val="single" w:sz="4" w:space="0" w:color="ADD6EA"/>
              <w:right w:val="nil"/>
            </w:tcBorders>
            <w:shd w:val="clear" w:color="auto" w:fill="FFFFFF" w:themeFill="background1"/>
            <w:vAlign w:val="bottom"/>
            <w:hideMark/>
          </w:tcPr>
          <w:p w14:paraId="66FA12D9" w14:textId="39CC2AF2" w:rsidR="006A0DFF" w:rsidRPr="001A5511" w:rsidRDefault="006A0DFF" w:rsidP="006A0DFF">
            <w:pPr>
              <w:spacing w:line="240" w:lineRule="auto"/>
              <w:jc w:val="right"/>
              <w:rPr>
                <w:rFonts w:eastAsia="Times New Roman" w:cs="Open Sans Light"/>
                <w:color w:val="000000"/>
                <w:sz w:val="16"/>
                <w:szCs w:val="16"/>
                <w:lang w:eastAsia="en-AU"/>
              </w:rPr>
            </w:pPr>
            <w:r>
              <w:rPr>
                <w:rFonts w:cs="Open Sans Light"/>
                <w:color w:val="000000"/>
                <w:sz w:val="16"/>
                <w:szCs w:val="16"/>
              </w:rPr>
              <w:t>1</w:t>
            </w:r>
          </w:p>
        </w:tc>
        <w:tc>
          <w:tcPr>
            <w:tcW w:w="805" w:type="dxa"/>
            <w:tcBorders>
              <w:top w:val="single" w:sz="4" w:space="0" w:color="ADD6EA"/>
              <w:left w:val="nil"/>
              <w:bottom w:val="single" w:sz="4" w:space="0" w:color="ADD6EA"/>
              <w:right w:val="nil"/>
            </w:tcBorders>
            <w:shd w:val="clear" w:color="auto" w:fill="FFFFFF" w:themeFill="background1"/>
            <w:vAlign w:val="bottom"/>
            <w:hideMark/>
          </w:tcPr>
          <w:p w14:paraId="22B1F6AF" w14:textId="3A3F0E09" w:rsidR="006A0DFF" w:rsidRPr="001A5511" w:rsidRDefault="006A0DFF" w:rsidP="006A0DFF">
            <w:pPr>
              <w:spacing w:line="240" w:lineRule="auto"/>
              <w:jc w:val="right"/>
              <w:rPr>
                <w:rFonts w:eastAsia="Times New Roman" w:cs="Open Sans Light"/>
                <w:color w:val="000000"/>
                <w:sz w:val="16"/>
                <w:szCs w:val="16"/>
                <w:lang w:eastAsia="en-AU"/>
              </w:rPr>
            </w:pPr>
            <w:r>
              <w:rPr>
                <w:rFonts w:cs="Open Sans Light"/>
                <w:color w:val="000000"/>
                <w:sz w:val="16"/>
                <w:szCs w:val="16"/>
              </w:rPr>
              <w:t>-5</w:t>
            </w:r>
          </w:p>
        </w:tc>
        <w:tc>
          <w:tcPr>
            <w:tcW w:w="613" w:type="dxa"/>
            <w:tcBorders>
              <w:top w:val="single" w:sz="4" w:space="0" w:color="ADD6EA"/>
              <w:left w:val="nil"/>
              <w:bottom w:val="single" w:sz="4" w:space="0" w:color="ADD6EA"/>
              <w:right w:val="nil"/>
            </w:tcBorders>
            <w:shd w:val="clear" w:color="auto" w:fill="FFFFFF" w:themeFill="background1"/>
            <w:vAlign w:val="bottom"/>
            <w:hideMark/>
          </w:tcPr>
          <w:p w14:paraId="205167F9" w14:textId="42424FC5" w:rsidR="006A0DFF" w:rsidRPr="001A5511" w:rsidRDefault="006A0DFF" w:rsidP="006A0DFF">
            <w:pPr>
              <w:spacing w:line="240" w:lineRule="auto"/>
              <w:jc w:val="right"/>
              <w:rPr>
                <w:rFonts w:eastAsia="Times New Roman" w:cs="Open Sans Light"/>
                <w:color w:val="000000"/>
                <w:sz w:val="16"/>
                <w:szCs w:val="16"/>
                <w:lang w:eastAsia="en-AU"/>
              </w:rPr>
            </w:pPr>
            <w:r>
              <w:rPr>
                <w:rFonts w:cs="Open Sans Light"/>
                <w:color w:val="000000"/>
                <w:sz w:val="16"/>
                <w:szCs w:val="16"/>
              </w:rPr>
              <w:t>-1</w:t>
            </w:r>
          </w:p>
        </w:tc>
        <w:tc>
          <w:tcPr>
            <w:tcW w:w="709" w:type="dxa"/>
            <w:tcBorders>
              <w:top w:val="single" w:sz="4" w:space="0" w:color="ADD6EA"/>
              <w:left w:val="nil"/>
              <w:bottom w:val="single" w:sz="4" w:space="0" w:color="ADD6EA"/>
              <w:right w:val="nil"/>
            </w:tcBorders>
            <w:shd w:val="clear" w:color="auto" w:fill="FFFFFF" w:themeFill="background1"/>
            <w:vAlign w:val="bottom"/>
            <w:hideMark/>
          </w:tcPr>
          <w:p w14:paraId="6E0E9179" w14:textId="30D83C1E" w:rsidR="006A0DFF" w:rsidRPr="001A5511" w:rsidRDefault="006A0DFF" w:rsidP="006A0DFF">
            <w:pPr>
              <w:spacing w:line="240" w:lineRule="auto"/>
              <w:jc w:val="right"/>
              <w:rPr>
                <w:rFonts w:eastAsia="Times New Roman" w:cs="Open Sans Light"/>
                <w:color w:val="000000"/>
                <w:sz w:val="16"/>
                <w:szCs w:val="16"/>
                <w:lang w:eastAsia="en-AU"/>
              </w:rPr>
            </w:pPr>
            <w:r>
              <w:rPr>
                <w:rFonts w:cs="Open Sans Light"/>
                <w:color w:val="000000"/>
                <w:sz w:val="16"/>
                <w:szCs w:val="16"/>
              </w:rPr>
              <w:t>11</w:t>
            </w:r>
          </w:p>
        </w:tc>
        <w:tc>
          <w:tcPr>
            <w:tcW w:w="708" w:type="dxa"/>
            <w:tcBorders>
              <w:top w:val="single" w:sz="4" w:space="0" w:color="ADD6EA"/>
              <w:left w:val="nil"/>
              <w:bottom w:val="single" w:sz="4" w:space="0" w:color="ADD6EA"/>
              <w:right w:val="nil"/>
            </w:tcBorders>
            <w:shd w:val="clear" w:color="auto" w:fill="FFFFFF" w:themeFill="background1"/>
            <w:vAlign w:val="bottom"/>
            <w:hideMark/>
          </w:tcPr>
          <w:p w14:paraId="3FEFBCE1" w14:textId="415D8917" w:rsidR="006A0DFF" w:rsidRPr="001A5511" w:rsidRDefault="006A0DFF" w:rsidP="006A0DFF">
            <w:pPr>
              <w:spacing w:line="240" w:lineRule="auto"/>
              <w:jc w:val="right"/>
              <w:rPr>
                <w:rFonts w:eastAsia="Times New Roman" w:cs="Open Sans Light"/>
                <w:color w:val="000000"/>
                <w:sz w:val="16"/>
                <w:szCs w:val="16"/>
                <w:lang w:eastAsia="en-AU"/>
              </w:rPr>
            </w:pPr>
            <w:r>
              <w:rPr>
                <w:rFonts w:cs="Open Sans Light"/>
                <w:color w:val="000000"/>
                <w:sz w:val="16"/>
                <w:szCs w:val="16"/>
              </w:rPr>
              <w:t>-1</w:t>
            </w:r>
          </w:p>
        </w:tc>
        <w:tc>
          <w:tcPr>
            <w:tcW w:w="709" w:type="dxa"/>
            <w:tcBorders>
              <w:top w:val="single" w:sz="4" w:space="0" w:color="ADD6EA"/>
              <w:left w:val="nil"/>
              <w:bottom w:val="single" w:sz="4" w:space="0" w:color="ADD6EA"/>
              <w:right w:val="nil"/>
            </w:tcBorders>
            <w:shd w:val="clear" w:color="auto" w:fill="FFFFFF" w:themeFill="background1"/>
            <w:vAlign w:val="bottom"/>
            <w:hideMark/>
          </w:tcPr>
          <w:p w14:paraId="6B2DC932" w14:textId="6FEC5EB7" w:rsidR="006A0DFF" w:rsidRPr="001A5511" w:rsidRDefault="006A0DFF" w:rsidP="006A0DFF">
            <w:pPr>
              <w:spacing w:line="240" w:lineRule="auto"/>
              <w:jc w:val="right"/>
              <w:rPr>
                <w:rFonts w:eastAsia="Times New Roman" w:cs="Open Sans Light"/>
                <w:color w:val="000000"/>
                <w:sz w:val="16"/>
                <w:szCs w:val="16"/>
                <w:lang w:eastAsia="en-AU"/>
              </w:rPr>
            </w:pPr>
            <w:r>
              <w:rPr>
                <w:rFonts w:cs="Open Sans Light"/>
                <w:color w:val="000000"/>
                <w:sz w:val="16"/>
                <w:szCs w:val="16"/>
              </w:rPr>
              <w:t>-14</w:t>
            </w:r>
          </w:p>
        </w:tc>
        <w:tc>
          <w:tcPr>
            <w:tcW w:w="851" w:type="dxa"/>
            <w:tcBorders>
              <w:top w:val="single" w:sz="4" w:space="0" w:color="ADD6EA"/>
              <w:left w:val="nil"/>
              <w:bottom w:val="single" w:sz="4" w:space="0" w:color="ADD6EA"/>
              <w:right w:val="nil"/>
            </w:tcBorders>
            <w:shd w:val="clear" w:color="auto" w:fill="FFFFFF" w:themeFill="background1"/>
            <w:vAlign w:val="bottom"/>
            <w:hideMark/>
          </w:tcPr>
          <w:p w14:paraId="568C6B9D" w14:textId="7D9D8C86" w:rsidR="006A0DFF" w:rsidRPr="001A5511" w:rsidRDefault="006A0DFF" w:rsidP="006A0DFF">
            <w:pPr>
              <w:spacing w:line="240" w:lineRule="auto"/>
              <w:jc w:val="right"/>
              <w:rPr>
                <w:rFonts w:eastAsia="Times New Roman" w:cs="Open Sans Light"/>
                <w:color w:val="000000"/>
                <w:sz w:val="16"/>
                <w:szCs w:val="16"/>
                <w:lang w:eastAsia="en-AU"/>
              </w:rPr>
            </w:pPr>
            <w:r>
              <w:rPr>
                <w:rFonts w:cs="Open Sans Light"/>
                <w:color w:val="000000"/>
                <w:sz w:val="16"/>
                <w:szCs w:val="16"/>
              </w:rPr>
              <w:t>1</w:t>
            </w:r>
          </w:p>
        </w:tc>
      </w:tr>
    </w:tbl>
    <w:p w14:paraId="591BD0CE" w14:textId="77777777" w:rsidR="0092793D" w:rsidRPr="0092793D" w:rsidRDefault="0092793D" w:rsidP="0092793D">
      <w:pPr>
        <w:pStyle w:val="Heading5"/>
      </w:pPr>
    </w:p>
    <w:p w14:paraId="5EE69685" w14:textId="01E78AFF" w:rsidR="00EF2671" w:rsidRDefault="00EF2671" w:rsidP="00EF2671">
      <w:pPr>
        <w:pStyle w:val="Heading4"/>
      </w:pPr>
      <w:r>
        <w:br w:type="page"/>
      </w:r>
    </w:p>
    <w:p w14:paraId="3F38FDFA" w14:textId="5B40C848" w:rsidR="000F376F" w:rsidRDefault="003C3B52" w:rsidP="003C3B52">
      <w:pPr>
        <w:pStyle w:val="Heading2"/>
      </w:pPr>
      <w:r>
        <w:lastRenderedPageBreak/>
        <w:t>Attachment A</w:t>
      </w:r>
    </w:p>
    <w:p w14:paraId="366D0347" w14:textId="21FD860E" w:rsidR="003C3B52" w:rsidRDefault="003C3B52" w:rsidP="00363964">
      <w:pPr>
        <w:pStyle w:val="CGC2025Caption"/>
        <w:keepNext/>
        <w:tabs>
          <w:tab w:val="left" w:pos="1418"/>
        </w:tabs>
      </w:pPr>
      <w:r w:rsidRPr="009E16E8">
        <w:t xml:space="preserve">Table </w:t>
      </w:r>
      <w:r w:rsidR="009B57B8" w:rsidRPr="008B7491">
        <w:t>A</w:t>
      </w:r>
      <w:r w:rsidR="00776E6F" w:rsidRPr="008B7491">
        <w:t>-</w:t>
      </w:r>
      <w:proofErr w:type="gramStart"/>
      <w:r w:rsidR="00776E6F" w:rsidRPr="008B7491">
        <w:t>1</w:t>
      </w:r>
      <w:r w:rsidRPr="009E16E8">
        <w:t xml:space="preserve">  Alternative</w:t>
      </w:r>
      <w:proofErr w:type="gramEnd"/>
      <w:r w:rsidRPr="009E16E8">
        <w:t xml:space="preserve"> police regression model, 2022–23 and 2023–</w:t>
      </w:r>
      <w:r w:rsidRPr="009E16E8">
        <w:rPr>
          <w:rFonts w:ascii="Times New Roman" w:hAnsi="Times New Roman" w:cs="Times New Roman" w:hint="eastAsia"/>
          <w:rtl/>
        </w:rPr>
        <w:t>‍</w:t>
      </w:r>
      <w:r w:rsidRPr="009E16E8">
        <w:t>24</w:t>
      </w:r>
    </w:p>
    <w:tbl>
      <w:tblPr>
        <w:tblW w:w="8940" w:type="dxa"/>
        <w:tblLook w:val="04A0" w:firstRow="1" w:lastRow="0" w:firstColumn="1" w:lastColumn="0" w:noHBand="0" w:noVBand="1"/>
      </w:tblPr>
      <w:tblGrid>
        <w:gridCol w:w="3560"/>
        <w:gridCol w:w="1840"/>
        <w:gridCol w:w="1940"/>
        <w:gridCol w:w="1600"/>
      </w:tblGrid>
      <w:tr w:rsidR="003C3B52" w:rsidRPr="000300CB" w14:paraId="2DD7E568" w14:textId="77777777">
        <w:trPr>
          <w:trHeight w:val="381"/>
        </w:trPr>
        <w:tc>
          <w:tcPr>
            <w:tcW w:w="3560" w:type="dxa"/>
            <w:tcBorders>
              <w:top w:val="single" w:sz="4" w:space="0" w:color="ADD6EA"/>
              <w:left w:val="nil"/>
              <w:bottom w:val="single" w:sz="4" w:space="0" w:color="ADD6EA"/>
              <w:right w:val="nil"/>
            </w:tcBorders>
            <w:shd w:val="clear" w:color="000000" w:fill="006991"/>
            <w:vAlign w:val="center"/>
            <w:hideMark/>
          </w:tcPr>
          <w:p w14:paraId="0F239862" w14:textId="77777777" w:rsidR="003C3B52" w:rsidRPr="000300CB" w:rsidRDefault="003C3B52">
            <w:pPr>
              <w:tabs>
                <w:tab w:val="clear" w:pos="567"/>
              </w:tabs>
              <w:spacing w:before="0" w:line="240" w:lineRule="auto"/>
              <w:rPr>
                <w:rFonts w:ascii="Open Sans Semibold" w:eastAsia="Times New Roman" w:hAnsi="Open Sans Semibold" w:cs="Open Sans Semibold"/>
                <w:color w:val="FFFFFF"/>
                <w:sz w:val="16"/>
                <w:szCs w:val="16"/>
                <w:lang w:eastAsia="en-AU"/>
              </w:rPr>
            </w:pPr>
            <w:r w:rsidRPr="000300CB">
              <w:rPr>
                <w:rFonts w:ascii="Open Sans Semibold" w:eastAsia="Times New Roman" w:hAnsi="Open Sans Semibold" w:cs="Open Sans Semibold"/>
                <w:color w:val="FFFFFF"/>
                <w:sz w:val="16"/>
                <w:szCs w:val="16"/>
                <w:lang w:eastAsia="en-AU"/>
              </w:rPr>
              <w:t> </w:t>
            </w:r>
          </w:p>
        </w:tc>
        <w:tc>
          <w:tcPr>
            <w:tcW w:w="1840" w:type="dxa"/>
            <w:tcBorders>
              <w:top w:val="single" w:sz="4" w:space="0" w:color="ADD6EA"/>
              <w:left w:val="nil"/>
              <w:bottom w:val="single" w:sz="4" w:space="0" w:color="ADD6EA"/>
              <w:right w:val="nil"/>
            </w:tcBorders>
            <w:shd w:val="clear" w:color="000000" w:fill="006991"/>
            <w:vAlign w:val="center"/>
            <w:hideMark/>
          </w:tcPr>
          <w:p w14:paraId="6399960E" w14:textId="77777777" w:rsidR="003C3B52" w:rsidRPr="000300CB" w:rsidRDefault="003C3B52">
            <w:pPr>
              <w:tabs>
                <w:tab w:val="clear" w:pos="567"/>
              </w:tabs>
              <w:spacing w:before="0" w:line="240" w:lineRule="auto"/>
              <w:jc w:val="right"/>
              <w:rPr>
                <w:rFonts w:ascii="Open Sans Semibold" w:eastAsia="Times New Roman" w:hAnsi="Open Sans Semibold" w:cs="Open Sans Semibold"/>
                <w:color w:val="FFFFFF"/>
                <w:sz w:val="16"/>
                <w:szCs w:val="16"/>
                <w:lang w:eastAsia="en-AU"/>
              </w:rPr>
            </w:pPr>
            <w:r w:rsidRPr="000300CB">
              <w:rPr>
                <w:rFonts w:ascii="Open Sans Semibold" w:eastAsia="Times New Roman" w:hAnsi="Open Sans Semibold" w:cs="Open Sans Semibold"/>
                <w:color w:val="FFFFFF"/>
                <w:sz w:val="16"/>
                <w:szCs w:val="16"/>
                <w:lang w:eastAsia="en-AU"/>
              </w:rPr>
              <w:t>Estimate</w:t>
            </w:r>
          </w:p>
        </w:tc>
        <w:tc>
          <w:tcPr>
            <w:tcW w:w="1940" w:type="dxa"/>
            <w:tcBorders>
              <w:top w:val="single" w:sz="4" w:space="0" w:color="ADD6EA"/>
              <w:left w:val="nil"/>
              <w:bottom w:val="single" w:sz="4" w:space="0" w:color="ADD6EA"/>
              <w:right w:val="nil"/>
            </w:tcBorders>
            <w:shd w:val="clear" w:color="000000" w:fill="006991"/>
            <w:vAlign w:val="center"/>
            <w:hideMark/>
          </w:tcPr>
          <w:p w14:paraId="161E889B" w14:textId="77777777" w:rsidR="003C3B52" w:rsidRPr="000300CB" w:rsidRDefault="003C3B52">
            <w:pPr>
              <w:tabs>
                <w:tab w:val="clear" w:pos="567"/>
              </w:tabs>
              <w:spacing w:before="0" w:line="240" w:lineRule="auto"/>
              <w:jc w:val="right"/>
              <w:rPr>
                <w:rFonts w:ascii="Open Sans Semibold" w:eastAsia="Times New Roman" w:hAnsi="Open Sans Semibold" w:cs="Open Sans Semibold"/>
                <w:color w:val="FFFFFF"/>
                <w:sz w:val="16"/>
                <w:szCs w:val="16"/>
                <w:lang w:eastAsia="en-AU"/>
              </w:rPr>
            </w:pPr>
            <w:r w:rsidRPr="000300CB">
              <w:rPr>
                <w:rFonts w:ascii="Open Sans Semibold" w:eastAsia="Times New Roman" w:hAnsi="Open Sans Semibold" w:cs="Open Sans Semibold"/>
                <w:color w:val="FFFFFF"/>
                <w:sz w:val="16"/>
                <w:szCs w:val="16"/>
                <w:lang w:eastAsia="en-AU"/>
              </w:rPr>
              <w:t>Standard error</w:t>
            </w:r>
          </w:p>
        </w:tc>
        <w:tc>
          <w:tcPr>
            <w:tcW w:w="1600" w:type="dxa"/>
            <w:tcBorders>
              <w:top w:val="single" w:sz="4" w:space="0" w:color="ADD6EA"/>
              <w:left w:val="nil"/>
              <w:bottom w:val="single" w:sz="4" w:space="0" w:color="ADD6EA"/>
              <w:right w:val="nil"/>
            </w:tcBorders>
            <w:shd w:val="clear" w:color="000000" w:fill="006991"/>
            <w:vAlign w:val="center"/>
            <w:hideMark/>
          </w:tcPr>
          <w:p w14:paraId="2C6B5CE7" w14:textId="77777777" w:rsidR="003C3B52" w:rsidRPr="000300CB" w:rsidRDefault="003C3B52">
            <w:pPr>
              <w:tabs>
                <w:tab w:val="clear" w:pos="567"/>
              </w:tabs>
              <w:spacing w:before="0" w:line="240" w:lineRule="auto"/>
              <w:jc w:val="right"/>
              <w:rPr>
                <w:rFonts w:ascii="Open Sans Semibold" w:eastAsia="Times New Roman" w:hAnsi="Open Sans Semibold" w:cs="Open Sans Semibold"/>
                <w:color w:val="FFFFFF"/>
                <w:sz w:val="16"/>
                <w:szCs w:val="16"/>
                <w:lang w:eastAsia="en-AU"/>
              </w:rPr>
            </w:pPr>
            <w:r w:rsidRPr="000300CB">
              <w:rPr>
                <w:rFonts w:ascii="Open Sans Semibold" w:eastAsia="Times New Roman" w:hAnsi="Open Sans Semibold" w:cs="Open Sans Semibold"/>
                <w:color w:val="FFFFFF"/>
                <w:sz w:val="16"/>
                <w:szCs w:val="16"/>
                <w:lang w:eastAsia="en-AU"/>
              </w:rPr>
              <w:t>Significance</w:t>
            </w:r>
          </w:p>
        </w:tc>
      </w:tr>
      <w:tr w:rsidR="003C3B52" w:rsidRPr="000300CB" w14:paraId="222207A0" w14:textId="77777777">
        <w:trPr>
          <w:trHeight w:val="321"/>
        </w:trPr>
        <w:tc>
          <w:tcPr>
            <w:tcW w:w="3560" w:type="dxa"/>
            <w:tcBorders>
              <w:top w:val="single" w:sz="4" w:space="0" w:color="ADD6EA"/>
              <w:left w:val="nil"/>
              <w:bottom w:val="nil"/>
              <w:right w:val="nil"/>
            </w:tcBorders>
            <w:shd w:val="clear" w:color="000000" w:fill="FFFFFF"/>
            <w:vAlign w:val="bottom"/>
            <w:hideMark/>
          </w:tcPr>
          <w:p w14:paraId="4E88984D" w14:textId="77777777" w:rsidR="003C3B52" w:rsidRPr="000300CB" w:rsidRDefault="003C3B52">
            <w:pPr>
              <w:tabs>
                <w:tab w:val="clear" w:pos="567"/>
              </w:tabs>
              <w:spacing w:before="0" w:line="240" w:lineRule="auto"/>
              <w:rPr>
                <w:rFonts w:eastAsia="Times New Roman" w:cs="Open Sans Light"/>
                <w:color w:val="000000"/>
                <w:sz w:val="16"/>
                <w:szCs w:val="16"/>
                <w:lang w:eastAsia="en-AU"/>
              </w:rPr>
            </w:pPr>
            <w:r w:rsidRPr="000300CB">
              <w:rPr>
                <w:rFonts w:eastAsia="Times New Roman" w:cs="Open Sans Light"/>
                <w:color w:val="000000"/>
                <w:sz w:val="16"/>
                <w:szCs w:val="16"/>
                <w:lang w:eastAsia="en-AU"/>
              </w:rPr>
              <w:t xml:space="preserve">Intercept  </w:t>
            </w:r>
          </w:p>
        </w:tc>
        <w:tc>
          <w:tcPr>
            <w:tcW w:w="1840" w:type="dxa"/>
            <w:tcBorders>
              <w:top w:val="single" w:sz="4" w:space="0" w:color="ADD6EA"/>
              <w:left w:val="nil"/>
              <w:bottom w:val="nil"/>
              <w:right w:val="nil"/>
            </w:tcBorders>
            <w:shd w:val="clear" w:color="000000" w:fill="FFFFFF"/>
            <w:vAlign w:val="bottom"/>
            <w:hideMark/>
          </w:tcPr>
          <w:p w14:paraId="6947B3C9" w14:textId="77777777" w:rsidR="003C3B52" w:rsidRPr="000300CB" w:rsidRDefault="003C3B52">
            <w:pPr>
              <w:tabs>
                <w:tab w:val="clear" w:pos="567"/>
              </w:tabs>
              <w:spacing w:before="0" w:line="240" w:lineRule="auto"/>
              <w:jc w:val="right"/>
              <w:rPr>
                <w:rFonts w:eastAsia="Times New Roman" w:cs="Open Sans Light"/>
                <w:color w:val="000000"/>
                <w:sz w:val="16"/>
                <w:szCs w:val="16"/>
                <w:lang w:eastAsia="en-AU"/>
              </w:rPr>
            </w:pPr>
            <w:r w:rsidRPr="000300CB">
              <w:rPr>
                <w:rFonts w:eastAsia="Times New Roman" w:cs="Open Sans Light"/>
                <w:color w:val="000000"/>
                <w:sz w:val="16"/>
                <w:szCs w:val="16"/>
                <w:lang w:eastAsia="en-AU"/>
              </w:rPr>
              <w:t>4</w:t>
            </w:r>
            <w:r>
              <w:rPr>
                <w:rFonts w:eastAsia="Times New Roman" w:cs="Open Sans Light"/>
                <w:color w:val="000000"/>
                <w:sz w:val="16"/>
                <w:szCs w:val="16"/>
                <w:lang w:eastAsia="en-AU"/>
              </w:rPr>
              <w:t>51</w:t>
            </w:r>
          </w:p>
        </w:tc>
        <w:tc>
          <w:tcPr>
            <w:tcW w:w="1940" w:type="dxa"/>
            <w:tcBorders>
              <w:top w:val="single" w:sz="4" w:space="0" w:color="ADD6EA"/>
              <w:left w:val="nil"/>
              <w:bottom w:val="nil"/>
              <w:right w:val="nil"/>
            </w:tcBorders>
            <w:shd w:val="clear" w:color="000000" w:fill="FFFFFF"/>
            <w:vAlign w:val="bottom"/>
            <w:hideMark/>
          </w:tcPr>
          <w:p w14:paraId="7EC922D9" w14:textId="77777777" w:rsidR="003C3B52" w:rsidRPr="000300CB" w:rsidRDefault="003C3B52">
            <w:pPr>
              <w:tabs>
                <w:tab w:val="clear" w:pos="567"/>
              </w:tabs>
              <w:spacing w:before="0" w:line="240" w:lineRule="auto"/>
              <w:jc w:val="right"/>
              <w:rPr>
                <w:rFonts w:eastAsia="Times New Roman" w:cs="Open Sans Light"/>
                <w:color w:val="000000"/>
                <w:sz w:val="16"/>
                <w:szCs w:val="16"/>
                <w:lang w:eastAsia="en-AU"/>
              </w:rPr>
            </w:pPr>
            <w:r>
              <w:rPr>
                <w:rFonts w:eastAsia="Times New Roman" w:cs="Open Sans Light"/>
                <w:color w:val="000000"/>
                <w:sz w:val="16"/>
                <w:szCs w:val="16"/>
                <w:lang w:eastAsia="en-AU"/>
              </w:rPr>
              <w:t>2</w:t>
            </w:r>
            <w:r w:rsidRPr="000300CB">
              <w:rPr>
                <w:rFonts w:eastAsia="Times New Roman" w:cs="Open Sans Light"/>
                <w:color w:val="000000"/>
                <w:sz w:val="16"/>
                <w:szCs w:val="16"/>
                <w:lang w:eastAsia="en-AU"/>
              </w:rPr>
              <w:t>0</w:t>
            </w:r>
          </w:p>
        </w:tc>
        <w:tc>
          <w:tcPr>
            <w:tcW w:w="1600" w:type="dxa"/>
            <w:tcBorders>
              <w:top w:val="single" w:sz="4" w:space="0" w:color="ADD6EA"/>
              <w:left w:val="nil"/>
              <w:bottom w:val="nil"/>
              <w:right w:val="nil"/>
            </w:tcBorders>
            <w:shd w:val="clear" w:color="000000" w:fill="FFFFFF"/>
            <w:vAlign w:val="bottom"/>
            <w:hideMark/>
          </w:tcPr>
          <w:p w14:paraId="054AD034" w14:textId="77777777" w:rsidR="003C3B52" w:rsidRPr="000300CB" w:rsidRDefault="003C3B52">
            <w:pPr>
              <w:tabs>
                <w:tab w:val="clear" w:pos="567"/>
              </w:tabs>
              <w:spacing w:before="0" w:line="240" w:lineRule="auto"/>
              <w:jc w:val="right"/>
              <w:rPr>
                <w:rFonts w:eastAsia="Times New Roman" w:cs="Open Sans Light"/>
                <w:color w:val="000000"/>
                <w:sz w:val="16"/>
                <w:szCs w:val="16"/>
                <w:lang w:eastAsia="en-AU"/>
              </w:rPr>
            </w:pPr>
            <w:r w:rsidRPr="000300CB">
              <w:rPr>
                <w:rFonts w:eastAsia="Times New Roman" w:cs="Open Sans Light"/>
                <w:color w:val="000000"/>
                <w:sz w:val="16"/>
                <w:szCs w:val="16"/>
                <w:lang w:eastAsia="en-AU"/>
              </w:rPr>
              <w:t>***</w:t>
            </w:r>
          </w:p>
        </w:tc>
      </w:tr>
      <w:tr w:rsidR="003C3B52" w:rsidRPr="000300CB" w14:paraId="2760C473" w14:textId="77777777">
        <w:trPr>
          <w:trHeight w:val="321"/>
        </w:trPr>
        <w:tc>
          <w:tcPr>
            <w:tcW w:w="3560" w:type="dxa"/>
            <w:tcBorders>
              <w:top w:val="single" w:sz="4" w:space="0" w:color="ADD6EA"/>
              <w:left w:val="nil"/>
              <w:bottom w:val="nil"/>
              <w:right w:val="nil"/>
            </w:tcBorders>
            <w:shd w:val="clear" w:color="000000" w:fill="FFFFFF"/>
            <w:vAlign w:val="bottom"/>
            <w:hideMark/>
          </w:tcPr>
          <w:p w14:paraId="0E8B4977" w14:textId="77777777" w:rsidR="003C3B52" w:rsidRPr="000300CB" w:rsidRDefault="003C3B52">
            <w:pPr>
              <w:tabs>
                <w:tab w:val="clear" w:pos="567"/>
              </w:tabs>
              <w:spacing w:before="0" w:line="240" w:lineRule="auto"/>
              <w:rPr>
                <w:rFonts w:eastAsia="Times New Roman" w:cs="Open Sans Light"/>
                <w:color w:val="000000"/>
                <w:sz w:val="16"/>
                <w:szCs w:val="16"/>
                <w:lang w:eastAsia="en-AU"/>
              </w:rPr>
            </w:pPr>
            <w:r w:rsidRPr="000300CB">
              <w:rPr>
                <w:rFonts w:eastAsia="Times New Roman" w:cs="Open Sans Light"/>
                <w:color w:val="000000"/>
                <w:sz w:val="16"/>
                <w:szCs w:val="16"/>
                <w:lang w:eastAsia="en-AU"/>
              </w:rPr>
              <w:t xml:space="preserve">Inner regional         </w:t>
            </w:r>
          </w:p>
        </w:tc>
        <w:tc>
          <w:tcPr>
            <w:tcW w:w="1840" w:type="dxa"/>
            <w:tcBorders>
              <w:top w:val="single" w:sz="4" w:space="0" w:color="ADD6EA"/>
              <w:left w:val="nil"/>
              <w:bottom w:val="nil"/>
              <w:right w:val="nil"/>
            </w:tcBorders>
            <w:shd w:val="clear" w:color="000000" w:fill="FFFFFF"/>
            <w:vAlign w:val="bottom"/>
            <w:hideMark/>
          </w:tcPr>
          <w:p w14:paraId="108E0086" w14:textId="77777777" w:rsidR="003C3B52" w:rsidRPr="000300CB" w:rsidRDefault="003C3B52">
            <w:pPr>
              <w:tabs>
                <w:tab w:val="clear" w:pos="567"/>
              </w:tabs>
              <w:spacing w:before="0" w:line="240" w:lineRule="auto"/>
              <w:jc w:val="right"/>
              <w:rPr>
                <w:rFonts w:eastAsia="Times New Roman" w:cs="Open Sans Light"/>
                <w:color w:val="000000"/>
                <w:sz w:val="16"/>
                <w:szCs w:val="16"/>
                <w:lang w:eastAsia="en-AU"/>
              </w:rPr>
            </w:pPr>
            <w:r w:rsidRPr="000300CB">
              <w:rPr>
                <w:rFonts w:eastAsia="Times New Roman" w:cs="Open Sans Light"/>
                <w:color w:val="000000"/>
                <w:sz w:val="16"/>
                <w:szCs w:val="16"/>
                <w:lang w:eastAsia="en-AU"/>
              </w:rPr>
              <w:t>1</w:t>
            </w:r>
            <w:r>
              <w:rPr>
                <w:rFonts w:eastAsia="Times New Roman" w:cs="Open Sans Light"/>
                <w:color w:val="000000"/>
                <w:sz w:val="16"/>
                <w:szCs w:val="16"/>
                <w:lang w:eastAsia="en-AU"/>
              </w:rPr>
              <w:t>76</w:t>
            </w:r>
          </w:p>
        </w:tc>
        <w:tc>
          <w:tcPr>
            <w:tcW w:w="1940" w:type="dxa"/>
            <w:tcBorders>
              <w:top w:val="single" w:sz="4" w:space="0" w:color="ADD6EA"/>
              <w:left w:val="nil"/>
              <w:bottom w:val="nil"/>
              <w:right w:val="nil"/>
            </w:tcBorders>
            <w:shd w:val="clear" w:color="000000" w:fill="FFFFFF"/>
            <w:vAlign w:val="bottom"/>
            <w:hideMark/>
          </w:tcPr>
          <w:p w14:paraId="32B6C130" w14:textId="77777777" w:rsidR="003C3B52" w:rsidRPr="000300CB" w:rsidRDefault="003C3B52">
            <w:pPr>
              <w:tabs>
                <w:tab w:val="clear" w:pos="567"/>
              </w:tabs>
              <w:spacing w:before="0" w:line="240" w:lineRule="auto"/>
              <w:jc w:val="right"/>
              <w:rPr>
                <w:rFonts w:eastAsia="Times New Roman" w:cs="Open Sans Light"/>
                <w:color w:val="000000"/>
                <w:sz w:val="16"/>
                <w:szCs w:val="16"/>
                <w:lang w:eastAsia="en-AU"/>
              </w:rPr>
            </w:pPr>
            <w:r>
              <w:rPr>
                <w:rFonts w:eastAsia="Times New Roman" w:cs="Open Sans Light"/>
                <w:color w:val="000000"/>
                <w:sz w:val="16"/>
                <w:szCs w:val="16"/>
                <w:lang w:eastAsia="en-AU"/>
              </w:rPr>
              <w:t>54</w:t>
            </w:r>
          </w:p>
        </w:tc>
        <w:tc>
          <w:tcPr>
            <w:tcW w:w="1600" w:type="dxa"/>
            <w:tcBorders>
              <w:top w:val="single" w:sz="4" w:space="0" w:color="ADD6EA"/>
              <w:left w:val="nil"/>
              <w:bottom w:val="nil"/>
              <w:right w:val="nil"/>
            </w:tcBorders>
            <w:shd w:val="clear" w:color="000000" w:fill="FFFFFF"/>
            <w:vAlign w:val="bottom"/>
            <w:hideMark/>
          </w:tcPr>
          <w:p w14:paraId="281E243B" w14:textId="77777777" w:rsidR="003C3B52" w:rsidRPr="000300CB" w:rsidRDefault="003C3B52">
            <w:pPr>
              <w:tabs>
                <w:tab w:val="clear" w:pos="567"/>
              </w:tabs>
              <w:spacing w:before="0" w:line="240" w:lineRule="auto"/>
              <w:jc w:val="right"/>
              <w:rPr>
                <w:rFonts w:eastAsia="Times New Roman" w:cs="Open Sans Light"/>
                <w:color w:val="000000"/>
                <w:sz w:val="16"/>
                <w:szCs w:val="16"/>
                <w:lang w:eastAsia="en-AU"/>
              </w:rPr>
            </w:pPr>
            <w:r w:rsidRPr="000300CB">
              <w:rPr>
                <w:rFonts w:eastAsia="Times New Roman" w:cs="Open Sans Light"/>
                <w:color w:val="000000"/>
                <w:sz w:val="16"/>
                <w:szCs w:val="16"/>
                <w:lang w:eastAsia="en-AU"/>
              </w:rPr>
              <w:t>**</w:t>
            </w:r>
          </w:p>
        </w:tc>
      </w:tr>
      <w:tr w:rsidR="003C3B52" w:rsidRPr="000300CB" w14:paraId="220135EB" w14:textId="77777777">
        <w:trPr>
          <w:trHeight w:val="321"/>
        </w:trPr>
        <w:tc>
          <w:tcPr>
            <w:tcW w:w="3560" w:type="dxa"/>
            <w:tcBorders>
              <w:top w:val="single" w:sz="4" w:space="0" w:color="ADD6EA"/>
              <w:left w:val="nil"/>
              <w:bottom w:val="nil"/>
              <w:right w:val="nil"/>
            </w:tcBorders>
            <w:shd w:val="clear" w:color="000000" w:fill="FFFFFF"/>
            <w:vAlign w:val="bottom"/>
            <w:hideMark/>
          </w:tcPr>
          <w:p w14:paraId="465D4186" w14:textId="77777777" w:rsidR="003C3B52" w:rsidRPr="000300CB" w:rsidRDefault="003C3B52">
            <w:pPr>
              <w:tabs>
                <w:tab w:val="clear" w:pos="567"/>
              </w:tabs>
              <w:spacing w:before="0" w:line="240" w:lineRule="auto"/>
              <w:rPr>
                <w:rFonts w:eastAsia="Times New Roman" w:cs="Open Sans Light"/>
                <w:color w:val="000000"/>
                <w:sz w:val="16"/>
                <w:szCs w:val="16"/>
                <w:lang w:eastAsia="en-AU"/>
              </w:rPr>
            </w:pPr>
            <w:r w:rsidRPr="000300CB">
              <w:rPr>
                <w:rFonts w:eastAsia="Times New Roman" w:cs="Open Sans Light"/>
                <w:color w:val="000000"/>
                <w:sz w:val="16"/>
                <w:szCs w:val="16"/>
                <w:lang w:eastAsia="en-AU"/>
              </w:rPr>
              <w:t xml:space="preserve">Outer regional </w:t>
            </w:r>
          </w:p>
        </w:tc>
        <w:tc>
          <w:tcPr>
            <w:tcW w:w="1840" w:type="dxa"/>
            <w:tcBorders>
              <w:top w:val="single" w:sz="4" w:space="0" w:color="ADD6EA"/>
              <w:left w:val="nil"/>
              <w:bottom w:val="nil"/>
              <w:right w:val="nil"/>
            </w:tcBorders>
            <w:shd w:val="clear" w:color="000000" w:fill="FFFFFF"/>
            <w:vAlign w:val="bottom"/>
            <w:hideMark/>
          </w:tcPr>
          <w:p w14:paraId="02A7920B" w14:textId="77777777" w:rsidR="003C3B52" w:rsidRPr="000300CB" w:rsidRDefault="003C3B52">
            <w:pPr>
              <w:tabs>
                <w:tab w:val="clear" w:pos="567"/>
              </w:tabs>
              <w:spacing w:before="0" w:line="240" w:lineRule="auto"/>
              <w:jc w:val="right"/>
              <w:rPr>
                <w:rFonts w:eastAsia="Times New Roman" w:cs="Open Sans Light"/>
                <w:color w:val="000000"/>
                <w:sz w:val="16"/>
                <w:szCs w:val="16"/>
                <w:lang w:eastAsia="en-AU"/>
              </w:rPr>
            </w:pPr>
            <w:r w:rsidRPr="000300CB">
              <w:rPr>
                <w:rFonts w:eastAsia="Times New Roman" w:cs="Open Sans Light"/>
                <w:color w:val="000000"/>
                <w:sz w:val="16"/>
                <w:szCs w:val="16"/>
                <w:lang w:eastAsia="en-AU"/>
              </w:rPr>
              <w:t>4</w:t>
            </w:r>
            <w:r>
              <w:rPr>
                <w:rFonts w:eastAsia="Times New Roman" w:cs="Open Sans Light"/>
                <w:color w:val="000000"/>
                <w:sz w:val="16"/>
                <w:szCs w:val="16"/>
                <w:lang w:eastAsia="en-AU"/>
              </w:rPr>
              <w:t>28</w:t>
            </w:r>
          </w:p>
        </w:tc>
        <w:tc>
          <w:tcPr>
            <w:tcW w:w="1940" w:type="dxa"/>
            <w:tcBorders>
              <w:top w:val="single" w:sz="4" w:space="0" w:color="ADD6EA"/>
              <w:left w:val="nil"/>
              <w:bottom w:val="nil"/>
              <w:right w:val="nil"/>
            </w:tcBorders>
            <w:shd w:val="clear" w:color="000000" w:fill="FFFFFF"/>
            <w:vAlign w:val="bottom"/>
            <w:hideMark/>
          </w:tcPr>
          <w:p w14:paraId="719A53BC" w14:textId="77777777" w:rsidR="003C3B52" w:rsidRPr="000300CB" w:rsidRDefault="003C3B52">
            <w:pPr>
              <w:tabs>
                <w:tab w:val="clear" w:pos="567"/>
              </w:tabs>
              <w:spacing w:before="0" w:line="240" w:lineRule="auto"/>
              <w:jc w:val="right"/>
              <w:rPr>
                <w:rFonts w:eastAsia="Times New Roman" w:cs="Open Sans Light"/>
                <w:color w:val="000000"/>
                <w:sz w:val="16"/>
                <w:szCs w:val="16"/>
                <w:lang w:eastAsia="en-AU"/>
              </w:rPr>
            </w:pPr>
            <w:r>
              <w:rPr>
                <w:rFonts w:eastAsia="Times New Roman" w:cs="Open Sans Light"/>
                <w:color w:val="000000"/>
                <w:sz w:val="16"/>
                <w:szCs w:val="16"/>
                <w:lang w:eastAsia="en-AU"/>
              </w:rPr>
              <w:t>77</w:t>
            </w:r>
          </w:p>
        </w:tc>
        <w:tc>
          <w:tcPr>
            <w:tcW w:w="1600" w:type="dxa"/>
            <w:tcBorders>
              <w:top w:val="single" w:sz="4" w:space="0" w:color="ADD6EA"/>
              <w:left w:val="nil"/>
              <w:bottom w:val="nil"/>
              <w:right w:val="nil"/>
            </w:tcBorders>
            <w:shd w:val="clear" w:color="000000" w:fill="FFFFFF"/>
            <w:vAlign w:val="bottom"/>
            <w:hideMark/>
          </w:tcPr>
          <w:p w14:paraId="488B45CA" w14:textId="77777777" w:rsidR="003C3B52" w:rsidRPr="000300CB" w:rsidRDefault="003C3B52">
            <w:pPr>
              <w:tabs>
                <w:tab w:val="clear" w:pos="567"/>
              </w:tabs>
              <w:spacing w:before="0" w:line="240" w:lineRule="auto"/>
              <w:jc w:val="right"/>
              <w:rPr>
                <w:rFonts w:eastAsia="Times New Roman" w:cs="Open Sans Light"/>
                <w:color w:val="000000"/>
                <w:sz w:val="16"/>
                <w:szCs w:val="16"/>
                <w:lang w:eastAsia="en-AU"/>
              </w:rPr>
            </w:pPr>
            <w:r w:rsidRPr="000300CB">
              <w:rPr>
                <w:rFonts w:eastAsia="Times New Roman" w:cs="Open Sans Light"/>
                <w:color w:val="000000"/>
                <w:sz w:val="16"/>
                <w:szCs w:val="16"/>
                <w:lang w:eastAsia="en-AU"/>
              </w:rPr>
              <w:t>***</w:t>
            </w:r>
          </w:p>
        </w:tc>
      </w:tr>
      <w:tr w:rsidR="003C3B52" w:rsidRPr="000300CB" w14:paraId="75F952A9" w14:textId="77777777">
        <w:trPr>
          <w:trHeight w:val="321"/>
        </w:trPr>
        <w:tc>
          <w:tcPr>
            <w:tcW w:w="3560" w:type="dxa"/>
            <w:tcBorders>
              <w:top w:val="single" w:sz="4" w:space="0" w:color="ADD6EA"/>
              <w:left w:val="nil"/>
              <w:bottom w:val="nil"/>
              <w:right w:val="nil"/>
            </w:tcBorders>
            <w:shd w:val="clear" w:color="000000" w:fill="FFFFFF"/>
            <w:vAlign w:val="bottom"/>
            <w:hideMark/>
          </w:tcPr>
          <w:p w14:paraId="237E428D" w14:textId="77777777" w:rsidR="003C3B52" w:rsidRPr="000300CB" w:rsidRDefault="003C3B52">
            <w:pPr>
              <w:tabs>
                <w:tab w:val="clear" w:pos="567"/>
              </w:tabs>
              <w:spacing w:before="0" w:line="240" w:lineRule="auto"/>
              <w:rPr>
                <w:rFonts w:eastAsia="Times New Roman" w:cs="Open Sans Light"/>
                <w:color w:val="000000"/>
                <w:sz w:val="16"/>
                <w:szCs w:val="16"/>
                <w:lang w:eastAsia="en-AU"/>
              </w:rPr>
            </w:pPr>
            <w:r w:rsidRPr="000300CB">
              <w:rPr>
                <w:rFonts w:eastAsia="Times New Roman" w:cs="Open Sans Light"/>
                <w:color w:val="000000"/>
                <w:sz w:val="16"/>
                <w:szCs w:val="16"/>
                <w:lang w:eastAsia="en-AU"/>
              </w:rPr>
              <w:t xml:space="preserve">All remote  </w:t>
            </w:r>
          </w:p>
        </w:tc>
        <w:tc>
          <w:tcPr>
            <w:tcW w:w="1840" w:type="dxa"/>
            <w:tcBorders>
              <w:top w:val="single" w:sz="4" w:space="0" w:color="ADD6EA"/>
              <w:left w:val="nil"/>
              <w:bottom w:val="nil"/>
              <w:right w:val="nil"/>
            </w:tcBorders>
            <w:shd w:val="clear" w:color="000000" w:fill="FFFFFF"/>
            <w:vAlign w:val="bottom"/>
            <w:hideMark/>
          </w:tcPr>
          <w:p w14:paraId="3DCBEE52" w14:textId="77777777" w:rsidR="003C3B52" w:rsidRPr="000300CB" w:rsidRDefault="003C3B52">
            <w:pPr>
              <w:tabs>
                <w:tab w:val="clear" w:pos="567"/>
              </w:tabs>
              <w:spacing w:before="0" w:line="240" w:lineRule="auto"/>
              <w:jc w:val="right"/>
              <w:rPr>
                <w:rFonts w:eastAsia="Times New Roman" w:cs="Open Sans Light"/>
                <w:color w:val="000000"/>
                <w:sz w:val="16"/>
                <w:szCs w:val="16"/>
                <w:lang w:eastAsia="en-AU"/>
              </w:rPr>
            </w:pPr>
            <w:r w:rsidRPr="000300CB">
              <w:rPr>
                <w:rFonts w:eastAsia="Times New Roman" w:cs="Open Sans Light"/>
                <w:color w:val="000000"/>
                <w:sz w:val="16"/>
                <w:szCs w:val="16"/>
                <w:lang w:eastAsia="en-AU"/>
              </w:rPr>
              <w:t>1,8</w:t>
            </w:r>
            <w:r>
              <w:rPr>
                <w:rFonts w:eastAsia="Times New Roman" w:cs="Open Sans Light"/>
                <w:color w:val="000000"/>
                <w:sz w:val="16"/>
                <w:szCs w:val="16"/>
                <w:lang w:eastAsia="en-AU"/>
              </w:rPr>
              <w:t>75</w:t>
            </w:r>
          </w:p>
        </w:tc>
        <w:tc>
          <w:tcPr>
            <w:tcW w:w="1940" w:type="dxa"/>
            <w:tcBorders>
              <w:top w:val="single" w:sz="4" w:space="0" w:color="ADD6EA"/>
              <w:left w:val="nil"/>
              <w:bottom w:val="nil"/>
              <w:right w:val="nil"/>
            </w:tcBorders>
            <w:shd w:val="clear" w:color="000000" w:fill="FFFFFF"/>
            <w:vAlign w:val="bottom"/>
            <w:hideMark/>
          </w:tcPr>
          <w:p w14:paraId="5382841F" w14:textId="77777777" w:rsidR="003C3B52" w:rsidRPr="000300CB" w:rsidRDefault="003C3B52">
            <w:pPr>
              <w:tabs>
                <w:tab w:val="clear" w:pos="567"/>
              </w:tabs>
              <w:spacing w:before="0" w:line="240" w:lineRule="auto"/>
              <w:jc w:val="right"/>
              <w:rPr>
                <w:rFonts w:eastAsia="Times New Roman" w:cs="Open Sans Light"/>
                <w:color w:val="000000"/>
                <w:sz w:val="16"/>
                <w:szCs w:val="16"/>
                <w:lang w:eastAsia="en-AU"/>
              </w:rPr>
            </w:pPr>
            <w:r>
              <w:rPr>
                <w:rFonts w:eastAsia="Times New Roman" w:cs="Open Sans Light"/>
                <w:color w:val="000000"/>
                <w:sz w:val="16"/>
                <w:szCs w:val="16"/>
                <w:lang w:eastAsia="en-AU"/>
              </w:rPr>
              <w:t>160</w:t>
            </w:r>
          </w:p>
        </w:tc>
        <w:tc>
          <w:tcPr>
            <w:tcW w:w="1600" w:type="dxa"/>
            <w:tcBorders>
              <w:top w:val="single" w:sz="4" w:space="0" w:color="ADD6EA"/>
              <w:left w:val="nil"/>
              <w:bottom w:val="nil"/>
              <w:right w:val="nil"/>
            </w:tcBorders>
            <w:shd w:val="clear" w:color="000000" w:fill="FFFFFF"/>
            <w:vAlign w:val="bottom"/>
            <w:hideMark/>
          </w:tcPr>
          <w:p w14:paraId="51138C47" w14:textId="77777777" w:rsidR="003C3B52" w:rsidRPr="000300CB" w:rsidRDefault="003C3B52">
            <w:pPr>
              <w:tabs>
                <w:tab w:val="clear" w:pos="567"/>
              </w:tabs>
              <w:spacing w:before="0" w:line="240" w:lineRule="auto"/>
              <w:jc w:val="right"/>
              <w:rPr>
                <w:rFonts w:eastAsia="Times New Roman" w:cs="Open Sans Light"/>
                <w:color w:val="000000"/>
                <w:sz w:val="16"/>
                <w:szCs w:val="16"/>
                <w:lang w:eastAsia="en-AU"/>
              </w:rPr>
            </w:pPr>
            <w:r w:rsidRPr="000300CB">
              <w:rPr>
                <w:rFonts w:eastAsia="Times New Roman" w:cs="Open Sans Light"/>
                <w:color w:val="000000"/>
                <w:sz w:val="16"/>
                <w:szCs w:val="16"/>
                <w:lang w:eastAsia="en-AU"/>
              </w:rPr>
              <w:t>***</w:t>
            </w:r>
          </w:p>
        </w:tc>
      </w:tr>
      <w:tr w:rsidR="003C3B52" w:rsidRPr="000300CB" w14:paraId="658F53C6" w14:textId="77777777">
        <w:trPr>
          <w:trHeight w:val="321"/>
        </w:trPr>
        <w:tc>
          <w:tcPr>
            <w:tcW w:w="3560" w:type="dxa"/>
            <w:tcBorders>
              <w:top w:val="single" w:sz="4" w:space="0" w:color="ADD6EA"/>
              <w:left w:val="nil"/>
              <w:bottom w:val="nil"/>
              <w:right w:val="nil"/>
            </w:tcBorders>
            <w:shd w:val="clear" w:color="000000" w:fill="FFFFFF"/>
            <w:vAlign w:val="bottom"/>
            <w:hideMark/>
          </w:tcPr>
          <w:p w14:paraId="78E5198C" w14:textId="77777777" w:rsidR="003C3B52" w:rsidRPr="000300CB" w:rsidRDefault="003C3B52">
            <w:pPr>
              <w:tabs>
                <w:tab w:val="clear" w:pos="567"/>
              </w:tabs>
              <w:spacing w:before="0" w:line="240" w:lineRule="auto"/>
              <w:rPr>
                <w:rFonts w:eastAsia="Times New Roman" w:cs="Open Sans Light"/>
                <w:color w:val="000000"/>
                <w:sz w:val="16"/>
                <w:szCs w:val="16"/>
                <w:lang w:eastAsia="en-AU"/>
              </w:rPr>
            </w:pPr>
            <w:r w:rsidRPr="000300CB">
              <w:rPr>
                <w:rFonts w:eastAsia="Times New Roman" w:cs="Open Sans Light"/>
                <w:color w:val="000000"/>
                <w:sz w:val="16"/>
                <w:szCs w:val="16"/>
                <w:lang w:eastAsia="en-AU"/>
              </w:rPr>
              <w:t> </w:t>
            </w:r>
          </w:p>
        </w:tc>
        <w:tc>
          <w:tcPr>
            <w:tcW w:w="1840" w:type="dxa"/>
            <w:tcBorders>
              <w:top w:val="single" w:sz="4" w:space="0" w:color="ADD6EA"/>
              <w:left w:val="nil"/>
              <w:bottom w:val="nil"/>
              <w:right w:val="nil"/>
            </w:tcBorders>
            <w:shd w:val="clear" w:color="000000" w:fill="FFFFFF"/>
            <w:vAlign w:val="bottom"/>
            <w:hideMark/>
          </w:tcPr>
          <w:p w14:paraId="08120F51" w14:textId="77777777" w:rsidR="003C3B52" w:rsidRPr="000300CB" w:rsidRDefault="003C3B52">
            <w:pPr>
              <w:tabs>
                <w:tab w:val="clear" w:pos="567"/>
              </w:tabs>
              <w:spacing w:before="0" w:line="240" w:lineRule="auto"/>
              <w:jc w:val="right"/>
              <w:rPr>
                <w:rFonts w:eastAsia="Times New Roman" w:cs="Open Sans Light"/>
                <w:color w:val="000000"/>
                <w:sz w:val="16"/>
                <w:szCs w:val="16"/>
                <w:lang w:eastAsia="en-AU"/>
              </w:rPr>
            </w:pPr>
            <w:r w:rsidRPr="000300CB">
              <w:rPr>
                <w:rFonts w:eastAsia="Times New Roman" w:cs="Open Sans Light"/>
                <w:color w:val="000000"/>
                <w:sz w:val="16"/>
                <w:szCs w:val="16"/>
                <w:lang w:eastAsia="en-AU"/>
              </w:rPr>
              <w:t> </w:t>
            </w:r>
          </w:p>
        </w:tc>
        <w:tc>
          <w:tcPr>
            <w:tcW w:w="1940" w:type="dxa"/>
            <w:tcBorders>
              <w:top w:val="single" w:sz="4" w:space="0" w:color="ADD6EA"/>
              <w:left w:val="nil"/>
              <w:bottom w:val="nil"/>
              <w:right w:val="nil"/>
            </w:tcBorders>
            <w:shd w:val="clear" w:color="000000" w:fill="FFFFFF"/>
            <w:vAlign w:val="bottom"/>
            <w:hideMark/>
          </w:tcPr>
          <w:p w14:paraId="37E248DA" w14:textId="77777777" w:rsidR="003C3B52" w:rsidRPr="000300CB" w:rsidRDefault="003C3B52">
            <w:pPr>
              <w:tabs>
                <w:tab w:val="clear" w:pos="567"/>
              </w:tabs>
              <w:spacing w:before="0" w:line="240" w:lineRule="auto"/>
              <w:jc w:val="right"/>
              <w:rPr>
                <w:rFonts w:eastAsia="Times New Roman" w:cs="Open Sans Light"/>
                <w:color w:val="000000"/>
                <w:sz w:val="16"/>
                <w:szCs w:val="16"/>
                <w:lang w:eastAsia="en-AU"/>
              </w:rPr>
            </w:pPr>
            <w:r w:rsidRPr="000300CB">
              <w:rPr>
                <w:rFonts w:eastAsia="Times New Roman" w:cs="Open Sans Light"/>
                <w:color w:val="000000"/>
                <w:sz w:val="16"/>
                <w:szCs w:val="16"/>
                <w:lang w:eastAsia="en-AU"/>
              </w:rPr>
              <w:t> </w:t>
            </w:r>
          </w:p>
        </w:tc>
        <w:tc>
          <w:tcPr>
            <w:tcW w:w="1600" w:type="dxa"/>
            <w:tcBorders>
              <w:top w:val="single" w:sz="4" w:space="0" w:color="ADD6EA"/>
              <w:left w:val="nil"/>
              <w:bottom w:val="nil"/>
              <w:right w:val="nil"/>
            </w:tcBorders>
            <w:shd w:val="clear" w:color="000000" w:fill="FFFFFF"/>
            <w:vAlign w:val="bottom"/>
            <w:hideMark/>
          </w:tcPr>
          <w:p w14:paraId="7F11B666" w14:textId="77777777" w:rsidR="003C3B52" w:rsidRPr="000300CB" w:rsidRDefault="003C3B52">
            <w:pPr>
              <w:tabs>
                <w:tab w:val="clear" w:pos="567"/>
              </w:tabs>
              <w:spacing w:before="0" w:line="240" w:lineRule="auto"/>
              <w:jc w:val="right"/>
              <w:rPr>
                <w:rFonts w:eastAsia="Times New Roman" w:cs="Open Sans Light"/>
                <w:color w:val="000000"/>
                <w:sz w:val="16"/>
                <w:szCs w:val="16"/>
                <w:lang w:eastAsia="en-AU"/>
              </w:rPr>
            </w:pPr>
            <w:r w:rsidRPr="000300CB">
              <w:rPr>
                <w:rFonts w:eastAsia="Times New Roman" w:cs="Open Sans Light"/>
                <w:color w:val="000000"/>
                <w:sz w:val="16"/>
                <w:szCs w:val="16"/>
                <w:lang w:eastAsia="en-AU"/>
              </w:rPr>
              <w:t> </w:t>
            </w:r>
          </w:p>
        </w:tc>
      </w:tr>
      <w:tr w:rsidR="003C3B52" w:rsidRPr="000300CB" w14:paraId="2293E8CD" w14:textId="77777777">
        <w:trPr>
          <w:trHeight w:val="321"/>
        </w:trPr>
        <w:tc>
          <w:tcPr>
            <w:tcW w:w="3560" w:type="dxa"/>
            <w:tcBorders>
              <w:top w:val="single" w:sz="4" w:space="0" w:color="ADD6EA"/>
              <w:left w:val="nil"/>
              <w:bottom w:val="nil"/>
              <w:right w:val="nil"/>
            </w:tcBorders>
            <w:shd w:val="clear" w:color="000000" w:fill="FFFFFF"/>
            <w:vAlign w:val="bottom"/>
            <w:hideMark/>
          </w:tcPr>
          <w:p w14:paraId="468DC259" w14:textId="77777777" w:rsidR="003C3B52" w:rsidRPr="000300CB" w:rsidRDefault="003C3B52">
            <w:pPr>
              <w:tabs>
                <w:tab w:val="clear" w:pos="567"/>
              </w:tabs>
              <w:spacing w:before="0" w:line="240" w:lineRule="auto"/>
              <w:rPr>
                <w:rFonts w:eastAsia="Times New Roman" w:cs="Open Sans Light"/>
                <w:color w:val="000000"/>
                <w:sz w:val="16"/>
                <w:szCs w:val="16"/>
                <w:lang w:eastAsia="en-AU"/>
              </w:rPr>
            </w:pPr>
            <w:r w:rsidRPr="000300CB">
              <w:rPr>
                <w:rFonts w:eastAsia="Times New Roman" w:cs="Open Sans Light"/>
                <w:color w:val="000000"/>
                <w:sz w:val="16"/>
                <w:szCs w:val="16"/>
                <w:lang w:eastAsia="en-AU"/>
              </w:rPr>
              <w:t>Adjusted R squared</w:t>
            </w:r>
          </w:p>
        </w:tc>
        <w:tc>
          <w:tcPr>
            <w:tcW w:w="1840" w:type="dxa"/>
            <w:tcBorders>
              <w:top w:val="single" w:sz="4" w:space="0" w:color="ADD6EA"/>
              <w:left w:val="nil"/>
              <w:bottom w:val="nil"/>
              <w:right w:val="nil"/>
            </w:tcBorders>
            <w:shd w:val="clear" w:color="000000" w:fill="FFFFFF"/>
            <w:vAlign w:val="bottom"/>
            <w:hideMark/>
          </w:tcPr>
          <w:p w14:paraId="4765ADFE" w14:textId="77777777" w:rsidR="003C3B52" w:rsidRPr="000300CB" w:rsidRDefault="003C3B52">
            <w:pPr>
              <w:tabs>
                <w:tab w:val="clear" w:pos="567"/>
              </w:tabs>
              <w:spacing w:before="0" w:line="240" w:lineRule="auto"/>
              <w:jc w:val="right"/>
              <w:rPr>
                <w:rFonts w:eastAsia="Times New Roman" w:cs="Open Sans Light"/>
                <w:color w:val="000000"/>
                <w:sz w:val="16"/>
                <w:szCs w:val="16"/>
                <w:lang w:eastAsia="en-AU"/>
              </w:rPr>
            </w:pPr>
            <w:r w:rsidRPr="000300CB">
              <w:rPr>
                <w:rFonts w:eastAsia="Times New Roman" w:cs="Open Sans Light"/>
                <w:color w:val="000000"/>
                <w:sz w:val="16"/>
                <w:szCs w:val="16"/>
                <w:lang w:eastAsia="en-AU"/>
              </w:rPr>
              <w:t>0.5</w:t>
            </w:r>
            <w:r>
              <w:rPr>
                <w:rFonts w:eastAsia="Times New Roman" w:cs="Open Sans Light"/>
                <w:color w:val="000000"/>
                <w:sz w:val="16"/>
                <w:szCs w:val="16"/>
                <w:lang w:eastAsia="en-AU"/>
              </w:rPr>
              <w:t>71</w:t>
            </w:r>
          </w:p>
        </w:tc>
        <w:tc>
          <w:tcPr>
            <w:tcW w:w="1940" w:type="dxa"/>
            <w:tcBorders>
              <w:top w:val="single" w:sz="4" w:space="0" w:color="ADD6EA"/>
              <w:left w:val="nil"/>
              <w:bottom w:val="nil"/>
              <w:right w:val="nil"/>
            </w:tcBorders>
            <w:shd w:val="clear" w:color="000000" w:fill="FFFFFF"/>
            <w:vAlign w:val="bottom"/>
            <w:hideMark/>
          </w:tcPr>
          <w:p w14:paraId="22D0C510" w14:textId="77777777" w:rsidR="003C3B52" w:rsidRPr="000300CB" w:rsidRDefault="003C3B52">
            <w:pPr>
              <w:tabs>
                <w:tab w:val="clear" w:pos="567"/>
              </w:tabs>
              <w:spacing w:before="0" w:line="240" w:lineRule="auto"/>
              <w:jc w:val="right"/>
              <w:rPr>
                <w:rFonts w:eastAsia="Times New Roman" w:cs="Open Sans Light"/>
                <w:color w:val="000000"/>
                <w:sz w:val="16"/>
                <w:szCs w:val="16"/>
                <w:lang w:eastAsia="en-AU"/>
              </w:rPr>
            </w:pPr>
            <w:r w:rsidRPr="000300CB">
              <w:rPr>
                <w:rFonts w:eastAsia="Times New Roman" w:cs="Open Sans Light"/>
                <w:color w:val="000000"/>
                <w:sz w:val="16"/>
                <w:szCs w:val="16"/>
                <w:lang w:eastAsia="en-AU"/>
              </w:rPr>
              <w:t> </w:t>
            </w:r>
          </w:p>
        </w:tc>
        <w:tc>
          <w:tcPr>
            <w:tcW w:w="1600" w:type="dxa"/>
            <w:tcBorders>
              <w:top w:val="single" w:sz="4" w:space="0" w:color="ADD6EA"/>
              <w:left w:val="nil"/>
              <w:bottom w:val="nil"/>
              <w:right w:val="nil"/>
            </w:tcBorders>
            <w:shd w:val="clear" w:color="000000" w:fill="FFFFFF"/>
            <w:vAlign w:val="bottom"/>
            <w:hideMark/>
          </w:tcPr>
          <w:p w14:paraId="3E24BDD8" w14:textId="77777777" w:rsidR="003C3B52" w:rsidRPr="000300CB" w:rsidRDefault="003C3B52">
            <w:pPr>
              <w:tabs>
                <w:tab w:val="clear" w:pos="567"/>
              </w:tabs>
              <w:spacing w:before="0" w:line="240" w:lineRule="auto"/>
              <w:jc w:val="right"/>
              <w:rPr>
                <w:rFonts w:eastAsia="Times New Roman" w:cs="Open Sans Light"/>
                <w:color w:val="000000"/>
                <w:sz w:val="16"/>
                <w:szCs w:val="16"/>
                <w:lang w:eastAsia="en-AU"/>
              </w:rPr>
            </w:pPr>
            <w:r w:rsidRPr="000300CB">
              <w:rPr>
                <w:rFonts w:eastAsia="Times New Roman" w:cs="Open Sans Light"/>
                <w:color w:val="000000"/>
                <w:sz w:val="16"/>
                <w:szCs w:val="16"/>
                <w:lang w:eastAsia="en-AU"/>
              </w:rPr>
              <w:t> </w:t>
            </w:r>
          </w:p>
        </w:tc>
      </w:tr>
      <w:tr w:rsidR="003C3B52" w:rsidRPr="000300CB" w14:paraId="745DB1C8" w14:textId="77777777">
        <w:trPr>
          <w:trHeight w:val="321"/>
        </w:trPr>
        <w:tc>
          <w:tcPr>
            <w:tcW w:w="3560" w:type="dxa"/>
            <w:tcBorders>
              <w:top w:val="single" w:sz="4" w:space="0" w:color="ADD6EA"/>
              <w:left w:val="nil"/>
              <w:bottom w:val="single" w:sz="4" w:space="0" w:color="ADD6EA"/>
              <w:right w:val="nil"/>
            </w:tcBorders>
            <w:shd w:val="clear" w:color="000000" w:fill="FFFFFF"/>
            <w:vAlign w:val="bottom"/>
            <w:hideMark/>
          </w:tcPr>
          <w:p w14:paraId="1F56D871" w14:textId="77777777" w:rsidR="003C3B52" w:rsidRPr="000300CB" w:rsidRDefault="003C3B52">
            <w:pPr>
              <w:tabs>
                <w:tab w:val="clear" w:pos="567"/>
              </w:tabs>
              <w:spacing w:before="0" w:line="240" w:lineRule="auto"/>
              <w:rPr>
                <w:rFonts w:eastAsia="Times New Roman" w:cs="Open Sans Light"/>
                <w:color w:val="000000"/>
                <w:sz w:val="16"/>
                <w:szCs w:val="16"/>
                <w:lang w:eastAsia="en-AU"/>
              </w:rPr>
            </w:pPr>
            <w:r w:rsidRPr="000300CB">
              <w:rPr>
                <w:rFonts w:eastAsia="Times New Roman" w:cs="Open Sans Light"/>
                <w:color w:val="000000"/>
                <w:sz w:val="16"/>
                <w:szCs w:val="16"/>
                <w:lang w:eastAsia="en-AU"/>
              </w:rPr>
              <w:t>Sample size</w:t>
            </w:r>
          </w:p>
        </w:tc>
        <w:tc>
          <w:tcPr>
            <w:tcW w:w="1840" w:type="dxa"/>
            <w:tcBorders>
              <w:top w:val="single" w:sz="4" w:space="0" w:color="ADD6EA"/>
              <w:left w:val="nil"/>
              <w:bottom w:val="single" w:sz="4" w:space="0" w:color="ADD6EA"/>
              <w:right w:val="nil"/>
            </w:tcBorders>
            <w:shd w:val="clear" w:color="000000" w:fill="FFFFFF"/>
            <w:vAlign w:val="bottom"/>
            <w:hideMark/>
          </w:tcPr>
          <w:p w14:paraId="61BA23F7" w14:textId="77777777" w:rsidR="003C3B52" w:rsidRPr="000300CB" w:rsidRDefault="003C3B52">
            <w:pPr>
              <w:tabs>
                <w:tab w:val="clear" w:pos="567"/>
              </w:tabs>
              <w:spacing w:before="0" w:line="240" w:lineRule="auto"/>
              <w:jc w:val="right"/>
              <w:rPr>
                <w:rFonts w:eastAsia="Times New Roman" w:cs="Open Sans Light"/>
                <w:color w:val="000000"/>
                <w:sz w:val="16"/>
                <w:szCs w:val="16"/>
                <w:lang w:eastAsia="en-AU"/>
              </w:rPr>
            </w:pPr>
            <w:r w:rsidRPr="000300CB">
              <w:rPr>
                <w:rFonts w:eastAsia="Times New Roman" w:cs="Open Sans Light"/>
                <w:color w:val="000000"/>
                <w:sz w:val="16"/>
                <w:szCs w:val="16"/>
                <w:lang w:eastAsia="en-AU"/>
              </w:rPr>
              <w:t>152</w:t>
            </w:r>
          </w:p>
        </w:tc>
        <w:tc>
          <w:tcPr>
            <w:tcW w:w="1940" w:type="dxa"/>
            <w:tcBorders>
              <w:top w:val="single" w:sz="4" w:space="0" w:color="ADD6EA"/>
              <w:left w:val="nil"/>
              <w:bottom w:val="single" w:sz="4" w:space="0" w:color="ADD6EA"/>
              <w:right w:val="nil"/>
            </w:tcBorders>
            <w:shd w:val="clear" w:color="000000" w:fill="FFFFFF"/>
            <w:vAlign w:val="bottom"/>
            <w:hideMark/>
          </w:tcPr>
          <w:p w14:paraId="3D02AE6C" w14:textId="77777777" w:rsidR="003C3B52" w:rsidRPr="000300CB" w:rsidRDefault="003C3B52">
            <w:pPr>
              <w:tabs>
                <w:tab w:val="clear" w:pos="567"/>
              </w:tabs>
              <w:spacing w:before="0" w:line="240" w:lineRule="auto"/>
              <w:jc w:val="right"/>
              <w:rPr>
                <w:rFonts w:eastAsia="Times New Roman" w:cs="Open Sans Light"/>
                <w:color w:val="000000"/>
                <w:sz w:val="16"/>
                <w:szCs w:val="16"/>
                <w:lang w:eastAsia="en-AU"/>
              </w:rPr>
            </w:pPr>
            <w:r w:rsidRPr="000300CB">
              <w:rPr>
                <w:rFonts w:eastAsia="Times New Roman" w:cs="Open Sans Light"/>
                <w:color w:val="000000"/>
                <w:sz w:val="16"/>
                <w:szCs w:val="16"/>
                <w:lang w:eastAsia="en-AU"/>
              </w:rPr>
              <w:t> </w:t>
            </w:r>
          </w:p>
        </w:tc>
        <w:tc>
          <w:tcPr>
            <w:tcW w:w="1600" w:type="dxa"/>
            <w:tcBorders>
              <w:top w:val="single" w:sz="4" w:space="0" w:color="ADD6EA"/>
              <w:left w:val="nil"/>
              <w:bottom w:val="single" w:sz="4" w:space="0" w:color="ADD6EA"/>
              <w:right w:val="nil"/>
            </w:tcBorders>
            <w:shd w:val="clear" w:color="000000" w:fill="FFFFFF"/>
            <w:vAlign w:val="bottom"/>
            <w:hideMark/>
          </w:tcPr>
          <w:p w14:paraId="2AEA2A18" w14:textId="77777777" w:rsidR="003C3B52" w:rsidRPr="000300CB" w:rsidRDefault="003C3B52">
            <w:pPr>
              <w:tabs>
                <w:tab w:val="clear" w:pos="567"/>
              </w:tabs>
              <w:spacing w:before="0" w:line="240" w:lineRule="auto"/>
              <w:jc w:val="right"/>
              <w:rPr>
                <w:rFonts w:eastAsia="Times New Roman" w:cs="Open Sans Light"/>
                <w:color w:val="000000"/>
                <w:sz w:val="16"/>
                <w:szCs w:val="16"/>
                <w:lang w:eastAsia="en-AU"/>
              </w:rPr>
            </w:pPr>
            <w:r w:rsidRPr="000300CB">
              <w:rPr>
                <w:rFonts w:eastAsia="Times New Roman" w:cs="Open Sans Light"/>
                <w:color w:val="000000"/>
                <w:sz w:val="16"/>
                <w:szCs w:val="16"/>
                <w:lang w:eastAsia="en-AU"/>
              </w:rPr>
              <w:t> </w:t>
            </w:r>
          </w:p>
        </w:tc>
      </w:tr>
    </w:tbl>
    <w:p w14:paraId="497A4868" w14:textId="77777777" w:rsidR="003C3B52" w:rsidRDefault="003C3B52" w:rsidP="003C3B52">
      <w:pPr>
        <w:pStyle w:val="CGC2025TableNote"/>
      </w:pPr>
      <w:r>
        <w:t>Note: *** represents statistically significant coefficients at a 0.001 confidence, ** at a 0.01 confidence.</w:t>
      </w:r>
    </w:p>
    <w:p w14:paraId="56953DC8" w14:textId="77777777" w:rsidR="00D92603" w:rsidRDefault="00D92603" w:rsidP="003C3B52">
      <w:pPr>
        <w:pStyle w:val="CGC2025TableNote"/>
      </w:pPr>
    </w:p>
    <w:p w14:paraId="044903B2" w14:textId="77777777" w:rsidR="00D92603" w:rsidRDefault="00D92603" w:rsidP="003C3B52">
      <w:pPr>
        <w:pStyle w:val="CGC2025TableNote"/>
      </w:pPr>
    </w:p>
    <w:p w14:paraId="53134746" w14:textId="1DA8304B" w:rsidR="00D92603" w:rsidRDefault="009F59E5">
      <w:pPr>
        <w:tabs>
          <w:tab w:val="clear" w:pos="567"/>
        </w:tabs>
        <w:spacing w:before="0" w:after="200" w:line="276" w:lineRule="auto"/>
        <w:rPr>
          <w:rFonts w:ascii="Work Sans" w:hAnsi="Work Sans"/>
          <w:sz w:val="14"/>
        </w:rPr>
      </w:pPr>
      <w:r>
        <w:br w:type="page"/>
      </w:r>
    </w:p>
    <w:p w14:paraId="54801B25" w14:textId="15468083" w:rsidR="00D92603" w:rsidRDefault="00D92603" w:rsidP="00D132C4">
      <w:pPr>
        <w:pStyle w:val="Heading2"/>
        <w:rPr>
          <w:b w:val="0"/>
        </w:rPr>
      </w:pPr>
      <w:r w:rsidRPr="008B7491">
        <w:lastRenderedPageBreak/>
        <w:t>Attachment B</w:t>
      </w:r>
      <w:r w:rsidR="00E729AB" w:rsidRPr="008B7491">
        <w:t>:</w:t>
      </w:r>
      <w:r w:rsidR="0051241F" w:rsidRPr="008B7491" w:rsidDel="00E729AB">
        <w:t xml:space="preserve"> </w:t>
      </w:r>
      <w:r w:rsidR="00044AC3" w:rsidRPr="008B7491">
        <w:rPr>
          <w:b w:val="0"/>
        </w:rPr>
        <w:t>Implications for geography</w:t>
      </w:r>
      <w:r w:rsidR="000751B5" w:rsidRPr="008B7491">
        <w:rPr>
          <w:b w:val="0"/>
        </w:rPr>
        <w:t xml:space="preserve"> </w:t>
      </w:r>
    </w:p>
    <w:p w14:paraId="6BA93A5E" w14:textId="52B4D983" w:rsidR="00333A07" w:rsidRPr="00333A07" w:rsidRDefault="00333A07" w:rsidP="009131F2">
      <w:pPr>
        <w:pStyle w:val="Heading3"/>
      </w:pPr>
      <w:r>
        <w:t>Geography</w:t>
      </w:r>
    </w:p>
    <w:p w14:paraId="48D36D83" w14:textId="1612C3FE" w:rsidR="00CA7E1A" w:rsidRPr="00CA7E1A" w:rsidRDefault="00045AA7" w:rsidP="00CA7E1A">
      <w:pPr>
        <w:pStyle w:val="CGC2025ParaNumbers"/>
      </w:pPr>
      <w:r>
        <w:t>The Commission uses general cost</w:t>
      </w:r>
      <w:r w:rsidR="00CD38CC">
        <w:t>s</w:t>
      </w:r>
      <w:r>
        <w:t xml:space="preserve"> gradients to capture regional costs and service delivery scale costs </w:t>
      </w:r>
      <w:r w:rsidR="00B422BF">
        <w:t>in assessments where there is a conceptual case that these costs exist</w:t>
      </w:r>
      <w:r w:rsidR="005159A7">
        <w:t>,</w:t>
      </w:r>
      <w:r w:rsidR="00B422BF">
        <w:t xml:space="preserve"> but data do not allow t</w:t>
      </w:r>
      <w:r w:rsidR="002E17C1">
        <w:t xml:space="preserve">hese costs to </w:t>
      </w:r>
      <w:r w:rsidR="00B053CF">
        <w:t xml:space="preserve">be </w:t>
      </w:r>
      <w:r w:rsidR="002E17C1">
        <w:t xml:space="preserve">directly measured. </w:t>
      </w:r>
      <w:r w:rsidR="008001E6">
        <w:t xml:space="preserve">The general gradients take </w:t>
      </w:r>
      <w:r w:rsidR="00FE2744">
        <w:t xml:space="preserve">a weighted average of </w:t>
      </w:r>
      <w:r w:rsidR="00955845">
        <w:t>the cost</w:t>
      </w:r>
      <w:r w:rsidR="00EF7708">
        <w:t xml:space="preserve"> gradients</w:t>
      </w:r>
      <w:r w:rsidR="00B60DF4">
        <w:t xml:space="preserve"> </w:t>
      </w:r>
      <w:r w:rsidR="008001E6">
        <w:t xml:space="preserve">from </w:t>
      </w:r>
      <w:r w:rsidR="00B134FF">
        <w:t>assessments</w:t>
      </w:r>
      <w:r w:rsidR="008001E6">
        <w:t xml:space="preserve"> </w:t>
      </w:r>
      <w:r w:rsidR="00224802">
        <w:t xml:space="preserve">where specific gradients </w:t>
      </w:r>
      <w:r w:rsidR="00C9181D">
        <w:t>can be measured</w:t>
      </w:r>
      <w:r w:rsidR="002112AE">
        <w:t xml:space="preserve">. </w:t>
      </w:r>
      <w:r w:rsidR="00A83D93">
        <w:t xml:space="preserve">In the 2025 Review, the criminal courts and prisons </w:t>
      </w:r>
      <w:r w:rsidR="0000400A">
        <w:t xml:space="preserve">components of justice </w:t>
      </w:r>
      <w:r w:rsidR="0039758D">
        <w:t xml:space="preserve">contributed to the general gradients. </w:t>
      </w:r>
    </w:p>
    <w:p w14:paraId="395164BE" w14:textId="68BBA505" w:rsidR="008063E1" w:rsidRDefault="007C5F9F" w:rsidP="00991F4E">
      <w:pPr>
        <w:pStyle w:val="Heading4"/>
      </w:pPr>
      <w:r>
        <w:t>Data used in the calculation of the general gradient</w:t>
      </w:r>
    </w:p>
    <w:p w14:paraId="0456A9E5" w14:textId="4E981815" w:rsidR="00D975A2" w:rsidRPr="00F73F7C" w:rsidRDefault="00EC75CA" w:rsidP="006C186E">
      <w:pPr>
        <w:pStyle w:val="CGC2025ParaNumbers"/>
      </w:pPr>
      <w:r w:rsidRPr="00F73F7C">
        <w:t>The c</w:t>
      </w:r>
      <w:r w:rsidR="000D6A9A" w:rsidRPr="00F73F7C">
        <w:t xml:space="preserve">hanges to the justice assessment method result in </w:t>
      </w:r>
      <w:r w:rsidR="00E406D7" w:rsidRPr="00F73F7C">
        <w:t xml:space="preserve">specific </w:t>
      </w:r>
      <w:r w:rsidR="00C63D69" w:rsidRPr="00F73F7C">
        <w:t xml:space="preserve">regional costs and service delivery scale costs no longer being </w:t>
      </w:r>
      <w:r w:rsidR="002272E8" w:rsidRPr="00F73F7C">
        <w:t xml:space="preserve">calculated within the </w:t>
      </w:r>
      <w:r w:rsidR="004006DB" w:rsidRPr="00F73F7C">
        <w:t xml:space="preserve">criminal </w:t>
      </w:r>
      <w:r w:rsidR="00E6758D" w:rsidRPr="00F73F7C">
        <w:t xml:space="preserve">courts or prisons </w:t>
      </w:r>
      <w:r w:rsidR="002272E8" w:rsidRPr="00F73F7C">
        <w:t>assessment</w:t>
      </w:r>
      <w:r w:rsidR="00484B7B" w:rsidRPr="00F73F7C">
        <w:t>s</w:t>
      </w:r>
      <w:r w:rsidR="002272E8" w:rsidRPr="00F73F7C">
        <w:t>.</w:t>
      </w:r>
      <w:r w:rsidR="00E406D7" w:rsidRPr="00F73F7C">
        <w:t xml:space="preserve"> Therefore, these </w:t>
      </w:r>
      <w:r w:rsidR="00484B7B" w:rsidRPr="00F73F7C">
        <w:t>components</w:t>
      </w:r>
      <w:r w:rsidR="00E406D7" w:rsidRPr="00F73F7C">
        <w:t xml:space="preserve"> </w:t>
      </w:r>
      <w:r w:rsidR="006E22FD" w:rsidRPr="00F73F7C">
        <w:t xml:space="preserve">will </w:t>
      </w:r>
      <w:r w:rsidR="00E406D7" w:rsidRPr="00F73F7C">
        <w:t xml:space="preserve">no longer contribute to the </w:t>
      </w:r>
      <w:r w:rsidR="008A4EEC" w:rsidRPr="00F73F7C">
        <w:t xml:space="preserve">general gradient calculation. </w:t>
      </w:r>
      <w:r w:rsidR="00D975A2" w:rsidRPr="00F73F7C">
        <w:t>This is consistent with the Commission’s decision in the 2025 Review to remove justice from the general gradients if regional costs or service delivery scale costs are no longer calculated in the justice assessments.</w:t>
      </w:r>
    </w:p>
    <w:p w14:paraId="59B01E1D" w14:textId="021BECC3" w:rsidR="00D92603" w:rsidRDefault="00FA06F5" w:rsidP="00D92603">
      <w:pPr>
        <w:pStyle w:val="CGC2025ParaNumbers"/>
      </w:pPr>
      <w:r>
        <w:t xml:space="preserve">The following assessments will continue to </w:t>
      </w:r>
      <w:r w:rsidR="0067361B">
        <w:t>be used in the general gradients</w:t>
      </w:r>
      <w:r w:rsidR="005B1D21">
        <w:t>:</w:t>
      </w:r>
    </w:p>
    <w:p w14:paraId="3B31BFAE" w14:textId="417F32EF" w:rsidR="0067361B" w:rsidRDefault="005B1D21" w:rsidP="0067361B">
      <w:pPr>
        <w:pStyle w:val="CGC2025Bullet1"/>
      </w:pPr>
      <w:r>
        <w:t>s</w:t>
      </w:r>
      <w:r w:rsidR="00FA2D9E">
        <w:t>chools</w:t>
      </w:r>
    </w:p>
    <w:p w14:paraId="14E92FD0" w14:textId="562C02B3" w:rsidR="00FA2D9E" w:rsidRDefault="005B1D21" w:rsidP="0067361B">
      <w:pPr>
        <w:pStyle w:val="CGC2025Bullet1"/>
      </w:pPr>
      <w:r>
        <w:t>a</w:t>
      </w:r>
      <w:r w:rsidR="00FA2D9E">
        <w:t>dmitted patients</w:t>
      </w:r>
    </w:p>
    <w:p w14:paraId="172708A0" w14:textId="001E84B6" w:rsidR="00FA2D9E" w:rsidRDefault="005B1D21" w:rsidP="00FA2D9E">
      <w:pPr>
        <w:pStyle w:val="CGC2025Bullet1"/>
      </w:pPr>
      <w:r>
        <w:t>e</w:t>
      </w:r>
      <w:r w:rsidR="00FA2D9E">
        <w:t>mergency departments</w:t>
      </w:r>
    </w:p>
    <w:p w14:paraId="002D1309" w14:textId="631BA72E" w:rsidR="00FA2D9E" w:rsidRDefault="005B1D21" w:rsidP="00FA2D9E">
      <w:pPr>
        <w:pStyle w:val="CGC2025Bullet1"/>
      </w:pPr>
      <w:r>
        <w:t>n</w:t>
      </w:r>
      <w:r w:rsidR="00FA2D9E">
        <w:t>on</w:t>
      </w:r>
      <w:r w:rsidR="00FA2D9E">
        <w:noBreakHyphen/>
        <w:t>admitted patients</w:t>
      </w:r>
    </w:p>
    <w:p w14:paraId="670FFF32" w14:textId="355A82B0" w:rsidR="00FA2D9E" w:rsidRDefault="005B1D21" w:rsidP="00FA2D9E">
      <w:pPr>
        <w:pStyle w:val="CGC2025Bullet1"/>
      </w:pPr>
      <w:r>
        <w:t>p</w:t>
      </w:r>
      <w:r w:rsidR="00FA2D9E">
        <w:t>ost</w:t>
      </w:r>
      <w:r w:rsidR="00FA2D9E">
        <w:noBreakHyphen/>
        <w:t>secondary education</w:t>
      </w:r>
    </w:p>
    <w:p w14:paraId="140BCC6C" w14:textId="3F0842C3" w:rsidR="007C5F9F" w:rsidRDefault="005B1D21" w:rsidP="00E14053">
      <w:pPr>
        <w:pStyle w:val="CGC2025Bullet1"/>
      </w:pPr>
      <w:r>
        <w:t>in</w:t>
      </w:r>
      <w:r w:rsidR="00FA2D9E">
        <w:t>vestment (</w:t>
      </w:r>
      <w:proofErr w:type="spellStart"/>
      <w:r w:rsidR="00FA2D9E">
        <w:t>Rawlinsons</w:t>
      </w:r>
      <w:proofErr w:type="spellEnd"/>
      <w:r w:rsidR="00FA2D9E">
        <w:t>)</w:t>
      </w:r>
      <w:r>
        <w:t>.</w:t>
      </w:r>
    </w:p>
    <w:p w14:paraId="7F8600AC" w14:textId="7BEF036F" w:rsidR="00761AB3" w:rsidRDefault="00D67A25" w:rsidP="00991F4E">
      <w:pPr>
        <w:pStyle w:val="Heading4"/>
      </w:pPr>
      <w:r>
        <w:t>General s</w:t>
      </w:r>
      <w:r w:rsidR="00C40B4D">
        <w:t xml:space="preserve">ervice delivery scale </w:t>
      </w:r>
      <w:r>
        <w:t xml:space="preserve">costs </w:t>
      </w:r>
      <w:r w:rsidR="00C40B4D">
        <w:t>gradient</w:t>
      </w:r>
    </w:p>
    <w:p w14:paraId="52D4CC4E" w14:textId="1D15B2A9" w:rsidR="00761AB3" w:rsidRPr="00FF1FEA" w:rsidRDefault="00F8319E" w:rsidP="00EE2DBF">
      <w:pPr>
        <w:pStyle w:val="CGC2025ParaNumbers"/>
      </w:pPr>
      <w:r w:rsidRPr="00FF1FEA">
        <w:t xml:space="preserve">In the prisons component of the justice assessment, there is a conceptual </w:t>
      </w:r>
      <w:r w:rsidR="00B1646B" w:rsidRPr="00FF1FEA">
        <w:t>case for service delivery scale costs</w:t>
      </w:r>
      <w:r w:rsidR="00F27744" w:rsidRPr="00FF1FEA">
        <w:t xml:space="preserve">. </w:t>
      </w:r>
      <w:r w:rsidR="0022689C" w:rsidRPr="00FF1FEA">
        <w:t xml:space="preserve">However, available data </w:t>
      </w:r>
      <w:r w:rsidR="00691B46" w:rsidRPr="00FF1FEA">
        <w:t xml:space="preserve">are not able to directly capture such costs. </w:t>
      </w:r>
      <w:r w:rsidR="00505E05" w:rsidRPr="00FF1FEA">
        <w:t xml:space="preserve">Therefore, the Commission will apply a </w:t>
      </w:r>
      <w:r w:rsidR="00094302">
        <w:t xml:space="preserve">general </w:t>
      </w:r>
      <w:r w:rsidR="00505E05" w:rsidRPr="00FF1FEA">
        <w:t xml:space="preserve">service delivery scale costs gradient to the prisons component. </w:t>
      </w:r>
    </w:p>
    <w:p w14:paraId="5471045F" w14:textId="2A5232A4" w:rsidR="009D330F" w:rsidRPr="00FF1FEA" w:rsidRDefault="0068490A" w:rsidP="00EE2DBF">
      <w:pPr>
        <w:pStyle w:val="CGC2025ParaNumbers"/>
      </w:pPr>
      <w:r w:rsidRPr="00FF1FEA">
        <w:t>The Commission will have 3 general gradients</w:t>
      </w:r>
      <w:r w:rsidR="00B664A4" w:rsidRPr="00FF1FEA">
        <w:t>:</w:t>
      </w:r>
    </w:p>
    <w:p w14:paraId="03707940" w14:textId="4166CCDB" w:rsidR="0068490A" w:rsidRDefault="00B664A4" w:rsidP="0068490A">
      <w:pPr>
        <w:pStyle w:val="CGC2025Bullet1"/>
      </w:pPr>
      <w:r>
        <w:t>r</w:t>
      </w:r>
      <w:r w:rsidR="003220E1">
        <w:t>egional costs gradient</w:t>
      </w:r>
    </w:p>
    <w:p w14:paraId="482D4688" w14:textId="7BA0EC8F" w:rsidR="003220E1" w:rsidRDefault="00B664A4" w:rsidP="0068490A">
      <w:pPr>
        <w:pStyle w:val="CGC2025Bullet1"/>
      </w:pPr>
      <w:r>
        <w:t>s</w:t>
      </w:r>
      <w:r w:rsidR="003220E1">
        <w:t>ervice delivery scale costs gradient</w:t>
      </w:r>
      <w:r w:rsidR="00444E62">
        <w:t xml:space="preserve"> (new)</w:t>
      </w:r>
    </w:p>
    <w:p w14:paraId="374453BC" w14:textId="3329CED1" w:rsidR="00741AE4" w:rsidRDefault="00B664A4" w:rsidP="0068490A">
      <w:pPr>
        <w:pStyle w:val="CGC2025Bullet1"/>
      </w:pPr>
      <w:r>
        <w:t>r</w:t>
      </w:r>
      <w:r w:rsidR="00021F76">
        <w:t>egional and service delivery scale (combined) gradient</w:t>
      </w:r>
      <w:r>
        <w:t>.</w:t>
      </w:r>
    </w:p>
    <w:p w14:paraId="4EECD36A" w14:textId="331310BA" w:rsidR="0077720A" w:rsidRDefault="006D3F32" w:rsidP="00021F76">
      <w:pPr>
        <w:pStyle w:val="CGC2025ParaNumbers"/>
      </w:pPr>
      <w:r>
        <w:t xml:space="preserve">The components that contribute </w:t>
      </w:r>
      <w:r w:rsidR="003F5470">
        <w:t xml:space="preserve">to the </w:t>
      </w:r>
      <w:r w:rsidR="00C50576">
        <w:t xml:space="preserve">service delivery scale </w:t>
      </w:r>
      <w:r w:rsidR="00670BDB">
        <w:t xml:space="preserve">costs </w:t>
      </w:r>
      <w:r w:rsidR="00C50576">
        <w:t>gradient are</w:t>
      </w:r>
      <w:r w:rsidR="0077720A">
        <w:t>:</w:t>
      </w:r>
    </w:p>
    <w:p w14:paraId="18418693" w14:textId="5835542C" w:rsidR="0077720A" w:rsidRDefault="00456D61" w:rsidP="00941E49">
      <w:pPr>
        <w:pStyle w:val="CGC2025Bullet1"/>
      </w:pPr>
      <w:r>
        <w:t>s</w:t>
      </w:r>
      <w:r w:rsidR="0077720A">
        <w:t>chools</w:t>
      </w:r>
    </w:p>
    <w:p w14:paraId="39624B05" w14:textId="75C0FD93" w:rsidR="000B6C90" w:rsidRDefault="00456D61" w:rsidP="00941E49">
      <w:pPr>
        <w:pStyle w:val="CGC2025Bullet1"/>
      </w:pPr>
      <w:r>
        <w:t>a</w:t>
      </w:r>
      <w:r w:rsidR="000B6C90">
        <w:t>dmitted patients</w:t>
      </w:r>
    </w:p>
    <w:p w14:paraId="1099BB48" w14:textId="22883629" w:rsidR="000B6C90" w:rsidRDefault="00456D61" w:rsidP="00941E49">
      <w:pPr>
        <w:pStyle w:val="CGC2025Bullet1"/>
      </w:pPr>
      <w:r>
        <w:t>e</w:t>
      </w:r>
      <w:r w:rsidR="00CF0562">
        <w:t>mergency</w:t>
      </w:r>
      <w:r w:rsidR="000B6C90">
        <w:t xml:space="preserve"> departments</w:t>
      </w:r>
    </w:p>
    <w:p w14:paraId="3E935E0A" w14:textId="33CB66E8" w:rsidR="00021F76" w:rsidRDefault="00456D61" w:rsidP="00CF0562">
      <w:pPr>
        <w:pStyle w:val="CGC2025Bullet1"/>
      </w:pPr>
      <w:r>
        <w:lastRenderedPageBreak/>
        <w:t>n</w:t>
      </w:r>
      <w:r w:rsidR="0028045C">
        <w:t>on</w:t>
      </w:r>
      <w:r w:rsidR="0028045C">
        <w:noBreakHyphen/>
        <w:t>admitted patients</w:t>
      </w:r>
      <w:r w:rsidR="00CF0562">
        <w:t>.</w:t>
      </w:r>
    </w:p>
    <w:p w14:paraId="171B271F" w14:textId="736B3E3E" w:rsidR="009F59E5" w:rsidRPr="005A7A28" w:rsidRDefault="009F59E5" w:rsidP="00991F4E">
      <w:pPr>
        <w:pStyle w:val="Heading4"/>
      </w:pPr>
      <w:r w:rsidRPr="007509C4">
        <w:t>GST impacts</w:t>
      </w:r>
      <w:r w:rsidRPr="005A7A28">
        <w:t xml:space="preserve"> </w:t>
      </w:r>
    </w:p>
    <w:p w14:paraId="74E30FEF" w14:textId="7333B6ED" w:rsidR="006D3C47" w:rsidRPr="006D3C47" w:rsidRDefault="006D3C47" w:rsidP="00FB1919">
      <w:pPr>
        <w:pStyle w:val="CGC2025ParaNumbers"/>
      </w:pPr>
      <w:r w:rsidRPr="008F3F08">
        <w:t>The impact on the GST distribution</w:t>
      </w:r>
      <w:r>
        <w:t xml:space="preserve"> related to geography as a result of</w:t>
      </w:r>
      <w:r w:rsidRPr="008F3F08">
        <w:t xml:space="preserve"> the method changes</w:t>
      </w:r>
      <w:r>
        <w:t xml:space="preserve"> in the justice assessment</w:t>
      </w:r>
      <w:r w:rsidRPr="008F3F08">
        <w:t xml:space="preserve"> is shown in Table </w:t>
      </w:r>
      <w:r w:rsidR="00776E6F" w:rsidRPr="008B7491">
        <w:t>B-1</w:t>
      </w:r>
      <w:r w:rsidRPr="008B7491">
        <w:t>.</w:t>
      </w:r>
    </w:p>
    <w:p w14:paraId="2C175932" w14:textId="3319B938" w:rsidR="00FD386A" w:rsidRPr="003E41A4" w:rsidRDefault="00FD386A" w:rsidP="00B54589">
      <w:pPr>
        <w:pStyle w:val="CGC2025Caption"/>
        <w:ind w:left="1134" w:hanging="1134"/>
        <w:rPr>
          <w:bCs/>
        </w:rPr>
      </w:pPr>
      <w:r w:rsidRPr="003E41A4">
        <w:rPr>
          <w:bCs/>
        </w:rPr>
        <w:t xml:space="preserve">Table </w:t>
      </w:r>
      <w:r w:rsidR="00776E6F" w:rsidRPr="003E41A4">
        <w:rPr>
          <w:bCs/>
        </w:rPr>
        <w:t>B-1</w:t>
      </w:r>
      <w:r w:rsidRPr="003E41A4">
        <w:rPr>
          <w:bCs/>
        </w:rPr>
        <w:tab/>
        <w:t xml:space="preserve">Impact on GST distribution </w:t>
      </w:r>
      <w:r w:rsidR="008E1617" w:rsidRPr="003E41A4">
        <w:rPr>
          <w:bCs/>
        </w:rPr>
        <w:t>from</w:t>
      </w:r>
      <w:r w:rsidR="006924B3" w:rsidRPr="003E41A4">
        <w:rPr>
          <w:bCs/>
        </w:rPr>
        <w:t xml:space="preserve"> </w:t>
      </w:r>
      <w:r w:rsidR="000C7349" w:rsidRPr="003E41A4">
        <w:rPr>
          <w:bCs/>
        </w:rPr>
        <w:t>removing justice from the general gradient</w:t>
      </w:r>
      <w:r w:rsidR="00B0240C" w:rsidRPr="003E41A4">
        <w:rPr>
          <w:bCs/>
        </w:rPr>
        <w:t xml:space="preserve">, </w:t>
      </w:r>
      <w:r w:rsidRPr="003E41A4">
        <w:rPr>
          <w:bCs/>
        </w:rPr>
        <w:t>2025–26 to 2026–27</w:t>
      </w:r>
    </w:p>
    <w:tbl>
      <w:tblPr>
        <w:tblW w:w="9000" w:type="dxa"/>
        <w:tblLook w:val="04A0" w:firstRow="1" w:lastRow="0" w:firstColumn="1" w:lastColumn="0" w:noHBand="0" w:noVBand="1"/>
      </w:tblPr>
      <w:tblGrid>
        <w:gridCol w:w="3040"/>
        <w:gridCol w:w="620"/>
        <w:gridCol w:w="620"/>
        <w:gridCol w:w="620"/>
        <w:gridCol w:w="620"/>
        <w:gridCol w:w="620"/>
        <w:gridCol w:w="620"/>
        <w:gridCol w:w="620"/>
        <w:gridCol w:w="620"/>
        <w:gridCol w:w="1000"/>
      </w:tblGrid>
      <w:tr w:rsidR="0055441F" w:rsidRPr="0055441F" w14:paraId="65B21C51" w14:textId="77777777" w:rsidTr="0055441F">
        <w:trPr>
          <w:trHeight w:val="379"/>
        </w:trPr>
        <w:tc>
          <w:tcPr>
            <w:tcW w:w="3040" w:type="dxa"/>
            <w:tcBorders>
              <w:top w:val="nil"/>
              <w:left w:val="nil"/>
              <w:bottom w:val="nil"/>
              <w:right w:val="nil"/>
            </w:tcBorders>
            <w:shd w:val="clear" w:color="000000" w:fill="006991"/>
            <w:vAlign w:val="center"/>
            <w:hideMark/>
          </w:tcPr>
          <w:p w14:paraId="4ECB25AE" w14:textId="77777777" w:rsidR="0055441F" w:rsidRPr="0055441F" w:rsidRDefault="0055441F" w:rsidP="0055441F">
            <w:pPr>
              <w:tabs>
                <w:tab w:val="clear" w:pos="567"/>
              </w:tabs>
              <w:spacing w:before="0" w:line="240" w:lineRule="auto"/>
              <w:rPr>
                <w:rFonts w:ascii="Open Sans Semibold" w:eastAsia="Times New Roman" w:hAnsi="Open Sans Semibold" w:cs="Open Sans Semibold"/>
                <w:color w:val="FFFFFF"/>
                <w:sz w:val="16"/>
                <w:szCs w:val="16"/>
                <w:lang w:eastAsia="en-AU"/>
              </w:rPr>
            </w:pPr>
            <w:r w:rsidRPr="0055441F">
              <w:rPr>
                <w:rFonts w:ascii="Open Sans Semibold" w:eastAsia="Times New Roman" w:hAnsi="Open Sans Semibold" w:cs="Open Sans Semibold"/>
                <w:color w:val="FFFFFF"/>
                <w:sz w:val="16"/>
                <w:szCs w:val="16"/>
                <w:lang w:eastAsia="en-AU"/>
              </w:rPr>
              <w:t> </w:t>
            </w:r>
          </w:p>
        </w:tc>
        <w:tc>
          <w:tcPr>
            <w:tcW w:w="620" w:type="dxa"/>
            <w:tcBorders>
              <w:top w:val="nil"/>
              <w:left w:val="nil"/>
              <w:bottom w:val="nil"/>
              <w:right w:val="nil"/>
            </w:tcBorders>
            <w:shd w:val="clear" w:color="000000" w:fill="006991"/>
            <w:vAlign w:val="center"/>
            <w:hideMark/>
          </w:tcPr>
          <w:p w14:paraId="627161B8" w14:textId="77777777" w:rsidR="0055441F" w:rsidRPr="0055441F" w:rsidRDefault="0055441F" w:rsidP="0055441F">
            <w:pPr>
              <w:tabs>
                <w:tab w:val="clear" w:pos="567"/>
              </w:tabs>
              <w:spacing w:before="0" w:line="240" w:lineRule="auto"/>
              <w:jc w:val="right"/>
              <w:rPr>
                <w:rFonts w:ascii="Open Sans Semibold" w:eastAsia="Times New Roman" w:hAnsi="Open Sans Semibold" w:cs="Open Sans Semibold"/>
                <w:color w:val="FFFFFF"/>
                <w:sz w:val="16"/>
                <w:szCs w:val="16"/>
                <w:lang w:eastAsia="en-AU"/>
              </w:rPr>
            </w:pPr>
            <w:r w:rsidRPr="0055441F">
              <w:rPr>
                <w:rFonts w:ascii="Open Sans Semibold" w:eastAsia="Times New Roman" w:hAnsi="Open Sans Semibold" w:cs="Open Sans Semibold"/>
                <w:color w:val="FFFFFF"/>
                <w:sz w:val="16"/>
                <w:szCs w:val="16"/>
                <w:lang w:eastAsia="en-AU"/>
              </w:rPr>
              <w:t>NSW</w:t>
            </w:r>
          </w:p>
        </w:tc>
        <w:tc>
          <w:tcPr>
            <w:tcW w:w="620" w:type="dxa"/>
            <w:tcBorders>
              <w:top w:val="nil"/>
              <w:left w:val="nil"/>
              <w:bottom w:val="nil"/>
              <w:right w:val="nil"/>
            </w:tcBorders>
            <w:shd w:val="clear" w:color="000000" w:fill="006991"/>
            <w:vAlign w:val="center"/>
            <w:hideMark/>
          </w:tcPr>
          <w:p w14:paraId="32BEC40F" w14:textId="77777777" w:rsidR="0055441F" w:rsidRPr="0055441F" w:rsidRDefault="0055441F" w:rsidP="0055441F">
            <w:pPr>
              <w:tabs>
                <w:tab w:val="clear" w:pos="567"/>
              </w:tabs>
              <w:spacing w:before="0" w:line="240" w:lineRule="auto"/>
              <w:jc w:val="right"/>
              <w:rPr>
                <w:rFonts w:ascii="Open Sans Semibold" w:eastAsia="Times New Roman" w:hAnsi="Open Sans Semibold" w:cs="Open Sans Semibold"/>
                <w:color w:val="FFFFFF"/>
                <w:sz w:val="16"/>
                <w:szCs w:val="16"/>
                <w:lang w:eastAsia="en-AU"/>
              </w:rPr>
            </w:pPr>
            <w:r w:rsidRPr="0055441F">
              <w:rPr>
                <w:rFonts w:ascii="Open Sans Semibold" w:eastAsia="Times New Roman" w:hAnsi="Open Sans Semibold" w:cs="Open Sans Semibold"/>
                <w:color w:val="FFFFFF"/>
                <w:sz w:val="16"/>
                <w:szCs w:val="16"/>
                <w:lang w:eastAsia="en-AU"/>
              </w:rPr>
              <w:t>Vic</w:t>
            </w:r>
          </w:p>
        </w:tc>
        <w:tc>
          <w:tcPr>
            <w:tcW w:w="620" w:type="dxa"/>
            <w:tcBorders>
              <w:top w:val="nil"/>
              <w:left w:val="nil"/>
              <w:bottom w:val="nil"/>
              <w:right w:val="nil"/>
            </w:tcBorders>
            <w:shd w:val="clear" w:color="000000" w:fill="006991"/>
            <w:vAlign w:val="center"/>
            <w:hideMark/>
          </w:tcPr>
          <w:p w14:paraId="5B7442B9" w14:textId="77777777" w:rsidR="0055441F" w:rsidRPr="0055441F" w:rsidRDefault="0055441F" w:rsidP="0055441F">
            <w:pPr>
              <w:tabs>
                <w:tab w:val="clear" w:pos="567"/>
              </w:tabs>
              <w:spacing w:before="0" w:line="240" w:lineRule="auto"/>
              <w:jc w:val="right"/>
              <w:rPr>
                <w:rFonts w:ascii="Open Sans Semibold" w:eastAsia="Times New Roman" w:hAnsi="Open Sans Semibold" w:cs="Open Sans Semibold"/>
                <w:color w:val="FFFFFF"/>
                <w:sz w:val="16"/>
                <w:szCs w:val="16"/>
                <w:lang w:eastAsia="en-AU"/>
              </w:rPr>
            </w:pPr>
            <w:r w:rsidRPr="0055441F">
              <w:rPr>
                <w:rFonts w:ascii="Open Sans Semibold" w:eastAsia="Times New Roman" w:hAnsi="Open Sans Semibold" w:cs="Open Sans Semibold"/>
                <w:color w:val="FFFFFF"/>
                <w:sz w:val="16"/>
                <w:szCs w:val="16"/>
                <w:lang w:eastAsia="en-AU"/>
              </w:rPr>
              <w:t>Qld</w:t>
            </w:r>
          </w:p>
        </w:tc>
        <w:tc>
          <w:tcPr>
            <w:tcW w:w="620" w:type="dxa"/>
            <w:tcBorders>
              <w:top w:val="nil"/>
              <w:left w:val="nil"/>
              <w:bottom w:val="nil"/>
              <w:right w:val="nil"/>
            </w:tcBorders>
            <w:shd w:val="clear" w:color="000000" w:fill="006991"/>
            <w:vAlign w:val="center"/>
            <w:hideMark/>
          </w:tcPr>
          <w:p w14:paraId="163093CB" w14:textId="77777777" w:rsidR="0055441F" w:rsidRPr="0055441F" w:rsidRDefault="0055441F" w:rsidP="0055441F">
            <w:pPr>
              <w:tabs>
                <w:tab w:val="clear" w:pos="567"/>
              </w:tabs>
              <w:spacing w:before="0" w:line="240" w:lineRule="auto"/>
              <w:jc w:val="right"/>
              <w:rPr>
                <w:rFonts w:ascii="Open Sans Semibold" w:eastAsia="Times New Roman" w:hAnsi="Open Sans Semibold" w:cs="Open Sans Semibold"/>
                <w:color w:val="FFFFFF"/>
                <w:sz w:val="16"/>
                <w:szCs w:val="16"/>
                <w:lang w:eastAsia="en-AU"/>
              </w:rPr>
            </w:pPr>
            <w:r w:rsidRPr="0055441F">
              <w:rPr>
                <w:rFonts w:ascii="Open Sans Semibold" w:eastAsia="Times New Roman" w:hAnsi="Open Sans Semibold" w:cs="Open Sans Semibold"/>
                <w:color w:val="FFFFFF"/>
                <w:sz w:val="16"/>
                <w:szCs w:val="16"/>
                <w:lang w:eastAsia="en-AU"/>
              </w:rPr>
              <w:t>WA</w:t>
            </w:r>
          </w:p>
        </w:tc>
        <w:tc>
          <w:tcPr>
            <w:tcW w:w="620" w:type="dxa"/>
            <w:tcBorders>
              <w:top w:val="nil"/>
              <w:left w:val="nil"/>
              <w:bottom w:val="nil"/>
              <w:right w:val="nil"/>
            </w:tcBorders>
            <w:shd w:val="clear" w:color="000000" w:fill="006991"/>
            <w:vAlign w:val="center"/>
            <w:hideMark/>
          </w:tcPr>
          <w:p w14:paraId="60A28B64" w14:textId="77777777" w:rsidR="0055441F" w:rsidRPr="0055441F" w:rsidRDefault="0055441F" w:rsidP="0055441F">
            <w:pPr>
              <w:tabs>
                <w:tab w:val="clear" w:pos="567"/>
              </w:tabs>
              <w:spacing w:before="0" w:line="240" w:lineRule="auto"/>
              <w:jc w:val="right"/>
              <w:rPr>
                <w:rFonts w:ascii="Open Sans Semibold" w:eastAsia="Times New Roman" w:hAnsi="Open Sans Semibold" w:cs="Open Sans Semibold"/>
                <w:color w:val="FFFFFF"/>
                <w:sz w:val="16"/>
                <w:szCs w:val="16"/>
                <w:lang w:eastAsia="en-AU"/>
              </w:rPr>
            </w:pPr>
            <w:r w:rsidRPr="0055441F">
              <w:rPr>
                <w:rFonts w:ascii="Open Sans Semibold" w:eastAsia="Times New Roman" w:hAnsi="Open Sans Semibold" w:cs="Open Sans Semibold"/>
                <w:color w:val="FFFFFF"/>
                <w:sz w:val="16"/>
                <w:szCs w:val="16"/>
                <w:lang w:eastAsia="en-AU"/>
              </w:rPr>
              <w:t>SA</w:t>
            </w:r>
          </w:p>
        </w:tc>
        <w:tc>
          <w:tcPr>
            <w:tcW w:w="620" w:type="dxa"/>
            <w:tcBorders>
              <w:top w:val="nil"/>
              <w:left w:val="nil"/>
              <w:bottom w:val="nil"/>
              <w:right w:val="nil"/>
            </w:tcBorders>
            <w:shd w:val="clear" w:color="000000" w:fill="006991"/>
            <w:vAlign w:val="center"/>
            <w:hideMark/>
          </w:tcPr>
          <w:p w14:paraId="56CA6174" w14:textId="77777777" w:rsidR="0055441F" w:rsidRPr="0055441F" w:rsidRDefault="0055441F" w:rsidP="0055441F">
            <w:pPr>
              <w:tabs>
                <w:tab w:val="clear" w:pos="567"/>
              </w:tabs>
              <w:spacing w:before="0" w:line="240" w:lineRule="auto"/>
              <w:jc w:val="right"/>
              <w:rPr>
                <w:rFonts w:ascii="Open Sans Semibold" w:eastAsia="Times New Roman" w:hAnsi="Open Sans Semibold" w:cs="Open Sans Semibold"/>
                <w:color w:val="FFFFFF"/>
                <w:sz w:val="16"/>
                <w:szCs w:val="16"/>
                <w:lang w:eastAsia="en-AU"/>
              </w:rPr>
            </w:pPr>
            <w:r w:rsidRPr="0055441F">
              <w:rPr>
                <w:rFonts w:ascii="Open Sans Semibold" w:eastAsia="Times New Roman" w:hAnsi="Open Sans Semibold" w:cs="Open Sans Semibold"/>
                <w:color w:val="FFFFFF"/>
                <w:sz w:val="16"/>
                <w:szCs w:val="16"/>
                <w:lang w:eastAsia="en-AU"/>
              </w:rPr>
              <w:t>Tas</w:t>
            </w:r>
          </w:p>
        </w:tc>
        <w:tc>
          <w:tcPr>
            <w:tcW w:w="620" w:type="dxa"/>
            <w:tcBorders>
              <w:top w:val="nil"/>
              <w:left w:val="nil"/>
              <w:bottom w:val="nil"/>
              <w:right w:val="nil"/>
            </w:tcBorders>
            <w:shd w:val="clear" w:color="000000" w:fill="006991"/>
            <w:vAlign w:val="center"/>
            <w:hideMark/>
          </w:tcPr>
          <w:p w14:paraId="2D098F16" w14:textId="77777777" w:rsidR="0055441F" w:rsidRPr="0055441F" w:rsidRDefault="0055441F" w:rsidP="0055441F">
            <w:pPr>
              <w:tabs>
                <w:tab w:val="clear" w:pos="567"/>
              </w:tabs>
              <w:spacing w:before="0" w:line="240" w:lineRule="auto"/>
              <w:jc w:val="right"/>
              <w:rPr>
                <w:rFonts w:ascii="Open Sans Semibold" w:eastAsia="Times New Roman" w:hAnsi="Open Sans Semibold" w:cs="Open Sans Semibold"/>
                <w:color w:val="FFFFFF"/>
                <w:sz w:val="16"/>
                <w:szCs w:val="16"/>
                <w:lang w:eastAsia="en-AU"/>
              </w:rPr>
            </w:pPr>
            <w:r w:rsidRPr="0055441F">
              <w:rPr>
                <w:rFonts w:ascii="Open Sans Semibold" w:eastAsia="Times New Roman" w:hAnsi="Open Sans Semibold" w:cs="Open Sans Semibold"/>
                <w:color w:val="FFFFFF"/>
                <w:sz w:val="16"/>
                <w:szCs w:val="16"/>
                <w:lang w:eastAsia="en-AU"/>
              </w:rPr>
              <w:t>ACT</w:t>
            </w:r>
          </w:p>
        </w:tc>
        <w:tc>
          <w:tcPr>
            <w:tcW w:w="620" w:type="dxa"/>
            <w:tcBorders>
              <w:top w:val="nil"/>
              <w:left w:val="nil"/>
              <w:bottom w:val="nil"/>
              <w:right w:val="nil"/>
            </w:tcBorders>
            <w:shd w:val="clear" w:color="000000" w:fill="006991"/>
            <w:vAlign w:val="center"/>
            <w:hideMark/>
          </w:tcPr>
          <w:p w14:paraId="62C300B4" w14:textId="77777777" w:rsidR="0055441F" w:rsidRPr="0055441F" w:rsidRDefault="0055441F" w:rsidP="0055441F">
            <w:pPr>
              <w:tabs>
                <w:tab w:val="clear" w:pos="567"/>
              </w:tabs>
              <w:spacing w:before="0" w:line="240" w:lineRule="auto"/>
              <w:jc w:val="right"/>
              <w:rPr>
                <w:rFonts w:ascii="Open Sans Semibold" w:eastAsia="Times New Roman" w:hAnsi="Open Sans Semibold" w:cs="Open Sans Semibold"/>
                <w:color w:val="FFFFFF"/>
                <w:sz w:val="16"/>
                <w:szCs w:val="16"/>
                <w:lang w:eastAsia="en-AU"/>
              </w:rPr>
            </w:pPr>
            <w:r w:rsidRPr="0055441F">
              <w:rPr>
                <w:rFonts w:ascii="Open Sans Semibold" w:eastAsia="Times New Roman" w:hAnsi="Open Sans Semibold" w:cs="Open Sans Semibold"/>
                <w:color w:val="FFFFFF"/>
                <w:sz w:val="16"/>
                <w:szCs w:val="16"/>
                <w:lang w:eastAsia="en-AU"/>
              </w:rPr>
              <w:t>NT</w:t>
            </w:r>
          </w:p>
        </w:tc>
        <w:tc>
          <w:tcPr>
            <w:tcW w:w="1000" w:type="dxa"/>
            <w:tcBorders>
              <w:top w:val="nil"/>
              <w:left w:val="nil"/>
              <w:bottom w:val="nil"/>
              <w:right w:val="nil"/>
            </w:tcBorders>
            <w:shd w:val="clear" w:color="000000" w:fill="006991"/>
            <w:vAlign w:val="center"/>
            <w:hideMark/>
          </w:tcPr>
          <w:p w14:paraId="6DFEDEB1" w14:textId="788EA05D" w:rsidR="0055441F" w:rsidRPr="0055441F" w:rsidRDefault="0055441F" w:rsidP="0055441F">
            <w:pPr>
              <w:tabs>
                <w:tab w:val="clear" w:pos="567"/>
              </w:tabs>
              <w:spacing w:before="0" w:line="240" w:lineRule="auto"/>
              <w:jc w:val="right"/>
              <w:rPr>
                <w:rFonts w:ascii="Open Sans Semibold" w:eastAsia="Times New Roman" w:hAnsi="Open Sans Semibold" w:cs="Open Sans Semibold"/>
                <w:color w:val="FFFFFF"/>
                <w:sz w:val="16"/>
                <w:szCs w:val="16"/>
                <w:lang w:eastAsia="en-AU"/>
              </w:rPr>
            </w:pPr>
            <w:r w:rsidRPr="0055441F">
              <w:rPr>
                <w:rFonts w:ascii="Open Sans Semibold" w:eastAsia="Times New Roman" w:hAnsi="Open Sans Semibold" w:cs="Open Sans Semibold"/>
                <w:color w:val="FFFFFF"/>
                <w:sz w:val="16"/>
                <w:szCs w:val="16"/>
                <w:lang w:eastAsia="en-AU"/>
              </w:rPr>
              <w:t xml:space="preserve">Total </w:t>
            </w:r>
            <w:r w:rsidR="00C54491">
              <w:rPr>
                <w:rFonts w:ascii="Open Sans Semibold" w:eastAsia="Times New Roman" w:hAnsi="Open Sans Semibold" w:cs="Open Sans Semibold"/>
                <w:color w:val="FFFFFF"/>
                <w:sz w:val="16"/>
                <w:szCs w:val="16"/>
                <w:lang w:eastAsia="en-AU"/>
              </w:rPr>
              <w:t>e</w:t>
            </w:r>
            <w:r w:rsidRPr="0055441F">
              <w:rPr>
                <w:rFonts w:ascii="Open Sans Semibold" w:eastAsia="Times New Roman" w:hAnsi="Open Sans Semibold" w:cs="Open Sans Semibold"/>
                <w:color w:val="FFFFFF"/>
                <w:sz w:val="16"/>
                <w:szCs w:val="16"/>
                <w:lang w:eastAsia="en-AU"/>
              </w:rPr>
              <w:t>ffect</w:t>
            </w:r>
          </w:p>
        </w:tc>
      </w:tr>
      <w:tr w:rsidR="00304264" w:rsidRPr="0055441F" w14:paraId="435E9166" w14:textId="77777777">
        <w:trPr>
          <w:trHeight w:val="327"/>
        </w:trPr>
        <w:tc>
          <w:tcPr>
            <w:tcW w:w="3040" w:type="dxa"/>
            <w:tcBorders>
              <w:top w:val="single" w:sz="4" w:space="0" w:color="ADD6EA"/>
              <w:left w:val="nil"/>
              <w:bottom w:val="nil"/>
              <w:right w:val="nil"/>
            </w:tcBorders>
            <w:shd w:val="clear" w:color="000000" w:fill="FFFFFF"/>
            <w:vAlign w:val="bottom"/>
            <w:hideMark/>
          </w:tcPr>
          <w:p w14:paraId="05326550" w14:textId="471335C2" w:rsidR="00304264" w:rsidRPr="0055441F" w:rsidRDefault="00304264" w:rsidP="00304264">
            <w:pPr>
              <w:spacing w:line="240" w:lineRule="auto"/>
              <w:rPr>
                <w:rFonts w:eastAsia="Times New Roman" w:cs="Open Sans Light"/>
                <w:color w:val="000000"/>
                <w:sz w:val="16"/>
                <w:szCs w:val="16"/>
                <w:lang w:eastAsia="en-AU"/>
              </w:rPr>
            </w:pPr>
            <w:r w:rsidRPr="00304264">
              <w:rPr>
                <w:rFonts w:eastAsia="Times New Roman" w:cs="Open Sans Light"/>
                <w:color w:val="000000"/>
                <w:sz w:val="16"/>
                <w:szCs w:val="16"/>
                <w:lang w:eastAsia="en-AU"/>
              </w:rPr>
              <w:t>$m</w:t>
            </w:r>
          </w:p>
        </w:tc>
        <w:tc>
          <w:tcPr>
            <w:tcW w:w="620" w:type="dxa"/>
            <w:tcBorders>
              <w:top w:val="single" w:sz="4" w:space="0" w:color="ADD6EA"/>
              <w:left w:val="nil"/>
              <w:bottom w:val="nil"/>
              <w:right w:val="nil"/>
            </w:tcBorders>
            <w:shd w:val="clear" w:color="000000" w:fill="FFFFFF"/>
            <w:vAlign w:val="bottom"/>
            <w:hideMark/>
          </w:tcPr>
          <w:p w14:paraId="79656342" w14:textId="3C5D0DE5" w:rsidR="00304264" w:rsidRPr="001A5511" w:rsidRDefault="00304264" w:rsidP="00304264">
            <w:pPr>
              <w:spacing w:line="240" w:lineRule="auto"/>
              <w:jc w:val="right"/>
              <w:rPr>
                <w:rFonts w:eastAsia="Times New Roman" w:cs="Open Sans Light"/>
                <w:color w:val="000000"/>
                <w:sz w:val="16"/>
                <w:szCs w:val="16"/>
                <w:lang w:eastAsia="en-AU"/>
              </w:rPr>
            </w:pPr>
            <w:r w:rsidRPr="00304264">
              <w:rPr>
                <w:rFonts w:eastAsia="Times New Roman" w:cs="Open Sans Light"/>
                <w:color w:val="000000"/>
                <w:sz w:val="16"/>
                <w:szCs w:val="16"/>
                <w:lang w:eastAsia="en-AU"/>
              </w:rPr>
              <w:t>-8</w:t>
            </w:r>
          </w:p>
        </w:tc>
        <w:tc>
          <w:tcPr>
            <w:tcW w:w="620" w:type="dxa"/>
            <w:tcBorders>
              <w:top w:val="single" w:sz="4" w:space="0" w:color="ADD6EA"/>
              <w:left w:val="nil"/>
              <w:bottom w:val="nil"/>
              <w:right w:val="nil"/>
            </w:tcBorders>
            <w:shd w:val="clear" w:color="000000" w:fill="FFFFFF"/>
            <w:vAlign w:val="bottom"/>
            <w:hideMark/>
          </w:tcPr>
          <w:p w14:paraId="419DD9D5" w14:textId="479C68AC" w:rsidR="00304264" w:rsidRPr="001A5511" w:rsidRDefault="00304264" w:rsidP="00304264">
            <w:pPr>
              <w:spacing w:line="240" w:lineRule="auto"/>
              <w:jc w:val="right"/>
              <w:rPr>
                <w:rFonts w:eastAsia="Times New Roman" w:cs="Open Sans Light"/>
                <w:color w:val="000000"/>
                <w:sz w:val="16"/>
                <w:szCs w:val="16"/>
                <w:lang w:eastAsia="en-AU"/>
              </w:rPr>
            </w:pPr>
            <w:r w:rsidRPr="00304264">
              <w:rPr>
                <w:rFonts w:eastAsia="Times New Roman" w:cs="Open Sans Light"/>
                <w:color w:val="000000"/>
                <w:sz w:val="16"/>
                <w:szCs w:val="16"/>
                <w:lang w:eastAsia="en-AU"/>
              </w:rPr>
              <w:t>-6</w:t>
            </w:r>
          </w:p>
        </w:tc>
        <w:tc>
          <w:tcPr>
            <w:tcW w:w="620" w:type="dxa"/>
            <w:tcBorders>
              <w:top w:val="single" w:sz="4" w:space="0" w:color="ADD6EA"/>
              <w:left w:val="nil"/>
              <w:bottom w:val="nil"/>
              <w:right w:val="nil"/>
            </w:tcBorders>
            <w:shd w:val="clear" w:color="000000" w:fill="FFFFFF"/>
            <w:vAlign w:val="bottom"/>
            <w:hideMark/>
          </w:tcPr>
          <w:p w14:paraId="5FBA87C9" w14:textId="7D2C78B1" w:rsidR="00304264" w:rsidRPr="001A5511" w:rsidRDefault="00304264" w:rsidP="00304264">
            <w:pPr>
              <w:spacing w:line="240" w:lineRule="auto"/>
              <w:jc w:val="right"/>
              <w:rPr>
                <w:rFonts w:eastAsia="Times New Roman" w:cs="Open Sans Light"/>
                <w:color w:val="000000"/>
                <w:sz w:val="16"/>
                <w:szCs w:val="16"/>
                <w:lang w:eastAsia="en-AU"/>
              </w:rPr>
            </w:pPr>
            <w:r w:rsidRPr="00304264">
              <w:rPr>
                <w:rFonts w:eastAsia="Times New Roman" w:cs="Open Sans Light"/>
                <w:color w:val="000000"/>
                <w:sz w:val="16"/>
                <w:szCs w:val="16"/>
                <w:lang w:eastAsia="en-AU"/>
              </w:rPr>
              <w:t>2</w:t>
            </w:r>
          </w:p>
        </w:tc>
        <w:tc>
          <w:tcPr>
            <w:tcW w:w="620" w:type="dxa"/>
            <w:tcBorders>
              <w:top w:val="single" w:sz="4" w:space="0" w:color="ADD6EA"/>
              <w:left w:val="nil"/>
              <w:bottom w:val="nil"/>
              <w:right w:val="nil"/>
            </w:tcBorders>
            <w:shd w:val="clear" w:color="000000" w:fill="FFFFFF"/>
            <w:vAlign w:val="bottom"/>
            <w:hideMark/>
          </w:tcPr>
          <w:p w14:paraId="11F807D5" w14:textId="7CD9160D" w:rsidR="00304264" w:rsidRPr="001A5511" w:rsidRDefault="00304264" w:rsidP="00304264">
            <w:pPr>
              <w:spacing w:line="240" w:lineRule="auto"/>
              <w:jc w:val="right"/>
              <w:rPr>
                <w:rFonts w:eastAsia="Times New Roman" w:cs="Open Sans Light"/>
                <w:color w:val="000000"/>
                <w:sz w:val="16"/>
                <w:szCs w:val="16"/>
                <w:lang w:eastAsia="en-AU"/>
              </w:rPr>
            </w:pPr>
            <w:r w:rsidRPr="00304264">
              <w:rPr>
                <w:rFonts w:eastAsia="Times New Roman" w:cs="Open Sans Light"/>
                <w:color w:val="000000"/>
                <w:sz w:val="16"/>
                <w:szCs w:val="16"/>
                <w:lang w:eastAsia="en-AU"/>
              </w:rPr>
              <w:t>3</w:t>
            </w:r>
          </w:p>
        </w:tc>
        <w:tc>
          <w:tcPr>
            <w:tcW w:w="620" w:type="dxa"/>
            <w:tcBorders>
              <w:top w:val="single" w:sz="4" w:space="0" w:color="ADD6EA"/>
              <w:left w:val="nil"/>
              <w:bottom w:val="nil"/>
              <w:right w:val="nil"/>
            </w:tcBorders>
            <w:shd w:val="clear" w:color="000000" w:fill="FFFFFF"/>
            <w:vAlign w:val="bottom"/>
            <w:hideMark/>
          </w:tcPr>
          <w:p w14:paraId="735139BD" w14:textId="5AA84389" w:rsidR="00304264" w:rsidRPr="001A5511" w:rsidRDefault="00304264" w:rsidP="00304264">
            <w:pPr>
              <w:spacing w:line="240" w:lineRule="auto"/>
              <w:jc w:val="right"/>
              <w:rPr>
                <w:rFonts w:eastAsia="Times New Roman" w:cs="Open Sans Light"/>
                <w:color w:val="000000"/>
                <w:sz w:val="16"/>
                <w:szCs w:val="16"/>
                <w:lang w:eastAsia="en-AU"/>
              </w:rPr>
            </w:pPr>
            <w:r w:rsidRPr="00304264">
              <w:rPr>
                <w:rFonts w:eastAsia="Times New Roman" w:cs="Open Sans Light"/>
                <w:color w:val="000000"/>
                <w:sz w:val="16"/>
                <w:szCs w:val="16"/>
                <w:lang w:eastAsia="en-AU"/>
              </w:rPr>
              <w:t>0</w:t>
            </w:r>
          </w:p>
        </w:tc>
        <w:tc>
          <w:tcPr>
            <w:tcW w:w="620" w:type="dxa"/>
            <w:tcBorders>
              <w:top w:val="single" w:sz="4" w:space="0" w:color="ADD6EA"/>
              <w:left w:val="nil"/>
              <w:bottom w:val="nil"/>
              <w:right w:val="nil"/>
            </w:tcBorders>
            <w:shd w:val="clear" w:color="000000" w:fill="FFFFFF"/>
            <w:vAlign w:val="bottom"/>
            <w:hideMark/>
          </w:tcPr>
          <w:p w14:paraId="0E20ECD1" w14:textId="4EF62D94" w:rsidR="00304264" w:rsidRPr="001A5511" w:rsidRDefault="00304264" w:rsidP="00304264">
            <w:pPr>
              <w:spacing w:line="240" w:lineRule="auto"/>
              <w:jc w:val="right"/>
              <w:rPr>
                <w:rFonts w:eastAsia="Times New Roman" w:cs="Open Sans Light"/>
                <w:color w:val="000000"/>
                <w:sz w:val="16"/>
                <w:szCs w:val="16"/>
                <w:lang w:eastAsia="en-AU"/>
              </w:rPr>
            </w:pPr>
            <w:r w:rsidRPr="00304264">
              <w:rPr>
                <w:rFonts w:eastAsia="Times New Roman" w:cs="Open Sans Light"/>
                <w:color w:val="000000"/>
                <w:sz w:val="16"/>
                <w:szCs w:val="16"/>
                <w:lang w:eastAsia="en-AU"/>
              </w:rPr>
              <w:t>1</w:t>
            </w:r>
          </w:p>
        </w:tc>
        <w:tc>
          <w:tcPr>
            <w:tcW w:w="620" w:type="dxa"/>
            <w:tcBorders>
              <w:top w:val="single" w:sz="4" w:space="0" w:color="ADD6EA"/>
              <w:left w:val="nil"/>
              <w:bottom w:val="nil"/>
              <w:right w:val="nil"/>
            </w:tcBorders>
            <w:shd w:val="clear" w:color="000000" w:fill="FFFFFF"/>
            <w:vAlign w:val="bottom"/>
            <w:hideMark/>
          </w:tcPr>
          <w:p w14:paraId="2029C9CC" w14:textId="7989E193" w:rsidR="00304264" w:rsidRPr="001A5511" w:rsidRDefault="00304264" w:rsidP="00304264">
            <w:pPr>
              <w:spacing w:line="240" w:lineRule="auto"/>
              <w:jc w:val="right"/>
              <w:rPr>
                <w:rFonts w:eastAsia="Times New Roman" w:cs="Open Sans Light"/>
                <w:color w:val="000000"/>
                <w:sz w:val="16"/>
                <w:szCs w:val="16"/>
                <w:lang w:eastAsia="en-AU"/>
              </w:rPr>
            </w:pPr>
            <w:r w:rsidRPr="00304264">
              <w:rPr>
                <w:rFonts w:eastAsia="Times New Roman" w:cs="Open Sans Light"/>
                <w:color w:val="000000"/>
                <w:sz w:val="16"/>
                <w:szCs w:val="16"/>
                <w:lang w:eastAsia="en-AU"/>
              </w:rPr>
              <w:t>-1</w:t>
            </w:r>
          </w:p>
        </w:tc>
        <w:tc>
          <w:tcPr>
            <w:tcW w:w="620" w:type="dxa"/>
            <w:tcBorders>
              <w:top w:val="single" w:sz="4" w:space="0" w:color="ADD6EA"/>
              <w:left w:val="nil"/>
              <w:bottom w:val="nil"/>
              <w:right w:val="nil"/>
            </w:tcBorders>
            <w:shd w:val="clear" w:color="000000" w:fill="FFFFFF"/>
            <w:vAlign w:val="bottom"/>
            <w:hideMark/>
          </w:tcPr>
          <w:p w14:paraId="7E2F4F9A" w14:textId="40DBE4EA" w:rsidR="00304264" w:rsidRPr="001A5511" w:rsidRDefault="00304264" w:rsidP="00304264">
            <w:pPr>
              <w:spacing w:line="240" w:lineRule="auto"/>
              <w:jc w:val="right"/>
              <w:rPr>
                <w:rFonts w:eastAsia="Times New Roman" w:cs="Open Sans Light"/>
                <w:color w:val="000000"/>
                <w:sz w:val="16"/>
                <w:szCs w:val="16"/>
                <w:lang w:eastAsia="en-AU"/>
              </w:rPr>
            </w:pPr>
            <w:r w:rsidRPr="00304264">
              <w:rPr>
                <w:rFonts w:eastAsia="Times New Roman" w:cs="Open Sans Light"/>
                <w:color w:val="000000"/>
                <w:sz w:val="16"/>
                <w:szCs w:val="16"/>
                <w:lang w:eastAsia="en-AU"/>
              </w:rPr>
              <w:t>8</w:t>
            </w:r>
          </w:p>
        </w:tc>
        <w:tc>
          <w:tcPr>
            <w:tcW w:w="1000" w:type="dxa"/>
            <w:tcBorders>
              <w:top w:val="single" w:sz="4" w:space="0" w:color="ADD6EA"/>
              <w:left w:val="nil"/>
              <w:bottom w:val="nil"/>
              <w:right w:val="nil"/>
            </w:tcBorders>
            <w:shd w:val="clear" w:color="000000" w:fill="FFFFFF"/>
            <w:vAlign w:val="bottom"/>
            <w:hideMark/>
          </w:tcPr>
          <w:p w14:paraId="780DC57F" w14:textId="7A2B66E7" w:rsidR="00304264" w:rsidRPr="001A5511" w:rsidRDefault="00304264" w:rsidP="00304264">
            <w:pPr>
              <w:spacing w:line="240" w:lineRule="auto"/>
              <w:jc w:val="right"/>
              <w:rPr>
                <w:rFonts w:eastAsia="Times New Roman" w:cs="Open Sans Light"/>
                <w:color w:val="000000"/>
                <w:sz w:val="16"/>
                <w:szCs w:val="16"/>
                <w:lang w:eastAsia="en-AU"/>
              </w:rPr>
            </w:pPr>
            <w:r w:rsidRPr="00304264">
              <w:rPr>
                <w:rFonts w:eastAsia="Times New Roman" w:cs="Open Sans Light"/>
                <w:color w:val="000000"/>
                <w:sz w:val="16"/>
                <w:szCs w:val="16"/>
                <w:lang w:eastAsia="en-AU"/>
              </w:rPr>
              <w:t>14</w:t>
            </w:r>
          </w:p>
        </w:tc>
      </w:tr>
      <w:tr w:rsidR="00304264" w:rsidRPr="0055441F" w14:paraId="37A5C401" w14:textId="77777777">
        <w:trPr>
          <w:trHeight w:val="255"/>
        </w:trPr>
        <w:tc>
          <w:tcPr>
            <w:tcW w:w="3040" w:type="dxa"/>
            <w:tcBorders>
              <w:top w:val="single" w:sz="4" w:space="0" w:color="ADD6EA"/>
              <w:left w:val="nil"/>
              <w:bottom w:val="single" w:sz="4" w:space="0" w:color="ADD6EA"/>
              <w:right w:val="nil"/>
            </w:tcBorders>
            <w:shd w:val="clear" w:color="000000" w:fill="FFFFFF"/>
            <w:vAlign w:val="bottom"/>
            <w:hideMark/>
          </w:tcPr>
          <w:p w14:paraId="3BC9150A" w14:textId="1D7ACFB4" w:rsidR="00304264" w:rsidRPr="0055441F" w:rsidRDefault="00304264" w:rsidP="00304264">
            <w:pPr>
              <w:spacing w:line="240" w:lineRule="auto"/>
              <w:rPr>
                <w:rFonts w:eastAsia="Times New Roman" w:cs="Open Sans Light"/>
                <w:color w:val="000000"/>
                <w:sz w:val="16"/>
                <w:szCs w:val="16"/>
                <w:lang w:eastAsia="en-AU"/>
              </w:rPr>
            </w:pPr>
            <w:r w:rsidRPr="00304264">
              <w:rPr>
                <w:rFonts w:eastAsia="Times New Roman" w:cs="Open Sans Light"/>
                <w:color w:val="000000"/>
                <w:sz w:val="16"/>
                <w:szCs w:val="16"/>
                <w:lang w:eastAsia="en-AU"/>
              </w:rPr>
              <w:t>$pc</w:t>
            </w:r>
          </w:p>
        </w:tc>
        <w:tc>
          <w:tcPr>
            <w:tcW w:w="620" w:type="dxa"/>
            <w:tcBorders>
              <w:top w:val="single" w:sz="4" w:space="0" w:color="ADD6EA"/>
              <w:left w:val="nil"/>
              <w:bottom w:val="single" w:sz="4" w:space="0" w:color="ADD6EA"/>
              <w:right w:val="nil"/>
            </w:tcBorders>
            <w:shd w:val="clear" w:color="000000" w:fill="FFFFFF"/>
            <w:vAlign w:val="bottom"/>
            <w:hideMark/>
          </w:tcPr>
          <w:p w14:paraId="2C38F527" w14:textId="1F1F8526" w:rsidR="00304264" w:rsidRPr="001A5511" w:rsidRDefault="00304264" w:rsidP="00304264">
            <w:pPr>
              <w:spacing w:line="240" w:lineRule="auto"/>
              <w:jc w:val="right"/>
              <w:rPr>
                <w:rFonts w:eastAsia="Times New Roman" w:cs="Open Sans Light"/>
                <w:color w:val="000000"/>
                <w:sz w:val="16"/>
                <w:szCs w:val="16"/>
                <w:lang w:eastAsia="en-AU"/>
              </w:rPr>
            </w:pPr>
            <w:r w:rsidRPr="00304264">
              <w:rPr>
                <w:rFonts w:eastAsia="Times New Roman" w:cs="Open Sans Light"/>
                <w:color w:val="000000"/>
                <w:sz w:val="16"/>
                <w:szCs w:val="16"/>
                <w:lang w:eastAsia="en-AU"/>
              </w:rPr>
              <w:t>-1</w:t>
            </w:r>
          </w:p>
        </w:tc>
        <w:tc>
          <w:tcPr>
            <w:tcW w:w="620" w:type="dxa"/>
            <w:tcBorders>
              <w:top w:val="single" w:sz="4" w:space="0" w:color="ADD6EA"/>
              <w:left w:val="nil"/>
              <w:bottom w:val="single" w:sz="4" w:space="0" w:color="ADD6EA"/>
              <w:right w:val="nil"/>
            </w:tcBorders>
            <w:shd w:val="clear" w:color="000000" w:fill="FFFFFF"/>
            <w:vAlign w:val="bottom"/>
            <w:hideMark/>
          </w:tcPr>
          <w:p w14:paraId="2021AED0" w14:textId="1D07EA92" w:rsidR="00304264" w:rsidRPr="001A5511" w:rsidRDefault="00304264" w:rsidP="00304264">
            <w:pPr>
              <w:spacing w:line="240" w:lineRule="auto"/>
              <w:jc w:val="right"/>
              <w:rPr>
                <w:rFonts w:eastAsia="Times New Roman" w:cs="Open Sans Light"/>
                <w:color w:val="000000"/>
                <w:sz w:val="16"/>
                <w:szCs w:val="16"/>
                <w:lang w:eastAsia="en-AU"/>
              </w:rPr>
            </w:pPr>
            <w:r w:rsidRPr="00304264">
              <w:rPr>
                <w:rFonts w:eastAsia="Times New Roman" w:cs="Open Sans Light"/>
                <w:color w:val="000000"/>
                <w:sz w:val="16"/>
                <w:szCs w:val="16"/>
                <w:lang w:eastAsia="en-AU"/>
              </w:rPr>
              <w:t>-1</w:t>
            </w:r>
          </w:p>
        </w:tc>
        <w:tc>
          <w:tcPr>
            <w:tcW w:w="620" w:type="dxa"/>
            <w:tcBorders>
              <w:top w:val="single" w:sz="4" w:space="0" w:color="ADD6EA"/>
              <w:left w:val="nil"/>
              <w:bottom w:val="single" w:sz="4" w:space="0" w:color="ADD6EA"/>
              <w:right w:val="nil"/>
            </w:tcBorders>
            <w:shd w:val="clear" w:color="000000" w:fill="FFFFFF"/>
            <w:vAlign w:val="bottom"/>
            <w:hideMark/>
          </w:tcPr>
          <w:p w14:paraId="473C2CA4" w14:textId="536D02EF" w:rsidR="00304264" w:rsidRPr="001A5511" w:rsidRDefault="00304264" w:rsidP="00304264">
            <w:pPr>
              <w:spacing w:line="240" w:lineRule="auto"/>
              <w:jc w:val="right"/>
              <w:rPr>
                <w:rFonts w:eastAsia="Times New Roman" w:cs="Open Sans Light"/>
                <w:color w:val="000000"/>
                <w:sz w:val="16"/>
                <w:szCs w:val="16"/>
                <w:lang w:eastAsia="en-AU"/>
              </w:rPr>
            </w:pPr>
            <w:r w:rsidRPr="00304264">
              <w:rPr>
                <w:rFonts w:eastAsia="Times New Roman" w:cs="Open Sans Light"/>
                <w:color w:val="000000"/>
                <w:sz w:val="16"/>
                <w:szCs w:val="16"/>
                <w:lang w:eastAsia="en-AU"/>
              </w:rPr>
              <w:t>0</w:t>
            </w:r>
          </w:p>
        </w:tc>
        <w:tc>
          <w:tcPr>
            <w:tcW w:w="620" w:type="dxa"/>
            <w:tcBorders>
              <w:top w:val="single" w:sz="4" w:space="0" w:color="ADD6EA"/>
              <w:left w:val="nil"/>
              <w:bottom w:val="single" w:sz="4" w:space="0" w:color="ADD6EA"/>
              <w:right w:val="nil"/>
            </w:tcBorders>
            <w:shd w:val="clear" w:color="000000" w:fill="FFFFFF"/>
            <w:vAlign w:val="bottom"/>
            <w:hideMark/>
          </w:tcPr>
          <w:p w14:paraId="6A896991" w14:textId="2CFB6C9F" w:rsidR="00304264" w:rsidRPr="001A5511" w:rsidRDefault="00304264" w:rsidP="00304264">
            <w:pPr>
              <w:spacing w:line="240" w:lineRule="auto"/>
              <w:jc w:val="right"/>
              <w:rPr>
                <w:rFonts w:eastAsia="Times New Roman" w:cs="Open Sans Light"/>
                <w:color w:val="000000"/>
                <w:sz w:val="16"/>
                <w:szCs w:val="16"/>
                <w:lang w:eastAsia="en-AU"/>
              </w:rPr>
            </w:pPr>
            <w:r w:rsidRPr="00304264">
              <w:rPr>
                <w:rFonts w:eastAsia="Times New Roman" w:cs="Open Sans Light"/>
                <w:color w:val="000000"/>
                <w:sz w:val="16"/>
                <w:szCs w:val="16"/>
                <w:lang w:eastAsia="en-AU"/>
              </w:rPr>
              <w:t>1</w:t>
            </w:r>
          </w:p>
        </w:tc>
        <w:tc>
          <w:tcPr>
            <w:tcW w:w="620" w:type="dxa"/>
            <w:tcBorders>
              <w:top w:val="single" w:sz="4" w:space="0" w:color="ADD6EA"/>
              <w:left w:val="nil"/>
              <w:bottom w:val="single" w:sz="4" w:space="0" w:color="ADD6EA"/>
              <w:right w:val="nil"/>
            </w:tcBorders>
            <w:shd w:val="clear" w:color="000000" w:fill="FFFFFF"/>
            <w:vAlign w:val="bottom"/>
            <w:hideMark/>
          </w:tcPr>
          <w:p w14:paraId="34A3BF49" w14:textId="6CF80E3C" w:rsidR="00304264" w:rsidRPr="001A5511" w:rsidRDefault="00304264" w:rsidP="00304264">
            <w:pPr>
              <w:spacing w:line="240" w:lineRule="auto"/>
              <w:jc w:val="right"/>
              <w:rPr>
                <w:rFonts w:eastAsia="Times New Roman" w:cs="Open Sans Light"/>
                <w:color w:val="000000"/>
                <w:sz w:val="16"/>
                <w:szCs w:val="16"/>
                <w:lang w:eastAsia="en-AU"/>
              </w:rPr>
            </w:pPr>
            <w:r w:rsidRPr="00304264">
              <w:rPr>
                <w:rFonts w:eastAsia="Times New Roman" w:cs="Open Sans Light"/>
                <w:color w:val="000000"/>
                <w:sz w:val="16"/>
                <w:szCs w:val="16"/>
                <w:lang w:eastAsia="en-AU"/>
              </w:rPr>
              <w:t>0</w:t>
            </w:r>
          </w:p>
        </w:tc>
        <w:tc>
          <w:tcPr>
            <w:tcW w:w="620" w:type="dxa"/>
            <w:tcBorders>
              <w:top w:val="single" w:sz="4" w:space="0" w:color="ADD6EA"/>
              <w:left w:val="nil"/>
              <w:bottom w:val="single" w:sz="4" w:space="0" w:color="ADD6EA"/>
              <w:right w:val="nil"/>
            </w:tcBorders>
            <w:shd w:val="clear" w:color="000000" w:fill="FFFFFF"/>
            <w:vAlign w:val="bottom"/>
            <w:hideMark/>
          </w:tcPr>
          <w:p w14:paraId="08EE24AC" w14:textId="58D15601" w:rsidR="00304264" w:rsidRPr="001A5511" w:rsidRDefault="00304264" w:rsidP="00304264">
            <w:pPr>
              <w:spacing w:line="240" w:lineRule="auto"/>
              <w:jc w:val="right"/>
              <w:rPr>
                <w:rFonts w:eastAsia="Times New Roman" w:cs="Open Sans Light"/>
                <w:color w:val="000000"/>
                <w:sz w:val="16"/>
                <w:szCs w:val="16"/>
                <w:lang w:eastAsia="en-AU"/>
              </w:rPr>
            </w:pPr>
            <w:r w:rsidRPr="00304264">
              <w:rPr>
                <w:rFonts w:eastAsia="Times New Roman" w:cs="Open Sans Light"/>
                <w:color w:val="000000"/>
                <w:sz w:val="16"/>
                <w:szCs w:val="16"/>
                <w:lang w:eastAsia="en-AU"/>
              </w:rPr>
              <w:t>2</w:t>
            </w:r>
          </w:p>
        </w:tc>
        <w:tc>
          <w:tcPr>
            <w:tcW w:w="620" w:type="dxa"/>
            <w:tcBorders>
              <w:top w:val="single" w:sz="4" w:space="0" w:color="ADD6EA"/>
              <w:left w:val="nil"/>
              <w:bottom w:val="single" w:sz="4" w:space="0" w:color="ADD6EA"/>
              <w:right w:val="nil"/>
            </w:tcBorders>
            <w:shd w:val="clear" w:color="000000" w:fill="FFFFFF"/>
            <w:vAlign w:val="bottom"/>
            <w:hideMark/>
          </w:tcPr>
          <w:p w14:paraId="33018319" w14:textId="51DE8016" w:rsidR="00304264" w:rsidRPr="001A5511" w:rsidRDefault="00304264" w:rsidP="00304264">
            <w:pPr>
              <w:spacing w:line="240" w:lineRule="auto"/>
              <w:jc w:val="right"/>
              <w:rPr>
                <w:rFonts w:eastAsia="Times New Roman" w:cs="Open Sans Light"/>
                <w:color w:val="000000"/>
                <w:sz w:val="16"/>
                <w:szCs w:val="16"/>
                <w:lang w:eastAsia="en-AU"/>
              </w:rPr>
            </w:pPr>
            <w:r w:rsidRPr="00304264">
              <w:rPr>
                <w:rFonts w:eastAsia="Times New Roman" w:cs="Open Sans Light"/>
                <w:color w:val="000000"/>
                <w:sz w:val="16"/>
                <w:szCs w:val="16"/>
                <w:lang w:eastAsia="en-AU"/>
              </w:rPr>
              <w:t>-1</w:t>
            </w:r>
          </w:p>
        </w:tc>
        <w:tc>
          <w:tcPr>
            <w:tcW w:w="620" w:type="dxa"/>
            <w:tcBorders>
              <w:top w:val="single" w:sz="4" w:space="0" w:color="ADD6EA"/>
              <w:left w:val="nil"/>
              <w:bottom w:val="single" w:sz="4" w:space="0" w:color="ADD6EA"/>
              <w:right w:val="nil"/>
            </w:tcBorders>
            <w:shd w:val="clear" w:color="000000" w:fill="FFFFFF"/>
            <w:vAlign w:val="bottom"/>
            <w:hideMark/>
          </w:tcPr>
          <w:p w14:paraId="5C0F1ACA" w14:textId="652486BC" w:rsidR="00304264" w:rsidRPr="001A5511" w:rsidRDefault="00304264" w:rsidP="00304264">
            <w:pPr>
              <w:spacing w:line="240" w:lineRule="auto"/>
              <w:jc w:val="right"/>
              <w:rPr>
                <w:rFonts w:eastAsia="Times New Roman" w:cs="Open Sans Light"/>
                <w:color w:val="000000"/>
                <w:sz w:val="16"/>
                <w:szCs w:val="16"/>
                <w:lang w:eastAsia="en-AU"/>
              </w:rPr>
            </w:pPr>
            <w:r w:rsidRPr="00304264">
              <w:rPr>
                <w:rFonts w:eastAsia="Times New Roman" w:cs="Open Sans Light"/>
                <w:color w:val="000000"/>
                <w:sz w:val="16"/>
                <w:szCs w:val="16"/>
                <w:lang w:eastAsia="en-AU"/>
              </w:rPr>
              <w:t>30</w:t>
            </w:r>
          </w:p>
        </w:tc>
        <w:tc>
          <w:tcPr>
            <w:tcW w:w="1000" w:type="dxa"/>
            <w:tcBorders>
              <w:top w:val="single" w:sz="4" w:space="0" w:color="ADD6EA"/>
              <w:left w:val="nil"/>
              <w:bottom w:val="single" w:sz="4" w:space="0" w:color="ADD6EA"/>
              <w:right w:val="nil"/>
            </w:tcBorders>
            <w:shd w:val="clear" w:color="000000" w:fill="FFFFFF"/>
            <w:vAlign w:val="bottom"/>
            <w:hideMark/>
          </w:tcPr>
          <w:p w14:paraId="4A83A6E0" w14:textId="6C611E66" w:rsidR="00304264" w:rsidRPr="001A5511" w:rsidRDefault="00304264" w:rsidP="00304264">
            <w:pPr>
              <w:spacing w:line="240" w:lineRule="auto"/>
              <w:jc w:val="right"/>
              <w:rPr>
                <w:rFonts w:eastAsia="Times New Roman" w:cs="Open Sans Light"/>
                <w:color w:val="000000"/>
                <w:sz w:val="16"/>
                <w:szCs w:val="16"/>
                <w:lang w:eastAsia="en-AU"/>
              </w:rPr>
            </w:pPr>
            <w:r w:rsidRPr="00304264">
              <w:rPr>
                <w:rFonts w:eastAsia="Times New Roman" w:cs="Open Sans Light"/>
                <w:color w:val="000000"/>
                <w:sz w:val="16"/>
                <w:szCs w:val="16"/>
                <w:lang w:eastAsia="en-AU"/>
              </w:rPr>
              <w:t>1</w:t>
            </w:r>
          </w:p>
        </w:tc>
      </w:tr>
    </w:tbl>
    <w:p w14:paraId="2671D94C" w14:textId="4E4D2706" w:rsidR="00333A07" w:rsidRDefault="005B564C" w:rsidP="000A22D3">
      <w:pPr>
        <w:pStyle w:val="CGC2025TableNote"/>
        <w:ind w:left="567" w:hanging="454"/>
      </w:pPr>
      <w:r>
        <w:t xml:space="preserve">Note: </w:t>
      </w:r>
      <w:r w:rsidR="00E3582E">
        <w:t xml:space="preserve">The impact of replacing regional costs with the </w:t>
      </w:r>
      <w:r w:rsidR="009726BA">
        <w:t>general</w:t>
      </w:r>
      <w:r w:rsidR="00E3582E">
        <w:t xml:space="preserve"> s</w:t>
      </w:r>
      <w:r>
        <w:t xml:space="preserve">ervice delivery scale </w:t>
      </w:r>
      <w:r w:rsidR="003F5428">
        <w:t>costs</w:t>
      </w:r>
      <w:r w:rsidR="00E3582E">
        <w:t xml:space="preserve"> </w:t>
      </w:r>
      <w:r w:rsidR="00126503">
        <w:t xml:space="preserve">gradient </w:t>
      </w:r>
      <w:r w:rsidR="007A563E">
        <w:t xml:space="preserve">in prisons </w:t>
      </w:r>
      <w:r w:rsidR="002B180B">
        <w:t xml:space="preserve">and removing the regional gradient in </w:t>
      </w:r>
      <w:r w:rsidR="00E11ACD">
        <w:t>criminal</w:t>
      </w:r>
      <w:r w:rsidR="004A0B5C">
        <w:t xml:space="preserve"> court</w:t>
      </w:r>
      <w:r w:rsidR="00E11ACD">
        <w:t xml:space="preserve">s </w:t>
      </w:r>
      <w:r w:rsidR="00116D23">
        <w:t>is</w:t>
      </w:r>
      <w:r w:rsidR="00126503" w:rsidDel="00116D23">
        <w:t xml:space="preserve"> </w:t>
      </w:r>
      <w:r w:rsidR="00126503">
        <w:t xml:space="preserve">captured in the GST impacts for the justice assessment. </w:t>
      </w:r>
      <w:r>
        <w:t xml:space="preserve"> </w:t>
      </w:r>
    </w:p>
    <w:sectPr w:rsidR="00333A07" w:rsidSect="00741B46">
      <w:headerReference w:type="even" r:id="rId22"/>
      <w:footerReference w:type="even" r:id="rId23"/>
      <w:footerReference w:type="default" r:id="rId24"/>
      <w:headerReference w:type="first" r:id="rId25"/>
      <w:footerReference w:type="first" r:id="rId26"/>
      <w:pgSz w:w="11906" w:h="16838" w:code="9"/>
      <w:pgMar w:top="1440" w:right="1440" w:bottom="1440" w:left="1440" w:header="720" w:footer="28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F0E401" w14:textId="77777777" w:rsidR="00103F3E" w:rsidRDefault="00103F3E">
      <w:r>
        <w:separator/>
      </w:r>
    </w:p>
    <w:p w14:paraId="11679E7B" w14:textId="77777777" w:rsidR="00103F3E" w:rsidRDefault="00103F3E"/>
  </w:endnote>
  <w:endnote w:type="continuationSeparator" w:id="0">
    <w:p w14:paraId="239A111A" w14:textId="77777777" w:rsidR="00103F3E" w:rsidRDefault="00103F3E">
      <w:r>
        <w:continuationSeparator/>
      </w:r>
    </w:p>
    <w:p w14:paraId="688ED787" w14:textId="77777777" w:rsidR="00103F3E" w:rsidRDefault="00103F3E"/>
  </w:endnote>
  <w:endnote w:type="continuationNotice" w:id="1">
    <w:p w14:paraId="57C4637A" w14:textId="77777777" w:rsidR="00103F3E" w:rsidRDefault="00103F3E">
      <w:pPr>
        <w:spacing w:before="0" w:line="240" w:lineRule="auto"/>
      </w:pPr>
    </w:p>
    <w:p w14:paraId="242918DD" w14:textId="77777777" w:rsidR="00103F3E" w:rsidRDefault="00103F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ork Sans">
    <w:altName w:val="Calibri"/>
    <w:charset w:val="00"/>
    <w:family w:val="auto"/>
    <w:pitch w:val="variable"/>
    <w:sig w:usb0="A00000FF" w:usb1="5000E07B" w:usb2="00000000" w:usb3="00000000" w:csb0="00000193" w:csb1="00000000"/>
  </w:font>
  <w:font w:name="Open Sans">
    <w:panose1 w:val="020B0606030504020204"/>
    <w:charset w:val="00"/>
    <w:family w:val="swiss"/>
    <w:pitch w:val="variable"/>
    <w:sig w:usb0="E00002EF" w:usb1="4000205B" w:usb2="00000028" w:usb3="00000000" w:csb0="0000019F" w:csb1="00000000"/>
  </w:font>
  <w:font w:name="Open Sans Light">
    <w:altName w:val="Segoe UI"/>
    <w:panose1 w:val="020B03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ontserrat Semi Bold">
    <w:panose1 w:val="00000700000000000000"/>
    <w:charset w:val="00"/>
    <w:family w:val="modern"/>
    <w:notTrueType/>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Montserrat Ultra Light">
    <w:panose1 w:val="00000300000000000000"/>
    <w:charset w:val="00"/>
    <w:family w:val="modern"/>
    <w:notTrueType/>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Open Sans Semibold">
    <w:altName w:val="Segoe UI"/>
    <w:panose1 w:val="020B0706030804020204"/>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54988" w14:textId="7E037ED6" w:rsidR="000A2862" w:rsidRDefault="007573D6">
    <w:pPr>
      <w:pStyle w:val="Footer"/>
    </w:pPr>
    <w:r>
      <w:rPr>
        <w:noProof/>
      </w:rPr>
      <mc:AlternateContent>
        <mc:Choice Requires="wps">
          <w:drawing>
            <wp:anchor distT="0" distB="0" distL="0" distR="0" simplePos="0" relativeHeight="251658241" behindDoc="0" locked="0" layoutInCell="1" allowOverlap="1" wp14:anchorId="6725CD87" wp14:editId="03F23F3F">
              <wp:simplePos x="635" y="635"/>
              <wp:positionH relativeFrom="page">
                <wp:align>center</wp:align>
              </wp:positionH>
              <wp:positionV relativeFrom="page">
                <wp:align>bottom</wp:align>
              </wp:positionV>
              <wp:extent cx="443865" cy="443865"/>
              <wp:effectExtent l="0" t="0" r="635" b="0"/>
              <wp:wrapNone/>
              <wp:docPr id="5"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4A5F724" w14:textId="1E0708FB" w:rsidR="007573D6" w:rsidRPr="007573D6" w:rsidRDefault="007573D6" w:rsidP="007573D6">
                          <w:pPr>
                            <w:rPr>
                              <w:rFonts w:ascii="Calibri" w:eastAsia="Calibri" w:hAnsi="Calibri" w:cs="Calibri"/>
                              <w:noProof/>
                              <w:color w:val="FF0000"/>
                              <w:sz w:val="24"/>
                              <w:szCs w:val="24"/>
                            </w:rPr>
                          </w:pPr>
                          <w:r w:rsidRPr="007573D6">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725CD87" id="_x0000_t202" coordsize="21600,21600" o:spt="202" path="m,l,21600r21600,l21600,xe">
              <v:stroke joinstyle="miter"/>
              <v:path gradientshapeok="t" o:connecttype="rect"/>
            </v:shapetype>
            <v:shape id="Text Box 5" o:spid="_x0000_s1029" type="#_x0000_t202" alt="OFFICIAL" style="position:absolute;left:0;text-align:left;margin-left:0;margin-top:0;width:34.95pt;height:34.95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74A5F724" w14:textId="1E0708FB" w:rsidR="007573D6" w:rsidRPr="007573D6" w:rsidRDefault="007573D6" w:rsidP="007573D6">
                    <w:pPr>
                      <w:rPr>
                        <w:rFonts w:ascii="Calibri" w:eastAsia="Calibri" w:hAnsi="Calibri" w:cs="Calibri"/>
                        <w:noProof/>
                        <w:color w:val="FF0000"/>
                        <w:sz w:val="24"/>
                        <w:szCs w:val="24"/>
                      </w:rPr>
                    </w:pPr>
                    <w:r w:rsidRPr="007573D6">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ADAF5" w14:textId="552AF779" w:rsidR="007573D6" w:rsidRDefault="007573D6" w:rsidP="005E348B">
    <w:pPr>
      <w:pStyle w:val="Footer"/>
      <w:jc w:val="left"/>
    </w:pPr>
  </w:p>
  <w:sdt>
    <w:sdtPr>
      <w:id w:val="-1196684187"/>
      <w:docPartObj>
        <w:docPartGallery w:val="Page Numbers (Bottom of Page)"/>
        <w:docPartUnique/>
      </w:docPartObj>
    </w:sdtPr>
    <w:sdtEndPr>
      <w:rPr>
        <w:noProof/>
      </w:rPr>
    </w:sdtEndPr>
    <w:sdtContent>
      <w:sdt>
        <w:sdtPr>
          <w:id w:val="-2088140063"/>
          <w:docPartObj>
            <w:docPartGallery w:val="Page Numbers (Bottom of Page)"/>
            <w:docPartUnique/>
          </w:docPartObj>
        </w:sdtPr>
        <w:sdtEndPr>
          <w:rPr>
            <w:rFonts w:ascii="Open Sans" w:hAnsi="Open Sans" w:cs="Open Sans"/>
            <w:color w:val="auto"/>
            <w:sz w:val="14"/>
            <w:szCs w:val="14"/>
          </w:rPr>
        </w:sdtEndPr>
        <w:sdtContent>
          <w:p w14:paraId="2DE7AEB2" w14:textId="354DD727" w:rsidR="005E348B" w:rsidRPr="00E862C1" w:rsidRDefault="005E348B" w:rsidP="005E348B">
            <w:pPr>
              <w:pStyle w:val="Footer"/>
              <w:jc w:val="left"/>
              <w:rPr>
                <w:rFonts w:ascii="Open Sans" w:hAnsi="Open Sans" w:cs="Open Sans"/>
                <w:color w:val="auto"/>
                <w:sz w:val="14"/>
                <w:szCs w:val="14"/>
              </w:rPr>
            </w:pPr>
            <w:r w:rsidRPr="009272FF">
              <w:rPr>
                <w:rFonts w:ascii="Open Sans Semibold" w:hAnsi="Open Sans Semibold" w:cs="Open Sans Semibold"/>
                <w:b w:val="0"/>
                <w:bCs/>
                <w:color w:val="006991"/>
                <w:sz w:val="14"/>
                <w:szCs w:val="14"/>
              </w:rPr>
              <w:t>Commonwealth Grants Commission</w:t>
            </w:r>
            <w:r w:rsidRPr="00F7581A">
              <w:rPr>
                <w:rFonts w:ascii="Work Sans" w:hAnsi="Work Sans"/>
                <w:color w:val="006991"/>
                <w:sz w:val="14"/>
                <w:szCs w:val="14"/>
              </w:rPr>
              <w:t xml:space="preserve"> </w:t>
            </w:r>
            <w:r w:rsidRPr="009272FF">
              <w:rPr>
                <w:rFonts w:ascii="Open Sans" w:hAnsi="Open Sans" w:cs="Open Sans"/>
                <w:b w:val="0"/>
                <w:bCs/>
                <w:color w:val="auto"/>
                <w:sz w:val="14"/>
                <w:szCs w:val="14"/>
              </w:rPr>
              <w:t xml:space="preserve">2025 Methodology Review </w:t>
            </w:r>
            <w:r w:rsidR="005643F0">
              <w:rPr>
                <w:rFonts w:ascii="Open Sans" w:hAnsi="Open Sans" w:cs="Open Sans"/>
                <w:b w:val="0"/>
                <w:bCs/>
                <w:color w:val="auto"/>
                <w:sz w:val="14"/>
                <w:szCs w:val="14"/>
              </w:rPr>
              <w:t>–</w:t>
            </w:r>
            <w:r w:rsidRPr="009272FF">
              <w:rPr>
                <w:rFonts w:ascii="Open Sans" w:hAnsi="Open Sans" w:cs="Open Sans"/>
                <w:b w:val="0"/>
                <w:bCs/>
                <w:color w:val="auto"/>
                <w:sz w:val="14"/>
                <w:szCs w:val="14"/>
              </w:rPr>
              <w:t xml:space="preserve"> </w:t>
            </w:r>
            <w:r w:rsidR="005643F0">
              <w:rPr>
                <w:rFonts w:ascii="Open Sans" w:hAnsi="Open Sans" w:cs="Open Sans"/>
                <w:b w:val="0"/>
                <w:bCs/>
                <w:color w:val="auto"/>
                <w:sz w:val="14"/>
                <w:szCs w:val="14"/>
              </w:rPr>
              <w:t xml:space="preserve">Review </w:t>
            </w:r>
            <w:r w:rsidR="00ED76AC">
              <w:rPr>
                <w:rFonts w:ascii="Open Sans" w:hAnsi="Open Sans" w:cs="Open Sans"/>
                <w:b w:val="0"/>
                <w:bCs/>
                <w:color w:val="auto"/>
                <w:sz w:val="14"/>
                <w:szCs w:val="14"/>
              </w:rPr>
              <w:t>O</w:t>
            </w:r>
            <w:r w:rsidR="005643F0">
              <w:rPr>
                <w:rFonts w:ascii="Open Sans" w:hAnsi="Open Sans" w:cs="Open Sans"/>
                <w:b w:val="0"/>
                <w:bCs/>
                <w:color w:val="auto"/>
                <w:sz w:val="14"/>
                <w:szCs w:val="14"/>
              </w:rPr>
              <w:t>utcomes</w:t>
            </w:r>
            <w:r>
              <w:rPr>
                <w:rFonts w:ascii="Open Sans" w:hAnsi="Open Sans" w:cs="Open Sans"/>
                <w:b w:val="0"/>
                <w:bCs/>
                <w:color w:val="auto"/>
                <w:sz w:val="14"/>
                <w:szCs w:val="14"/>
              </w:rPr>
              <w:tab/>
            </w:r>
          </w:p>
        </w:sdtContent>
      </w:sdt>
      <w:p w14:paraId="30722D57" w14:textId="79B5A688" w:rsidR="005B6B61" w:rsidRDefault="00000000" w:rsidP="00D22166">
        <w:pPr>
          <w:pStyle w:val="Footer"/>
        </w:pPr>
      </w:p>
    </w:sdtContent>
  </w:sdt>
  <w:p w14:paraId="2742424A" w14:textId="77777777" w:rsidR="00C66676" w:rsidRDefault="00C6667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4788E" w14:textId="6DC45BD5" w:rsidR="000A2862" w:rsidRDefault="007573D6">
    <w:pPr>
      <w:pStyle w:val="Footer"/>
    </w:pPr>
    <w:r>
      <w:rPr>
        <w:noProof/>
      </w:rPr>
      <mc:AlternateContent>
        <mc:Choice Requires="wps">
          <w:drawing>
            <wp:anchor distT="0" distB="0" distL="0" distR="0" simplePos="0" relativeHeight="251658243" behindDoc="0" locked="0" layoutInCell="1" allowOverlap="1" wp14:anchorId="2103F869" wp14:editId="5F8EE922">
              <wp:simplePos x="635" y="635"/>
              <wp:positionH relativeFrom="page">
                <wp:align>center</wp:align>
              </wp:positionH>
              <wp:positionV relativeFrom="page">
                <wp:align>bottom</wp:align>
              </wp:positionV>
              <wp:extent cx="443865" cy="443865"/>
              <wp:effectExtent l="0" t="0" r="635" b="0"/>
              <wp:wrapNone/>
              <wp:docPr id="4"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ECB8E82" w14:textId="622714F3" w:rsidR="007573D6" w:rsidRPr="007573D6" w:rsidRDefault="007573D6" w:rsidP="007573D6">
                          <w:pPr>
                            <w:rPr>
                              <w:rFonts w:ascii="Calibri" w:eastAsia="Calibri" w:hAnsi="Calibri" w:cs="Calibri"/>
                              <w:noProof/>
                              <w:color w:val="FF0000"/>
                              <w:sz w:val="24"/>
                              <w:szCs w:val="24"/>
                            </w:rPr>
                          </w:pPr>
                          <w:r w:rsidRPr="007573D6">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103F869" id="_x0000_t202" coordsize="21600,21600" o:spt="202" path="m,l,21600r21600,l21600,xe">
              <v:stroke joinstyle="miter"/>
              <v:path gradientshapeok="t" o:connecttype="rect"/>
            </v:shapetype>
            <v:shape id="Text Box 4" o:spid="_x0000_s1031" type="#_x0000_t202" alt="OFFICIAL" style="position:absolute;left:0;text-align:left;margin-left:0;margin-top:0;width:34.95pt;height:34.9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7ECB8E82" w14:textId="622714F3" w:rsidR="007573D6" w:rsidRPr="007573D6" w:rsidRDefault="007573D6" w:rsidP="007573D6">
                    <w:pPr>
                      <w:rPr>
                        <w:rFonts w:ascii="Calibri" w:eastAsia="Calibri" w:hAnsi="Calibri" w:cs="Calibri"/>
                        <w:noProof/>
                        <w:color w:val="FF0000"/>
                        <w:sz w:val="24"/>
                        <w:szCs w:val="24"/>
                      </w:rPr>
                    </w:pPr>
                    <w:r w:rsidRPr="007573D6">
                      <w:rPr>
                        <w:rFonts w:ascii="Calibri" w:eastAsia="Calibri" w:hAnsi="Calibri" w:cs="Calibri"/>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9423DC" w14:textId="77777777" w:rsidR="00103F3E" w:rsidRPr="00017D9B" w:rsidRDefault="00103F3E">
      <w:pPr>
        <w:rPr>
          <w:color w:val="ADD6EA"/>
        </w:rPr>
      </w:pPr>
      <w:r w:rsidRPr="001C1AC5">
        <w:rPr>
          <w:color w:val="ADD6EA"/>
        </w:rPr>
        <w:separator/>
      </w:r>
    </w:p>
  </w:footnote>
  <w:footnote w:type="continuationSeparator" w:id="0">
    <w:p w14:paraId="31E26D3A" w14:textId="77777777" w:rsidR="00103F3E" w:rsidRDefault="00103F3E">
      <w:r>
        <w:continuationSeparator/>
      </w:r>
    </w:p>
    <w:p w14:paraId="56852615" w14:textId="77777777" w:rsidR="00103F3E" w:rsidRDefault="00103F3E"/>
  </w:footnote>
  <w:footnote w:type="continuationNotice" w:id="1">
    <w:p w14:paraId="65B1C2A4" w14:textId="77777777" w:rsidR="00103F3E" w:rsidRDefault="00103F3E">
      <w:pPr>
        <w:spacing w:before="0" w:line="240" w:lineRule="auto"/>
      </w:pPr>
    </w:p>
    <w:p w14:paraId="6F850D07" w14:textId="77777777" w:rsidR="00103F3E" w:rsidRDefault="00103F3E"/>
  </w:footnote>
  <w:footnote w:id="2">
    <w:p w14:paraId="22291149" w14:textId="42D6840F" w:rsidR="00661329" w:rsidRDefault="00661329">
      <w:pPr>
        <w:pStyle w:val="FootnoteText"/>
      </w:pPr>
      <w:r w:rsidRPr="003B35CA">
        <w:rPr>
          <w:rStyle w:val="FootnoteReference"/>
        </w:rPr>
        <w:footnoteRef/>
      </w:r>
      <w:r w:rsidRPr="003B35CA">
        <w:t xml:space="preserve"> </w:t>
      </w:r>
      <w:r w:rsidR="00EB1B8F" w:rsidRPr="003B35CA">
        <w:t>Th</w:t>
      </w:r>
      <w:r w:rsidR="005B60FC" w:rsidRPr="003B35CA">
        <w:t xml:space="preserve">e views of the </w:t>
      </w:r>
      <w:r w:rsidR="009238B9" w:rsidRPr="003B35CA">
        <w:t>Victoria</w:t>
      </w:r>
      <w:r w:rsidR="00146070" w:rsidRPr="003B35CA">
        <w:t xml:space="preserve">n consultant </w:t>
      </w:r>
      <w:r w:rsidR="005C1084" w:rsidRPr="003B35CA">
        <w:t>have been attributed to Victoria in this document.</w:t>
      </w:r>
      <w:r w:rsidR="005C1084">
        <w:t xml:space="preserve"> </w:t>
      </w:r>
    </w:p>
  </w:footnote>
  <w:footnote w:id="3">
    <w:p w14:paraId="77133D8B" w14:textId="440AB26F" w:rsidR="00AE1E1C" w:rsidRDefault="00AE1E1C" w:rsidP="009E49D8">
      <w:pPr>
        <w:pStyle w:val="FootnoteText"/>
      </w:pPr>
      <w:r>
        <w:rPr>
          <w:rStyle w:val="FootnoteReference"/>
        </w:rPr>
        <w:footnoteRef/>
      </w:r>
      <w:r>
        <w:t xml:space="preserve"> Prisoner data are sourced from the ABS. Juvenile detainee data are sourced from the</w:t>
      </w:r>
      <w:r w:rsidR="00957D81">
        <w:t xml:space="preserve"> Productivity Commission and</w:t>
      </w:r>
      <w:r>
        <w:t xml:space="preserve"> </w:t>
      </w:r>
      <w:r w:rsidR="009B3594">
        <w:t xml:space="preserve">the </w:t>
      </w:r>
      <w:r>
        <w:t>Australian Institute of Health and Welfare.</w:t>
      </w:r>
      <w:r w:rsidR="008D205D">
        <w:t xml:space="preserve"> </w:t>
      </w:r>
      <w:r w:rsidR="00286E8E">
        <w:t>In determin</w:t>
      </w:r>
      <w:r w:rsidR="009E2E31">
        <w:t xml:space="preserve">ing the fixed use rate proportions, </w:t>
      </w:r>
      <w:r w:rsidR="00042018">
        <w:t xml:space="preserve">ABS data are used in </w:t>
      </w:r>
      <w:r w:rsidR="0098580B">
        <w:t>scaling offenders and defendants.</w:t>
      </w:r>
      <w:r w:rsidR="002C1590">
        <w:t xml:space="preserve"> In the police regression,</w:t>
      </w:r>
      <w:r w:rsidR="00975A78">
        <w:t xml:space="preserve"> ABS </w:t>
      </w:r>
      <w:r w:rsidR="00B47917">
        <w:t>Government Finance Statistics data are used to scale state expense dat</w:t>
      </w:r>
      <w:r w:rsidR="007C40F5">
        <w:t>a.</w:t>
      </w:r>
      <w:r w:rsidR="002C1590">
        <w:t xml:space="preserve">  </w:t>
      </w:r>
    </w:p>
  </w:footnote>
  <w:footnote w:id="4">
    <w:p w14:paraId="41BBE5AE" w14:textId="381A10FF" w:rsidR="00DB4D30" w:rsidRDefault="00DB4D30" w:rsidP="009E49D8">
      <w:pPr>
        <w:pStyle w:val="FootnoteText"/>
      </w:pPr>
      <w:r>
        <w:rPr>
          <w:rStyle w:val="FootnoteReference"/>
        </w:rPr>
        <w:footnoteRef/>
      </w:r>
      <w:r>
        <w:t xml:space="preserve"> </w:t>
      </w:r>
      <w:r w:rsidR="0079243E">
        <w:t xml:space="preserve">The 2020 Review method </w:t>
      </w:r>
      <w:r w:rsidR="00707168">
        <w:t xml:space="preserve">was revised in the </w:t>
      </w:r>
      <w:r w:rsidR="00887E16">
        <w:t>2024</w:t>
      </w:r>
      <w:r w:rsidR="00707168">
        <w:t xml:space="preserve"> Update to account for </w:t>
      </w:r>
      <w:r w:rsidR="0082493C">
        <w:t xml:space="preserve">the </w:t>
      </w:r>
      <w:r w:rsidR="00CB6B7C">
        <w:t>suspension</w:t>
      </w:r>
      <w:r w:rsidR="0082493C">
        <w:t xml:space="preserve"> of the national capital </w:t>
      </w:r>
      <w:r w:rsidR="00CC135D">
        <w:t>assessment</w:t>
      </w:r>
      <w:r w:rsidR="009E49D8">
        <w:t xml:space="preserve"> and the</w:t>
      </w:r>
      <w:r w:rsidR="0034519B">
        <w:t xml:space="preserve"> </w:t>
      </w:r>
      <w:r w:rsidR="008855BF">
        <w:t>continu</w:t>
      </w:r>
      <w:r w:rsidR="00473A1C">
        <w:t>ed use</w:t>
      </w:r>
      <w:r w:rsidR="0034519B">
        <w:t xml:space="preserve"> of </w:t>
      </w:r>
      <w:r w:rsidR="004167A2">
        <w:t>2016 Census</w:t>
      </w:r>
      <w:r w:rsidR="004B6334">
        <w:t>-</w:t>
      </w:r>
      <w:r w:rsidR="004167A2">
        <w:t xml:space="preserve">based </w:t>
      </w:r>
      <w:r w:rsidR="0034519B">
        <w:t>First Nations population</w:t>
      </w:r>
      <w:r w:rsidR="00473A1C">
        <w:t>s</w:t>
      </w:r>
      <w:r w:rsidR="00707168">
        <w:t>.</w:t>
      </w:r>
    </w:p>
  </w:footnote>
  <w:footnote w:id="5">
    <w:p w14:paraId="09C098A8" w14:textId="456017EE" w:rsidR="008160F1" w:rsidRDefault="008160F1" w:rsidP="009E49D8">
      <w:pPr>
        <w:pStyle w:val="FootnoteText"/>
      </w:pPr>
      <w:r w:rsidRPr="003E4F8C">
        <w:rPr>
          <w:rStyle w:val="FootnoteReference"/>
        </w:rPr>
        <w:footnoteRef/>
      </w:r>
      <w:r w:rsidRPr="003E4F8C">
        <w:t xml:space="preserve"> </w:t>
      </w:r>
      <w:r w:rsidR="007A43C0" w:rsidRPr="003E4F8C">
        <w:t xml:space="preserve">The Commission will continue to explore whether suitable data can be identified for use in weighting offences for the next </w:t>
      </w:r>
      <w:r w:rsidR="000C618F" w:rsidRPr="003E4F8C">
        <w:t>r</w:t>
      </w:r>
      <w:r w:rsidR="007A43C0" w:rsidRPr="003E4F8C">
        <w:t>eview.</w:t>
      </w:r>
    </w:p>
  </w:footnote>
  <w:footnote w:id="6">
    <w:p w14:paraId="39DDE480" w14:textId="508D1C3A" w:rsidR="00047F03" w:rsidRDefault="00047F03" w:rsidP="009E49D8">
      <w:pPr>
        <w:pStyle w:val="FootnoteText"/>
      </w:pPr>
      <w:r>
        <w:rPr>
          <w:rStyle w:val="FootnoteReference"/>
        </w:rPr>
        <w:footnoteRef/>
      </w:r>
      <w:r>
        <w:t xml:space="preserve"> </w:t>
      </w:r>
      <w:r w:rsidR="00DC64E5" w:rsidRPr="00DC64E5">
        <w:t>The Commission does not make judgements on what states could or should do.</w:t>
      </w:r>
    </w:p>
  </w:footnote>
  <w:footnote w:id="7">
    <w:p w14:paraId="0C603E06" w14:textId="49D12701" w:rsidR="00BA27AC" w:rsidRDefault="00BA27AC" w:rsidP="009E49D8">
      <w:pPr>
        <w:pStyle w:val="FootnoteText"/>
      </w:pPr>
      <w:r>
        <w:rPr>
          <w:rStyle w:val="FootnoteReference"/>
        </w:rPr>
        <w:footnoteRef/>
      </w:r>
      <w:r>
        <w:t xml:space="preserve"> </w:t>
      </w:r>
      <w:r w:rsidR="00C56B9E">
        <w:t>In the 2020 Review method, police regional cost weights are applied to regional populations instead of assessed offender numbers.</w:t>
      </w:r>
    </w:p>
  </w:footnote>
  <w:footnote w:id="8">
    <w:p w14:paraId="096AC574" w14:textId="77777777" w:rsidR="00892705" w:rsidRDefault="00892705" w:rsidP="00892705">
      <w:pPr>
        <w:pStyle w:val="FootnoteText"/>
      </w:pPr>
      <w:r>
        <w:rPr>
          <w:rStyle w:val="FootnoteReference"/>
        </w:rPr>
        <w:footnoteRef/>
      </w:r>
      <w:r>
        <w:t xml:space="preserve"> </w:t>
      </w:r>
      <w:r w:rsidRPr="007F6C5F">
        <w:t>Accordingly, these proportions are not comparable to the 2015 Review method which split costs between ‘specialised’ and ‘community’ policing</w:t>
      </w:r>
      <w:r>
        <w:t>.</w:t>
      </w:r>
    </w:p>
  </w:footnote>
  <w:footnote w:id="9">
    <w:p w14:paraId="4714F7FC" w14:textId="77777777" w:rsidR="00C46AD9" w:rsidRDefault="00C46AD9" w:rsidP="00C46AD9">
      <w:pPr>
        <w:pStyle w:val="FootnoteText"/>
      </w:pPr>
      <w:r>
        <w:rPr>
          <w:rStyle w:val="FootnoteReference"/>
        </w:rPr>
        <w:footnoteRef/>
      </w:r>
      <w:r>
        <w:t xml:space="preserve"> </w:t>
      </w:r>
      <w:r w:rsidRPr="004D18AD">
        <w:t>The Commission scales state</w:t>
      </w:r>
      <w:r>
        <w:t>-</w:t>
      </w:r>
      <w:r w:rsidRPr="004D18AD">
        <w:t>provided data to ABS totals to calculate the Commission’s number of assessed offenders.</w:t>
      </w:r>
    </w:p>
  </w:footnote>
  <w:footnote w:id="10">
    <w:p w14:paraId="34C9A470" w14:textId="60B22D60" w:rsidR="00ED10AA" w:rsidRDefault="00ED10AA" w:rsidP="009E49D8">
      <w:pPr>
        <w:pStyle w:val="FootnoteText"/>
      </w:pPr>
      <w:r>
        <w:rPr>
          <w:rStyle w:val="FootnoteReference"/>
        </w:rPr>
        <w:footnoteRef/>
      </w:r>
      <w:r>
        <w:t xml:space="preserve"> </w:t>
      </w:r>
      <w:r w:rsidR="0022717C" w:rsidRPr="0022717C">
        <w:t xml:space="preserve">L Ellis, DP Farrington and AW Hoskins, </w:t>
      </w:r>
      <w:r w:rsidR="0022717C" w:rsidRPr="0022717C">
        <w:rPr>
          <w:i/>
          <w:iCs/>
        </w:rPr>
        <w:t>Handbook of Crime Correlates</w:t>
      </w:r>
      <w:r w:rsidR="0022717C" w:rsidRPr="0022717C">
        <w:t xml:space="preserve">, 2nd </w:t>
      </w:r>
      <w:r w:rsidR="00901831">
        <w:t>E</w:t>
      </w:r>
      <w:r w:rsidR="0022717C" w:rsidRPr="0022717C">
        <w:t>d</w:t>
      </w:r>
      <w:r w:rsidR="007C36C3">
        <w:t>itio</w:t>
      </w:r>
      <w:r w:rsidR="0022717C" w:rsidRPr="0022717C">
        <w:t>n, Academic Press, London, 2019, pp 92–102</w:t>
      </w:r>
      <w:r w:rsidR="0022717C">
        <w:t>.</w:t>
      </w:r>
    </w:p>
  </w:footnote>
  <w:footnote w:id="11">
    <w:p w14:paraId="7D3F9FF9" w14:textId="77777777" w:rsidR="0021760E" w:rsidRDefault="0021760E" w:rsidP="009E49D8">
      <w:pPr>
        <w:pStyle w:val="FootnoteText"/>
      </w:pPr>
      <w:r>
        <w:rPr>
          <w:rStyle w:val="FootnoteReference"/>
        </w:rPr>
        <w:footnoteRef/>
      </w:r>
      <w:r>
        <w:t xml:space="preserve"> Australian Law Reform Commission (ALRC), </w:t>
      </w:r>
      <w:hyperlink r:id="rId1" w:history="1">
        <w:r w:rsidRPr="003E120E">
          <w:rPr>
            <w:rStyle w:val="Hyperlink"/>
          </w:rPr>
          <w:t>Pathways to Justice–Inquiry Into The Incarceration Rate Of Aboriginal And Torres Strait Islander Peoples</w:t>
        </w:r>
      </w:hyperlink>
      <w:r>
        <w:t>, ALRC, Australian Government, 2018, accessed 6 February 2024.</w:t>
      </w:r>
    </w:p>
  </w:footnote>
  <w:footnote w:id="12">
    <w:p w14:paraId="720DDDAF" w14:textId="77777777" w:rsidR="00697970" w:rsidRDefault="00697970" w:rsidP="00697970">
      <w:pPr>
        <w:pStyle w:val="FootnoteText"/>
      </w:pPr>
      <w:r>
        <w:rPr>
          <w:rStyle w:val="FootnoteReference"/>
        </w:rPr>
        <w:footnoteRef/>
      </w:r>
      <w:r>
        <w:t xml:space="preserve"> </w:t>
      </w:r>
      <w:r w:rsidRPr="009A3E36">
        <w:t>Each instance of offending would be counted as a separate proceeding regardless of the number of offences an individual is charged with.</w:t>
      </w:r>
    </w:p>
  </w:footnote>
  <w:footnote w:id="13">
    <w:p w14:paraId="29C3DC21" w14:textId="440517C7" w:rsidR="0094106F" w:rsidRDefault="0094106F" w:rsidP="009E49D8">
      <w:pPr>
        <w:pStyle w:val="FootnoteText"/>
      </w:pPr>
      <w:r>
        <w:rPr>
          <w:rStyle w:val="FootnoteReference"/>
        </w:rPr>
        <w:footnoteRef/>
      </w:r>
      <w:r>
        <w:t xml:space="preserve"> </w:t>
      </w:r>
      <w:r w:rsidR="00D36DCE" w:rsidRPr="00D36DCE">
        <w:t xml:space="preserve">This exclusion is consistent with </w:t>
      </w:r>
      <w:r w:rsidR="00307FBF">
        <w:t xml:space="preserve">the </w:t>
      </w:r>
      <w:r w:rsidR="00D36DCE" w:rsidRPr="00D36DCE">
        <w:t>ABS’ practice of counting defendants.</w:t>
      </w:r>
    </w:p>
  </w:footnote>
  <w:footnote w:id="14">
    <w:p w14:paraId="23AB3E38" w14:textId="77777777" w:rsidR="00DD70BA" w:rsidRDefault="00DD70BA" w:rsidP="009E49D8">
      <w:pPr>
        <w:pStyle w:val="FootnoteText"/>
      </w:pPr>
      <w:r>
        <w:rPr>
          <w:rStyle w:val="FootnoteReference"/>
        </w:rPr>
        <w:footnoteRef/>
      </w:r>
      <w:r>
        <w:t xml:space="preserve"> Western Australia said it made the reasonable assumption that the composition of offenders has not changed structurally from 2016–17 to 2022–23 for traffic offences.</w:t>
      </w:r>
    </w:p>
  </w:footnote>
  <w:footnote w:id="15">
    <w:p w14:paraId="034A3E0B" w14:textId="423F56A8" w:rsidR="001F6DE6" w:rsidRPr="00320349" w:rsidRDefault="001F6DE6" w:rsidP="001F6DE6">
      <w:pPr>
        <w:pStyle w:val="FootnoteText"/>
      </w:pPr>
      <w:r>
        <w:rPr>
          <w:rStyle w:val="FootnoteReference"/>
        </w:rPr>
        <w:footnoteRef/>
      </w:r>
      <w:r w:rsidR="00FA0856">
        <w:t xml:space="preserve"> </w:t>
      </w:r>
      <w:r w:rsidRPr="00320349">
        <w:t xml:space="preserve">This refers to the Steering Committee for the Review of Government Service Provision 2024, </w:t>
      </w:r>
      <w:r w:rsidRPr="00C97B47">
        <w:rPr>
          <w:i/>
          <w:iCs/>
        </w:rPr>
        <w:t>Report on Government Services 2024</w:t>
      </w:r>
      <w:r w:rsidRPr="00320349">
        <w:t>, Productivity Commission, Australian Government, 2024, Part F Community services, youth justice data on ‘Cost per young person subject to detention-based supervision, 2022-23’, table 17A.21. The table notes include the qualifier that data ‘are not comparable across jurisdictions but are comparable (subject to caveats) within jurisdictions over time’.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45B23" w14:textId="39A895F2" w:rsidR="000A2862" w:rsidRDefault="007573D6">
    <w:pPr>
      <w:pStyle w:val="Header"/>
    </w:pPr>
    <w:r>
      <w:rPr>
        <w:noProof/>
      </w:rPr>
      <mc:AlternateContent>
        <mc:Choice Requires="wps">
          <w:drawing>
            <wp:anchor distT="0" distB="0" distL="0" distR="0" simplePos="0" relativeHeight="251658240" behindDoc="0" locked="0" layoutInCell="1" allowOverlap="1" wp14:anchorId="138D2655" wp14:editId="42EE18F2">
              <wp:simplePos x="635" y="635"/>
              <wp:positionH relativeFrom="page">
                <wp:align>center</wp:align>
              </wp:positionH>
              <wp:positionV relativeFrom="page">
                <wp:align>top</wp:align>
              </wp:positionV>
              <wp:extent cx="443865" cy="443865"/>
              <wp:effectExtent l="0" t="0" r="635" b="12700"/>
              <wp:wrapNone/>
              <wp:docPr id="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14C17B3" w14:textId="3F361D39" w:rsidR="007573D6" w:rsidRPr="007573D6" w:rsidRDefault="007573D6" w:rsidP="007573D6">
                          <w:pPr>
                            <w:rPr>
                              <w:rFonts w:ascii="Calibri" w:eastAsia="Calibri" w:hAnsi="Calibri" w:cs="Calibri"/>
                              <w:noProof/>
                              <w:color w:val="FF0000"/>
                              <w:sz w:val="24"/>
                              <w:szCs w:val="24"/>
                            </w:rPr>
                          </w:pPr>
                          <w:r w:rsidRPr="007573D6">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38D2655" id="_x0000_t202" coordsize="21600,21600" o:spt="202" path="m,l,21600r21600,l21600,xe">
              <v:stroke joinstyle="miter"/>
              <v:path gradientshapeok="t" o:connecttype="rect"/>
            </v:shapetype>
            <v:shape id="Text Box 2" o:spid="_x0000_s1028" type="#_x0000_t202" alt="OFFICIAL" style="position:absolute;left:0;text-align:left;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614C17B3" w14:textId="3F361D39" w:rsidR="007573D6" w:rsidRPr="007573D6" w:rsidRDefault="007573D6" w:rsidP="007573D6">
                    <w:pPr>
                      <w:rPr>
                        <w:rFonts w:ascii="Calibri" w:eastAsia="Calibri" w:hAnsi="Calibri" w:cs="Calibri"/>
                        <w:noProof/>
                        <w:color w:val="FF0000"/>
                        <w:sz w:val="24"/>
                        <w:szCs w:val="24"/>
                      </w:rPr>
                    </w:pPr>
                    <w:r w:rsidRPr="007573D6">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C7EE9" w14:textId="22964639" w:rsidR="000A2862" w:rsidRDefault="007573D6">
    <w:pPr>
      <w:pStyle w:val="Header"/>
    </w:pPr>
    <w:r>
      <w:rPr>
        <w:noProof/>
      </w:rPr>
      <mc:AlternateContent>
        <mc:Choice Requires="wps">
          <w:drawing>
            <wp:anchor distT="0" distB="0" distL="0" distR="0" simplePos="0" relativeHeight="251658242" behindDoc="0" locked="0" layoutInCell="1" allowOverlap="1" wp14:anchorId="7A10B4A5" wp14:editId="46E96387">
              <wp:simplePos x="635" y="635"/>
              <wp:positionH relativeFrom="page">
                <wp:align>center</wp:align>
              </wp:positionH>
              <wp:positionV relativeFrom="page">
                <wp:align>top</wp:align>
              </wp:positionV>
              <wp:extent cx="443865" cy="443865"/>
              <wp:effectExtent l="0" t="0" r="635" b="12700"/>
              <wp:wrapNone/>
              <wp:docPr id="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2749760" w14:textId="5DE02486" w:rsidR="007573D6" w:rsidRPr="007573D6" w:rsidRDefault="007573D6" w:rsidP="007573D6">
                          <w:pPr>
                            <w:rPr>
                              <w:rFonts w:ascii="Calibri" w:eastAsia="Calibri" w:hAnsi="Calibri" w:cs="Calibri"/>
                              <w:noProof/>
                              <w:color w:val="FF0000"/>
                              <w:sz w:val="24"/>
                              <w:szCs w:val="24"/>
                            </w:rPr>
                          </w:pPr>
                          <w:r w:rsidRPr="007573D6">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A10B4A5" id="_x0000_t202" coordsize="21600,21600" o:spt="202" path="m,l,21600r21600,l21600,xe">
              <v:stroke joinstyle="miter"/>
              <v:path gradientshapeok="t" o:connecttype="rect"/>
            </v:shapetype>
            <v:shape id="Text Box 1" o:spid="_x0000_s1030" type="#_x0000_t202" alt="OFFICIAL" style="position:absolute;left:0;text-align:left;margin-left:0;margin-top:0;width:34.95pt;height:34.9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textbox style="mso-fit-shape-to-text:t" inset="0,15pt,0,0">
                <w:txbxContent>
                  <w:p w14:paraId="52749760" w14:textId="5DE02486" w:rsidR="007573D6" w:rsidRPr="007573D6" w:rsidRDefault="007573D6" w:rsidP="007573D6">
                    <w:pPr>
                      <w:rPr>
                        <w:rFonts w:ascii="Calibri" w:eastAsia="Calibri" w:hAnsi="Calibri" w:cs="Calibri"/>
                        <w:noProof/>
                        <w:color w:val="FF0000"/>
                        <w:sz w:val="24"/>
                        <w:szCs w:val="24"/>
                      </w:rPr>
                    </w:pPr>
                    <w:r w:rsidRPr="007573D6">
                      <w:rPr>
                        <w:rFonts w:ascii="Calibri" w:eastAsia="Calibri" w:hAnsi="Calibri" w:cs="Calibri"/>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5161D"/>
    <w:multiLevelType w:val="hybridMultilevel"/>
    <w:tmpl w:val="D9CAB28C"/>
    <w:lvl w:ilvl="0" w:tplc="2B7CBD9E">
      <w:start w:val="1"/>
      <w:numFmt w:val="lowerRoman"/>
      <w:pStyle w:val="CGCBullet3"/>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8AD066D"/>
    <w:multiLevelType w:val="multilevel"/>
    <w:tmpl w:val="1D1ABD48"/>
    <w:name w:val="StandardBulletedList"/>
    <w:lvl w:ilvl="0">
      <w:start w:val="1"/>
      <w:numFmt w:val="bullet"/>
      <w:pStyle w:val="Bullet"/>
      <w:lvlText w:val="•"/>
      <w:lvlJc w:val="left"/>
      <w:pPr>
        <w:tabs>
          <w:tab w:val="num" w:pos="472"/>
        </w:tabs>
        <w:ind w:left="472" w:hanging="472"/>
      </w:pPr>
      <w:rPr>
        <w:rFonts w:ascii="Times New Roman" w:hAnsi="Times New Roman" w:cs="Times New Roman"/>
      </w:rPr>
    </w:lvl>
    <w:lvl w:ilvl="1">
      <w:start w:val="1"/>
      <w:numFmt w:val="bullet"/>
      <w:pStyle w:val="Dash"/>
      <w:lvlText w:val="–"/>
      <w:lvlJc w:val="left"/>
      <w:pPr>
        <w:tabs>
          <w:tab w:val="num" w:pos="944"/>
        </w:tabs>
        <w:ind w:left="944" w:hanging="472"/>
      </w:pPr>
      <w:rPr>
        <w:rFonts w:ascii="Times New Roman" w:hAnsi="Times New Roman" w:cs="Times New Roman"/>
      </w:rPr>
    </w:lvl>
    <w:lvl w:ilvl="2">
      <w:start w:val="1"/>
      <w:numFmt w:val="bullet"/>
      <w:pStyle w:val="DoubleDot"/>
      <w:lvlText w:val=":"/>
      <w:lvlJc w:val="left"/>
      <w:pPr>
        <w:tabs>
          <w:tab w:val="num" w:pos="1416"/>
        </w:tabs>
        <w:ind w:left="1416" w:hanging="472"/>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19362D3"/>
    <w:multiLevelType w:val="hybridMultilevel"/>
    <w:tmpl w:val="1ED2B028"/>
    <w:lvl w:ilvl="0" w:tplc="473091DE">
      <w:start w:val="1"/>
      <w:numFmt w:val="decimal"/>
      <w:pStyle w:val="dotpoint"/>
      <w:lvlText w:val="%1."/>
      <w:lvlJc w:val="left"/>
      <w:pPr>
        <w:ind w:left="786" w:hanging="360"/>
      </w:pPr>
      <w:rPr>
        <w:rFonts w:hint="default"/>
        <w:sz w:val="21"/>
        <w:szCs w:val="21"/>
      </w:rPr>
    </w:lvl>
    <w:lvl w:ilvl="1" w:tplc="0C090019">
      <w:start w:val="1"/>
      <w:numFmt w:val="lowerLetter"/>
      <w:lvlText w:val="%2."/>
      <w:lvlJc w:val="left"/>
      <w:pPr>
        <w:ind w:left="-5081" w:hanging="360"/>
      </w:pPr>
    </w:lvl>
    <w:lvl w:ilvl="2" w:tplc="0C09001B">
      <w:start w:val="1"/>
      <w:numFmt w:val="lowerRoman"/>
      <w:lvlText w:val="%3."/>
      <w:lvlJc w:val="right"/>
      <w:pPr>
        <w:ind w:left="-4361" w:hanging="180"/>
      </w:pPr>
    </w:lvl>
    <w:lvl w:ilvl="3" w:tplc="0C09000F">
      <w:start w:val="1"/>
      <w:numFmt w:val="decimal"/>
      <w:lvlText w:val="%4."/>
      <w:lvlJc w:val="left"/>
      <w:pPr>
        <w:ind w:left="-3641" w:hanging="360"/>
      </w:pPr>
    </w:lvl>
    <w:lvl w:ilvl="4" w:tplc="0C090019">
      <w:start w:val="1"/>
      <w:numFmt w:val="lowerLetter"/>
      <w:lvlText w:val="%5."/>
      <w:lvlJc w:val="left"/>
      <w:pPr>
        <w:ind w:left="-2921" w:hanging="360"/>
      </w:pPr>
    </w:lvl>
    <w:lvl w:ilvl="5" w:tplc="0C09001B">
      <w:start w:val="1"/>
      <w:numFmt w:val="lowerRoman"/>
      <w:lvlText w:val="%6."/>
      <w:lvlJc w:val="right"/>
      <w:pPr>
        <w:ind w:left="-2201" w:hanging="180"/>
      </w:pPr>
    </w:lvl>
    <w:lvl w:ilvl="6" w:tplc="0C09000F">
      <w:start w:val="1"/>
      <w:numFmt w:val="decimal"/>
      <w:lvlText w:val="%7."/>
      <w:lvlJc w:val="left"/>
      <w:pPr>
        <w:ind w:left="-1481" w:hanging="360"/>
      </w:pPr>
    </w:lvl>
    <w:lvl w:ilvl="7" w:tplc="0C090019">
      <w:start w:val="1"/>
      <w:numFmt w:val="lowerLetter"/>
      <w:lvlText w:val="%8."/>
      <w:lvlJc w:val="left"/>
      <w:pPr>
        <w:ind w:left="-761" w:hanging="360"/>
      </w:pPr>
    </w:lvl>
    <w:lvl w:ilvl="8" w:tplc="0C09001B">
      <w:start w:val="1"/>
      <w:numFmt w:val="lowerRoman"/>
      <w:lvlText w:val="%9."/>
      <w:lvlJc w:val="right"/>
      <w:pPr>
        <w:ind w:left="-41" w:hanging="180"/>
      </w:pPr>
    </w:lvl>
  </w:abstractNum>
  <w:abstractNum w:abstractNumId="3" w15:restartNumberingAfterBreak="0">
    <w:nsid w:val="14412F81"/>
    <w:multiLevelType w:val="hybridMultilevel"/>
    <w:tmpl w:val="3FC6F610"/>
    <w:lvl w:ilvl="0" w:tplc="4CE8D1C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53D7BB4"/>
    <w:multiLevelType w:val="multilevel"/>
    <w:tmpl w:val="D730DF68"/>
    <w:lvl w:ilvl="0">
      <w:start w:val="1"/>
      <w:numFmt w:val="decimal"/>
      <w:suff w:val="space"/>
      <w:lvlText w:val="Chapter %1"/>
      <w:lvlJc w:val="left"/>
      <w:pPr>
        <w:ind w:left="0" w:firstLine="0"/>
      </w:pPr>
      <w:rPr>
        <w:rFonts w:hint="default"/>
      </w:rPr>
    </w:lvl>
    <w:lvl w:ilvl="1">
      <w:start w:val="1"/>
      <w:numFmt w:val="decimal"/>
      <w:pStyle w:val="CGCNumberedPara"/>
      <w:lvlText w:val="%2"/>
      <w:lvlJc w:val="left"/>
      <w:pPr>
        <w:tabs>
          <w:tab w:val="num" w:pos="567"/>
        </w:tabs>
        <w:ind w:left="567" w:hanging="567"/>
      </w:p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15BF05D3"/>
    <w:multiLevelType w:val="hybridMultilevel"/>
    <w:tmpl w:val="970C0F1A"/>
    <w:lvl w:ilvl="0" w:tplc="034498D4">
      <w:start w:val="1"/>
      <w:numFmt w:val="bullet"/>
      <w:pStyle w:val="CGCBullet2"/>
      <w:lvlText w:val=""/>
      <w:lvlJc w:val="left"/>
      <w:pPr>
        <w:ind w:left="865" w:hanging="360"/>
      </w:pPr>
      <w:rPr>
        <w:rFonts w:ascii="Symbol" w:hAnsi="Symbol" w:hint="default"/>
        <w:b/>
        <w:color w:val="636466"/>
      </w:rPr>
    </w:lvl>
    <w:lvl w:ilvl="1" w:tplc="0C090003" w:tentative="1">
      <w:start w:val="1"/>
      <w:numFmt w:val="bullet"/>
      <w:lvlText w:val="o"/>
      <w:lvlJc w:val="left"/>
      <w:pPr>
        <w:ind w:left="1094" w:hanging="360"/>
      </w:pPr>
      <w:rPr>
        <w:rFonts w:ascii="Courier New" w:hAnsi="Courier New" w:cs="Courier New" w:hint="default"/>
      </w:rPr>
    </w:lvl>
    <w:lvl w:ilvl="2" w:tplc="0C090005" w:tentative="1">
      <w:start w:val="1"/>
      <w:numFmt w:val="bullet"/>
      <w:lvlText w:val=""/>
      <w:lvlJc w:val="left"/>
      <w:pPr>
        <w:ind w:left="1814" w:hanging="360"/>
      </w:pPr>
      <w:rPr>
        <w:rFonts w:ascii="Wingdings" w:hAnsi="Wingdings" w:hint="default"/>
      </w:rPr>
    </w:lvl>
    <w:lvl w:ilvl="3" w:tplc="0C090001" w:tentative="1">
      <w:start w:val="1"/>
      <w:numFmt w:val="bullet"/>
      <w:lvlText w:val=""/>
      <w:lvlJc w:val="left"/>
      <w:pPr>
        <w:ind w:left="2534" w:hanging="360"/>
      </w:pPr>
      <w:rPr>
        <w:rFonts w:ascii="Symbol" w:hAnsi="Symbol" w:hint="default"/>
      </w:rPr>
    </w:lvl>
    <w:lvl w:ilvl="4" w:tplc="0C090003" w:tentative="1">
      <w:start w:val="1"/>
      <w:numFmt w:val="bullet"/>
      <w:lvlText w:val="o"/>
      <w:lvlJc w:val="left"/>
      <w:pPr>
        <w:ind w:left="3254" w:hanging="360"/>
      </w:pPr>
      <w:rPr>
        <w:rFonts w:ascii="Courier New" w:hAnsi="Courier New" w:cs="Courier New" w:hint="default"/>
      </w:rPr>
    </w:lvl>
    <w:lvl w:ilvl="5" w:tplc="0C090005" w:tentative="1">
      <w:start w:val="1"/>
      <w:numFmt w:val="bullet"/>
      <w:lvlText w:val=""/>
      <w:lvlJc w:val="left"/>
      <w:pPr>
        <w:ind w:left="3974" w:hanging="360"/>
      </w:pPr>
      <w:rPr>
        <w:rFonts w:ascii="Wingdings" w:hAnsi="Wingdings" w:hint="default"/>
      </w:rPr>
    </w:lvl>
    <w:lvl w:ilvl="6" w:tplc="0C090001" w:tentative="1">
      <w:start w:val="1"/>
      <w:numFmt w:val="bullet"/>
      <w:lvlText w:val=""/>
      <w:lvlJc w:val="left"/>
      <w:pPr>
        <w:ind w:left="4694" w:hanging="360"/>
      </w:pPr>
      <w:rPr>
        <w:rFonts w:ascii="Symbol" w:hAnsi="Symbol" w:hint="default"/>
      </w:rPr>
    </w:lvl>
    <w:lvl w:ilvl="7" w:tplc="0C090003" w:tentative="1">
      <w:start w:val="1"/>
      <w:numFmt w:val="bullet"/>
      <w:lvlText w:val="o"/>
      <w:lvlJc w:val="left"/>
      <w:pPr>
        <w:ind w:left="5414" w:hanging="360"/>
      </w:pPr>
      <w:rPr>
        <w:rFonts w:ascii="Courier New" w:hAnsi="Courier New" w:cs="Courier New" w:hint="default"/>
      </w:rPr>
    </w:lvl>
    <w:lvl w:ilvl="8" w:tplc="0C090005" w:tentative="1">
      <w:start w:val="1"/>
      <w:numFmt w:val="bullet"/>
      <w:lvlText w:val=""/>
      <w:lvlJc w:val="left"/>
      <w:pPr>
        <w:ind w:left="6134" w:hanging="360"/>
      </w:pPr>
      <w:rPr>
        <w:rFonts w:ascii="Wingdings" w:hAnsi="Wingdings" w:hint="default"/>
      </w:rPr>
    </w:lvl>
  </w:abstractNum>
  <w:abstractNum w:abstractNumId="6" w15:restartNumberingAfterBreak="0">
    <w:nsid w:val="17056047"/>
    <w:multiLevelType w:val="multilevel"/>
    <w:tmpl w:val="79CAC724"/>
    <w:lvl w:ilvl="0">
      <w:start w:val="28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7850176"/>
    <w:multiLevelType w:val="hybridMultilevel"/>
    <w:tmpl w:val="8206AAB8"/>
    <w:lvl w:ilvl="0" w:tplc="DC9E13A0">
      <w:start w:val="1"/>
      <w:numFmt w:val="bullet"/>
      <w:lvlText w:val=""/>
      <w:lvlJc w:val="left"/>
      <w:pPr>
        <w:ind w:left="720" w:hanging="360"/>
      </w:pPr>
      <w:rPr>
        <w:rFonts w:ascii="Symbol" w:hAnsi="Symbol"/>
      </w:rPr>
    </w:lvl>
    <w:lvl w:ilvl="1" w:tplc="22C2C324">
      <w:start w:val="1"/>
      <w:numFmt w:val="bullet"/>
      <w:lvlText w:val=""/>
      <w:lvlJc w:val="left"/>
      <w:pPr>
        <w:ind w:left="720" w:hanging="360"/>
      </w:pPr>
      <w:rPr>
        <w:rFonts w:ascii="Symbol" w:hAnsi="Symbol"/>
      </w:rPr>
    </w:lvl>
    <w:lvl w:ilvl="2" w:tplc="E9F05FDA">
      <w:start w:val="1"/>
      <w:numFmt w:val="bullet"/>
      <w:lvlText w:val=""/>
      <w:lvlJc w:val="left"/>
      <w:pPr>
        <w:ind w:left="720" w:hanging="360"/>
      </w:pPr>
      <w:rPr>
        <w:rFonts w:ascii="Symbol" w:hAnsi="Symbol"/>
      </w:rPr>
    </w:lvl>
    <w:lvl w:ilvl="3" w:tplc="95DCA282">
      <w:start w:val="1"/>
      <w:numFmt w:val="bullet"/>
      <w:lvlText w:val=""/>
      <w:lvlJc w:val="left"/>
      <w:pPr>
        <w:ind w:left="720" w:hanging="360"/>
      </w:pPr>
      <w:rPr>
        <w:rFonts w:ascii="Symbol" w:hAnsi="Symbol"/>
      </w:rPr>
    </w:lvl>
    <w:lvl w:ilvl="4" w:tplc="FFF859BA">
      <w:start w:val="1"/>
      <w:numFmt w:val="bullet"/>
      <w:lvlText w:val=""/>
      <w:lvlJc w:val="left"/>
      <w:pPr>
        <w:ind w:left="720" w:hanging="360"/>
      </w:pPr>
      <w:rPr>
        <w:rFonts w:ascii="Symbol" w:hAnsi="Symbol"/>
      </w:rPr>
    </w:lvl>
    <w:lvl w:ilvl="5" w:tplc="A88450A8">
      <w:start w:val="1"/>
      <w:numFmt w:val="bullet"/>
      <w:lvlText w:val=""/>
      <w:lvlJc w:val="left"/>
      <w:pPr>
        <w:ind w:left="720" w:hanging="360"/>
      </w:pPr>
      <w:rPr>
        <w:rFonts w:ascii="Symbol" w:hAnsi="Symbol"/>
      </w:rPr>
    </w:lvl>
    <w:lvl w:ilvl="6" w:tplc="BC72E8C6">
      <w:start w:val="1"/>
      <w:numFmt w:val="bullet"/>
      <w:lvlText w:val=""/>
      <w:lvlJc w:val="left"/>
      <w:pPr>
        <w:ind w:left="720" w:hanging="360"/>
      </w:pPr>
      <w:rPr>
        <w:rFonts w:ascii="Symbol" w:hAnsi="Symbol"/>
      </w:rPr>
    </w:lvl>
    <w:lvl w:ilvl="7" w:tplc="B3B80E54">
      <w:start w:val="1"/>
      <w:numFmt w:val="bullet"/>
      <w:lvlText w:val=""/>
      <w:lvlJc w:val="left"/>
      <w:pPr>
        <w:ind w:left="720" w:hanging="360"/>
      </w:pPr>
      <w:rPr>
        <w:rFonts w:ascii="Symbol" w:hAnsi="Symbol"/>
      </w:rPr>
    </w:lvl>
    <w:lvl w:ilvl="8" w:tplc="1D9063D8">
      <w:start w:val="1"/>
      <w:numFmt w:val="bullet"/>
      <w:lvlText w:val=""/>
      <w:lvlJc w:val="left"/>
      <w:pPr>
        <w:ind w:left="720" w:hanging="360"/>
      </w:pPr>
      <w:rPr>
        <w:rFonts w:ascii="Symbol" w:hAnsi="Symbol"/>
      </w:rPr>
    </w:lvl>
  </w:abstractNum>
  <w:abstractNum w:abstractNumId="8" w15:restartNumberingAfterBreak="0">
    <w:nsid w:val="17E71B9C"/>
    <w:multiLevelType w:val="hybridMultilevel"/>
    <w:tmpl w:val="7110E312"/>
    <w:lvl w:ilvl="0" w:tplc="DB96A0AC">
      <w:start w:val="1"/>
      <w:numFmt w:val="bullet"/>
      <w:pStyle w:val="CGC2025Bullet1"/>
      <w:lvlText w:val=""/>
      <w:lvlJc w:val="left"/>
      <w:pPr>
        <w:ind w:left="927" w:hanging="360"/>
      </w:pPr>
      <w:rPr>
        <w:rFonts w:ascii="Symbol" w:hAnsi="Symbol" w:hint="default"/>
        <w:color w:val="636466"/>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ABF4C41"/>
    <w:multiLevelType w:val="hybridMultilevel"/>
    <w:tmpl w:val="06AEC398"/>
    <w:lvl w:ilvl="0" w:tplc="4A1C6924">
      <w:start w:val="1"/>
      <w:numFmt w:val="lowerLetter"/>
      <w:lvlText w:val="(%1)"/>
      <w:lvlJc w:val="left"/>
      <w:pPr>
        <w:ind w:left="473" w:hanging="360"/>
      </w:pPr>
      <w:rPr>
        <w:rFonts w:hint="default"/>
      </w:rPr>
    </w:lvl>
    <w:lvl w:ilvl="1" w:tplc="0C090019" w:tentative="1">
      <w:start w:val="1"/>
      <w:numFmt w:val="lowerLetter"/>
      <w:lvlText w:val="%2."/>
      <w:lvlJc w:val="left"/>
      <w:pPr>
        <w:ind w:left="1193" w:hanging="360"/>
      </w:pPr>
    </w:lvl>
    <w:lvl w:ilvl="2" w:tplc="0C09001B" w:tentative="1">
      <w:start w:val="1"/>
      <w:numFmt w:val="lowerRoman"/>
      <w:lvlText w:val="%3."/>
      <w:lvlJc w:val="right"/>
      <w:pPr>
        <w:ind w:left="1913" w:hanging="180"/>
      </w:pPr>
    </w:lvl>
    <w:lvl w:ilvl="3" w:tplc="0C09000F" w:tentative="1">
      <w:start w:val="1"/>
      <w:numFmt w:val="decimal"/>
      <w:lvlText w:val="%4."/>
      <w:lvlJc w:val="left"/>
      <w:pPr>
        <w:ind w:left="2633" w:hanging="360"/>
      </w:pPr>
    </w:lvl>
    <w:lvl w:ilvl="4" w:tplc="0C090019" w:tentative="1">
      <w:start w:val="1"/>
      <w:numFmt w:val="lowerLetter"/>
      <w:lvlText w:val="%5."/>
      <w:lvlJc w:val="left"/>
      <w:pPr>
        <w:ind w:left="3353" w:hanging="360"/>
      </w:pPr>
    </w:lvl>
    <w:lvl w:ilvl="5" w:tplc="0C09001B" w:tentative="1">
      <w:start w:val="1"/>
      <w:numFmt w:val="lowerRoman"/>
      <w:lvlText w:val="%6."/>
      <w:lvlJc w:val="right"/>
      <w:pPr>
        <w:ind w:left="4073" w:hanging="180"/>
      </w:pPr>
    </w:lvl>
    <w:lvl w:ilvl="6" w:tplc="0C09000F" w:tentative="1">
      <w:start w:val="1"/>
      <w:numFmt w:val="decimal"/>
      <w:lvlText w:val="%7."/>
      <w:lvlJc w:val="left"/>
      <w:pPr>
        <w:ind w:left="4793" w:hanging="360"/>
      </w:pPr>
    </w:lvl>
    <w:lvl w:ilvl="7" w:tplc="0C090019" w:tentative="1">
      <w:start w:val="1"/>
      <w:numFmt w:val="lowerLetter"/>
      <w:lvlText w:val="%8."/>
      <w:lvlJc w:val="left"/>
      <w:pPr>
        <w:ind w:left="5513" w:hanging="360"/>
      </w:pPr>
    </w:lvl>
    <w:lvl w:ilvl="8" w:tplc="0C09001B" w:tentative="1">
      <w:start w:val="1"/>
      <w:numFmt w:val="lowerRoman"/>
      <w:lvlText w:val="%9."/>
      <w:lvlJc w:val="right"/>
      <w:pPr>
        <w:ind w:left="6233" w:hanging="180"/>
      </w:pPr>
    </w:lvl>
  </w:abstractNum>
  <w:abstractNum w:abstractNumId="10" w15:restartNumberingAfterBreak="0">
    <w:nsid w:val="207306C7"/>
    <w:multiLevelType w:val="hybridMultilevel"/>
    <w:tmpl w:val="607CDF98"/>
    <w:lvl w:ilvl="0" w:tplc="5EEAB07C">
      <w:start w:val="1"/>
      <w:numFmt w:val="bullet"/>
      <w:lvlText w:val=""/>
      <w:lvlJc w:val="left"/>
      <w:pPr>
        <w:ind w:left="720" w:hanging="360"/>
      </w:pPr>
      <w:rPr>
        <w:rFonts w:ascii="Symbol" w:hAnsi="Symbol"/>
      </w:rPr>
    </w:lvl>
    <w:lvl w:ilvl="1" w:tplc="245C4E04">
      <w:start w:val="1"/>
      <w:numFmt w:val="bullet"/>
      <w:lvlText w:val=""/>
      <w:lvlJc w:val="left"/>
      <w:pPr>
        <w:ind w:left="720" w:hanging="360"/>
      </w:pPr>
      <w:rPr>
        <w:rFonts w:ascii="Symbol" w:hAnsi="Symbol"/>
      </w:rPr>
    </w:lvl>
    <w:lvl w:ilvl="2" w:tplc="478C27C8">
      <w:start w:val="1"/>
      <w:numFmt w:val="bullet"/>
      <w:lvlText w:val=""/>
      <w:lvlJc w:val="left"/>
      <w:pPr>
        <w:ind w:left="720" w:hanging="360"/>
      </w:pPr>
      <w:rPr>
        <w:rFonts w:ascii="Symbol" w:hAnsi="Symbol"/>
      </w:rPr>
    </w:lvl>
    <w:lvl w:ilvl="3" w:tplc="8F2E71CC">
      <w:start w:val="1"/>
      <w:numFmt w:val="bullet"/>
      <w:lvlText w:val=""/>
      <w:lvlJc w:val="left"/>
      <w:pPr>
        <w:ind w:left="720" w:hanging="360"/>
      </w:pPr>
      <w:rPr>
        <w:rFonts w:ascii="Symbol" w:hAnsi="Symbol"/>
      </w:rPr>
    </w:lvl>
    <w:lvl w:ilvl="4" w:tplc="05BECB88">
      <w:start w:val="1"/>
      <w:numFmt w:val="bullet"/>
      <w:lvlText w:val=""/>
      <w:lvlJc w:val="left"/>
      <w:pPr>
        <w:ind w:left="720" w:hanging="360"/>
      </w:pPr>
      <w:rPr>
        <w:rFonts w:ascii="Symbol" w:hAnsi="Symbol"/>
      </w:rPr>
    </w:lvl>
    <w:lvl w:ilvl="5" w:tplc="C290ADEA">
      <w:start w:val="1"/>
      <w:numFmt w:val="bullet"/>
      <w:lvlText w:val=""/>
      <w:lvlJc w:val="left"/>
      <w:pPr>
        <w:ind w:left="720" w:hanging="360"/>
      </w:pPr>
      <w:rPr>
        <w:rFonts w:ascii="Symbol" w:hAnsi="Symbol"/>
      </w:rPr>
    </w:lvl>
    <w:lvl w:ilvl="6" w:tplc="7D2EAE44">
      <w:start w:val="1"/>
      <w:numFmt w:val="bullet"/>
      <w:lvlText w:val=""/>
      <w:lvlJc w:val="left"/>
      <w:pPr>
        <w:ind w:left="720" w:hanging="360"/>
      </w:pPr>
      <w:rPr>
        <w:rFonts w:ascii="Symbol" w:hAnsi="Symbol"/>
      </w:rPr>
    </w:lvl>
    <w:lvl w:ilvl="7" w:tplc="DFF8E32E">
      <w:start w:val="1"/>
      <w:numFmt w:val="bullet"/>
      <w:lvlText w:val=""/>
      <w:lvlJc w:val="left"/>
      <w:pPr>
        <w:ind w:left="720" w:hanging="360"/>
      </w:pPr>
      <w:rPr>
        <w:rFonts w:ascii="Symbol" w:hAnsi="Symbol"/>
      </w:rPr>
    </w:lvl>
    <w:lvl w:ilvl="8" w:tplc="E6588088">
      <w:start w:val="1"/>
      <w:numFmt w:val="bullet"/>
      <w:lvlText w:val=""/>
      <w:lvlJc w:val="left"/>
      <w:pPr>
        <w:ind w:left="720" w:hanging="360"/>
      </w:pPr>
      <w:rPr>
        <w:rFonts w:ascii="Symbol" w:hAnsi="Symbol"/>
      </w:rPr>
    </w:lvl>
  </w:abstractNum>
  <w:abstractNum w:abstractNumId="11" w15:restartNumberingAfterBreak="0">
    <w:nsid w:val="21F43500"/>
    <w:multiLevelType w:val="hybridMultilevel"/>
    <w:tmpl w:val="DAEC23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2AF3A2E"/>
    <w:multiLevelType w:val="multilevel"/>
    <w:tmpl w:val="CA8C0118"/>
    <w:lvl w:ilvl="0">
      <w:start w:val="1"/>
      <w:numFmt w:val="none"/>
      <w:lvlText w:val="%1."/>
      <w:lvlJc w:val="left"/>
      <w:pPr>
        <w:tabs>
          <w:tab w:val="num" w:pos="0"/>
        </w:tabs>
        <w:ind w:left="0" w:firstLine="0"/>
      </w:pPr>
      <w:rPr>
        <w:rFonts w:hint="default"/>
      </w:rPr>
    </w:lvl>
    <w:lvl w:ilvl="1">
      <w:start w:val="1"/>
      <w:numFmt w:val="none"/>
      <w:lvlText w:val="%2"/>
      <w:lvlJc w:val="left"/>
      <w:pPr>
        <w:tabs>
          <w:tab w:val="num" w:pos="720"/>
        </w:tabs>
        <w:ind w:left="720" w:firstLine="0"/>
      </w:pPr>
      <w:rPr>
        <w:rFonts w:hint="default"/>
      </w:rPr>
    </w:lvl>
    <w:lvl w:ilvl="2">
      <w:start w:val="1"/>
      <w:numFmt w:val="none"/>
      <w:lvlText w:val="%3"/>
      <w:lvlJc w:val="left"/>
      <w:pPr>
        <w:tabs>
          <w:tab w:val="num" w:pos="0"/>
        </w:tabs>
        <w:ind w:left="0" w:firstLine="0"/>
      </w:pPr>
      <w:rPr>
        <w:rFonts w:hint="default"/>
      </w:rPr>
    </w:lvl>
    <w:lvl w:ilvl="3">
      <w:start w:val="1"/>
      <w:numFmt w:val="none"/>
      <w:lvlText w:val="%4)"/>
      <w:lvlJc w:val="left"/>
      <w:pPr>
        <w:tabs>
          <w:tab w:val="num" w:pos="2160"/>
        </w:tabs>
        <w:ind w:left="2160" w:firstLine="0"/>
      </w:pPr>
      <w:rPr>
        <w:rFonts w:hint="default"/>
      </w:rPr>
    </w:lvl>
    <w:lvl w:ilvl="4">
      <w:start w:val="1"/>
      <w:numFmt w:val="none"/>
      <w:lvlText w:val="(%5)"/>
      <w:lvlJc w:val="left"/>
      <w:pPr>
        <w:tabs>
          <w:tab w:val="num" w:pos="288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pStyle w:val="Heading8"/>
      <w:lvlText w:val="(%8)"/>
      <w:lvlJc w:val="left"/>
      <w:pPr>
        <w:tabs>
          <w:tab w:val="num" w:pos="5400"/>
        </w:tabs>
        <w:ind w:left="5040" w:firstLine="0"/>
      </w:pPr>
      <w:rPr>
        <w:rFonts w:hint="default"/>
      </w:rPr>
    </w:lvl>
    <w:lvl w:ilvl="8">
      <w:start w:val="1"/>
      <w:numFmt w:val="lowerRoman"/>
      <w:pStyle w:val="Heading9"/>
      <w:lvlText w:val="(%9)"/>
      <w:lvlJc w:val="left"/>
      <w:pPr>
        <w:tabs>
          <w:tab w:val="num" w:pos="6120"/>
        </w:tabs>
        <w:ind w:left="5760" w:firstLine="0"/>
      </w:pPr>
      <w:rPr>
        <w:rFonts w:hint="default"/>
      </w:rPr>
    </w:lvl>
  </w:abstractNum>
  <w:abstractNum w:abstractNumId="13" w15:restartNumberingAfterBreak="0">
    <w:nsid w:val="26B107C1"/>
    <w:multiLevelType w:val="hybridMultilevel"/>
    <w:tmpl w:val="6996100E"/>
    <w:lvl w:ilvl="0" w:tplc="69EC0A0E">
      <w:start w:val="1"/>
      <w:numFmt w:val="bullet"/>
      <w:lvlText w:val=""/>
      <w:lvlJc w:val="left"/>
      <w:pPr>
        <w:ind w:left="720" w:hanging="360"/>
      </w:pPr>
      <w:rPr>
        <w:rFonts w:ascii="Symbol" w:hAnsi="Symbol"/>
      </w:rPr>
    </w:lvl>
    <w:lvl w:ilvl="1" w:tplc="07686398">
      <w:start w:val="1"/>
      <w:numFmt w:val="bullet"/>
      <w:lvlText w:val=""/>
      <w:lvlJc w:val="left"/>
      <w:pPr>
        <w:ind w:left="720" w:hanging="360"/>
      </w:pPr>
      <w:rPr>
        <w:rFonts w:ascii="Symbol" w:hAnsi="Symbol"/>
      </w:rPr>
    </w:lvl>
    <w:lvl w:ilvl="2" w:tplc="2BA6D5EA">
      <w:start w:val="1"/>
      <w:numFmt w:val="bullet"/>
      <w:lvlText w:val=""/>
      <w:lvlJc w:val="left"/>
      <w:pPr>
        <w:ind w:left="720" w:hanging="360"/>
      </w:pPr>
      <w:rPr>
        <w:rFonts w:ascii="Symbol" w:hAnsi="Symbol"/>
      </w:rPr>
    </w:lvl>
    <w:lvl w:ilvl="3" w:tplc="08981180">
      <w:start w:val="1"/>
      <w:numFmt w:val="bullet"/>
      <w:lvlText w:val=""/>
      <w:lvlJc w:val="left"/>
      <w:pPr>
        <w:ind w:left="720" w:hanging="360"/>
      </w:pPr>
      <w:rPr>
        <w:rFonts w:ascii="Symbol" w:hAnsi="Symbol"/>
      </w:rPr>
    </w:lvl>
    <w:lvl w:ilvl="4" w:tplc="A120DF64">
      <w:start w:val="1"/>
      <w:numFmt w:val="bullet"/>
      <w:lvlText w:val=""/>
      <w:lvlJc w:val="left"/>
      <w:pPr>
        <w:ind w:left="720" w:hanging="360"/>
      </w:pPr>
      <w:rPr>
        <w:rFonts w:ascii="Symbol" w:hAnsi="Symbol"/>
      </w:rPr>
    </w:lvl>
    <w:lvl w:ilvl="5" w:tplc="82F46A84">
      <w:start w:val="1"/>
      <w:numFmt w:val="bullet"/>
      <w:lvlText w:val=""/>
      <w:lvlJc w:val="left"/>
      <w:pPr>
        <w:ind w:left="720" w:hanging="360"/>
      </w:pPr>
      <w:rPr>
        <w:rFonts w:ascii="Symbol" w:hAnsi="Symbol"/>
      </w:rPr>
    </w:lvl>
    <w:lvl w:ilvl="6" w:tplc="D12064C0">
      <w:start w:val="1"/>
      <w:numFmt w:val="bullet"/>
      <w:lvlText w:val=""/>
      <w:lvlJc w:val="left"/>
      <w:pPr>
        <w:ind w:left="720" w:hanging="360"/>
      </w:pPr>
      <w:rPr>
        <w:rFonts w:ascii="Symbol" w:hAnsi="Symbol"/>
      </w:rPr>
    </w:lvl>
    <w:lvl w:ilvl="7" w:tplc="97261AF4">
      <w:start w:val="1"/>
      <w:numFmt w:val="bullet"/>
      <w:lvlText w:val=""/>
      <w:lvlJc w:val="left"/>
      <w:pPr>
        <w:ind w:left="720" w:hanging="360"/>
      </w:pPr>
      <w:rPr>
        <w:rFonts w:ascii="Symbol" w:hAnsi="Symbol"/>
      </w:rPr>
    </w:lvl>
    <w:lvl w:ilvl="8" w:tplc="64C441EE">
      <w:start w:val="1"/>
      <w:numFmt w:val="bullet"/>
      <w:lvlText w:val=""/>
      <w:lvlJc w:val="left"/>
      <w:pPr>
        <w:ind w:left="720" w:hanging="360"/>
      </w:pPr>
      <w:rPr>
        <w:rFonts w:ascii="Symbol" w:hAnsi="Symbol"/>
      </w:rPr>
    </w:lvl>
  </w:abstractNum>
  <w:abstractNum w:abstractNumId="14" w15:restartNumberingAfterBreak="0">
    <w:nsid w:val="27CB4551"/>
    <w:multiLevelType w:val="hybridMultilevel"/>
    <w:tmpl w:val="56B859C2"/>
    <w:lvl w:ilvl="0" w:tplc="FFFFFFFF">
      <w:start w:val="1"/>
      <w:numFmt w:val="lowerLetter"/>
      <w:lvlText w:val="(%1)"/>
      <w:lvlJc w:val="left"/>
      <w:pPr>
        <w:ind w:left="473" w:hanging="360"/>
      </w:pPr>
      <w:rPr>
        <w:rFonts w:hint="default"/>
      </w:rPr>
    </w:lvl>
    <w:lvl w:ilvl="1" w:tplc="FFFFFFFF" w:tentative="1">
      <w:start w:val="1"/>
      <w:numFmt w:val="lowerLetter"/>
      <w:lvlText w:val="%2."/>
      <w:lvlJc w:val="left"/>
      <w:pPr>
        <w:ind w:left="1193" w:hanging="360"/>
      </w:pPr>
    </w:lvl>
    <w:lvl w:ilvl="2" w:tplc="FFFFFFFF" w:tentative="1">
      <w:start w:val="1"/>
      <w:numFmt w:val="lowerRoman"/>
      <w:lvlText w:val="%3."/>
      <w:lvlJc w:val="right"/>
      <w:pPr>
        <w:ind w:left="1913" w:hanging="180"/>
      </w:pPr>
    </w:lvl>
    <w:lvl w:ilvl="3" w:tplc="FFFFFFFF" w:tentative="1">
      <w:start w:val="1"/>
      <w:numFmt w:val="decimal"/>
      <w:lvlText w:val="%4."/>
      <w:lvlJc w:val="left"/>
      <w:pPr>
        <w:ind w:left="2633" w:hanging="360"/>
      </w:pPr>
    </w:lvl>
    <w:lvl w:ilvl="4" w:tplc="FFFFFFFF" w:tentative="1">
      <w:start w:val="1"/>
      <w:numFmt w:val="lowerLetter"/>
      <w:lvlText w:val="%5."/>
      <w:lvlJc w:val="left"/>
      <w:pPr>
        <w:ind w:left="3353" w:hanging="360"/>
      </w:pPr>
    </w:lvl>
    <w:lvl w:ilvl="5" w:tplc="FFFFFFFF" w:tentative="1">
      <w:start w:val="1"/>
      <w:numFmt w:val="lowerRoman"/>
      <w:lvlText w:val="%6."/>
      <w:lvlJc w:val="right"/>
      <w:pPr>
        <w:ind w:left="4073" w:hanging="180"/>
      </w:pPr>
    </w:lvl>
    <w:lvl w:ilvl="6" w:tplc="FFFFFFFF" w:tentative="1">
      <w:start w:val="1"/>
      <w:numFmt w:val="decimal"/>
      <w:lvlText w:val="%7."/>
      <w:lvlJc w:val="left"/>
      <w:pPr>
        <w:ind w:left="4793" w:hanging="360"/>
      </w:pPr>
    </w:lvl>
    <w:lvl w:ilvl="7" w:tplc="FFFFFFFF" w:tentative="1">
      <w:start w:val="1"/>
      <w:numFmt w:val="lowerLetter"/>
      <w:lvlText w:val="%8."/>
      <w:lvlJc w:val="left"/>
      <w:pPr>
        <w:ind w:left="5513" w:hanging="360"/>
      </w:pPr>
    </w:lvl>
    <w:lvl w:ilvl="8" w:tplc="FFFFFFFF" w:tentative="1">
      <w:start w:val="1"/>
      <w:numFmt w:val="lowerRoman"/>
      <w:lvlText w:val="%9."/>
      <w:lvlJc w:val="right"/>
      <w:pPr>
        <w:ind w:left="6233" w:hanging="180"/>
      </w:pPr>
    </w:lvl>
  </w:abstractNum>
  <w:abstractNum w:abstractNumId="15" w15:restartNumberingAfterBreak="0">
    <w:nsid w:val="284B0243"/>
    <w:multiLevelType w:val="hybridMultilevel"/>
    <w:tmpl w:val="ABDC9036"/>
    <w:lvl w:ilvl="0" w:tplc="2C5075EE">
      <w:start w:val="1"/>
      <w:numFmt w:val="lowerLetter"/>
      <w:lvlText w:val="(%1)"/>
      <w:lvlJc w:val="left"/>
      <w:pPr>
        <w:ind w:left="473" w:hanging="360"/>
      </w:pPr>
      <w:rPr>
        <w:rFonts w:hint="default"/>
      </w:rPr>
    </w:lvl>
    <w:lvl w:ilvl="1" w:tplc="0C090019" w:tentative="1">
      <w:start w:val="1"/>
      <w:numFmt w:val="lowerLetter"/>
      <w:lvlText w:val="%2."/>
      <w:lvlJc w:val="left"/>
      <w:pPr>
        <w:ind w:left="1193" w:hanging="360"/>
      </w:pPr>
    </w:lvl>
    <w:lvl w:ilvl="2" w:tplc="0C09001B" w:tentative="1">
      <w:start w:val="1"/>
      <w:numFmt w:val="lowerRoman"/>
      <w:lvlText w:val="%3."/>
      <w:lvlJc w:val="right"/>
      <w:pPr>
        <w:ind w:left="1913" w:hanging="180"/>
      </w:pPr>
    </w:lvl>
    <w:lvl w:ilvl="3" w:tplc="0C09000F" w:tentative="1">
      <w:start w:val="1"/>
      <w:numFmt w:val="decimal"/>
      <w:lvlText w:val="%4."/>
      <w:lvlJc w:val="left"/>
      <w:pPr>
        <w:ind w:left="2633" w:hanging="360"/>
      </w:pPr>
    </w:lvl>
    <w:lvl w:ilvl="4" w:tplc="0C090019" w:tentative="1">
      <w:start w:val="1"/>
      <w:numFmt w:val="lowerLetter"/>
      <w:lvlText w:val="%5."/>
      <w:lvlJc w:val="left"/>
      <w:pPr>
        <w:ind w:left="3353" w:hanging="360"/>
      </w:pPr>
    </w:lvl>
    <w:lvl w:ilvl="5" w:tplc="0C09001B" w:tentative="1">
      <w:start w:val="1"/>
      <w:numFmt w:val="lowerRoman"/>
      <w:lvlText w:val="%6."/>
      <w:lvlJc w:val="right"/>
      <w:pPr>
        <w:ind w:left="4073" w:hanging="180"/>
      </w:pPr>
    </w:lvl>
    <w:lvl w:ilvl="6" w:tplc="0C09000F" w:tentative="1">
      <w:start w:val="1"/>
      <w:numFmt w:val="decimal"/>
      <w:lvlText w:val="%7."/>
      <w:lvlJc w:val="left"/>
      <w:pPr>
        <w:ind w:left="4793" w:hanging="360"/>
      </w:pPr>
    </w:lvl>
    <w:lvl w:ilvl="7" w:tplc="0C090019" w:tentative="1">
      <w:start w:val="1"/>
      <w:numFmt w:val="lowerLetter"/>
      <w:lvlText w:val="%8."/>
      <w:lvlJc w:val="left"/>
      <w:pPr>
        <w:ind w:left="5513" w:hanging="360"/>
      </w:pPr>
    </w:lvl>
    <w:lvl w:ilvl="8" w:tplc="0C09001B" w:tentative="1">
      <w:start w:val="1"/>
      <w:numFmt w:val="lowerRoman"/>
      <w:lvlText w:val="%9."/>
      <w:lvlJc w:val="right"/>
      <w:pPr>
        <w:ind w:left="6233" w:hanging="180"/>
      </w:pPr>
    </w:lvl>
  </w:abstractNum>
  <w:abstractNum w:abstractNumId="16" w15:restartNumberingAfterBreak="0">
    <w:nsid w:val="292D6431"/>
    <w:multiLevelType w:val="hybridMultilevel"/>
    <w:tmpl w:val="FA5C59DA"/>
    <w:lvl w:ilvl="0" w:tplc="D1040898">
      <w:numFmt w:val="bullet"/>
      <w:lvlText w:val="-"/>
      <w:lvlJc w:val="left"/>
      <w:pPr>
        <w:ind w:left="720" w:hanging="360"/>
      </w:pPr>
      <w:rPr>
        <w:rFonts w:ascii="Work Sans" w:eastAsia="Times New Roman" w:hAnsi="Work Sans" w:cs="Open Sans" w:hint="default"/>
        <w: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C8A637F"/>
    <w:multiLevelType w:val="hybridMultilevel"/>
    <w:tmpl w:val="87809C66"/>
    <w:lvl w:ilvl="0" w:tplc="612A049C">
      <w:start w:val="1"/>
      <w:numFmt w:val="decimal"/>
      <w:pStyle w:val="CGC2025Questionsnumbers2"/>
      <w:lvlText w:val="Q%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05A2F29"/>
    <w:multiLevelType w:val="hybridMultilevel"/>
    <w:tmpl w:val="720489BA"/>
    <w:lvl w:ilvl="0" w:tplc="A61AAA14">
      <w:start w:val="1"/>
      <w:numFmt w:val="decimal"/>
      <w:lvlText w:val="%1"/>
      <w:lvlJc w:val="left"/>
      <w:pPr>
        <w:ind w:left="720" w:hanging="360"/>
      </w:pPr>
      <w:rPr>
        <w:rFonts w:ascii="Open Sans Light" w:hAnsi="Open Sans Light" w:hint="default"/>
        <w:b w:val="0"/>
        <w:i w:val="0"/>
        <w:caps w:val="0"/>
        <w:strike w:val="0"/>
        <w:dstrike w:val="0"/>
        <w:vanish w:val="0"/>
        <w:color w:val="000000" w:themeColor="text1"/>
        <w:sz w:val="20"/>
        <w:vertAlign w:val="baseline"/>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BA161CF"/>
    <w:multiLevelType w:val="hybridMultilevel"/>
    <w:tmpl w:val="56B859C2"/>
    <w:lvl w:ilvl="0" w:tplc="7B585A44">
      <w:start w:val="1"/>
      <w:numFmt w:val="lowerLetter"/>
      <w:lvlText w:val="(%1)"/>
      <w:lvlJc w:val="left"/>
      <w:pPr>
        <w:ind w:left="473" w:hanging="360"/>
      </w:pPr>
      <w:rPr>
        <w:rFonts w:hint="default"/>
      </w:rPr>
    </w:lvl>
    <w:lvl w:ilvl="1" w:tplc="0C090019" w:tentative="1">
      <w:start w:val="1"/>
      <w:numFmt w:val="lowerLetter"/>
      <w:lvlText w:val="%2."/>
      <w:lvlJc w:val="left"/>
      <w:pPr>
        <w:ind w:left="1193" w:hanging="360"/>
      </w:pPr>
    </w:lvl>
    <w:lvl w:ilvl="2" w:tplc="0C09001B" w:tentative="1">
      <w:start w:val="1"/>
      <w:numFmt w:val="lowerRoman"/>
      <w:lvlText w:val="%3."/>
      <w:lvlJc w:val="right"/>
      <w:pPr>
        <w:ind w:left="1913" w:hanging="180"/>
      </w:pPr>
    </w:lvl>
    <w:lvl w:ilvl="3" w:tplc="0C09000F" w:tentative="1">
      <w:start w:val="1"/>
      <w:numFmt w:val="decimal"/>
      <w:lvlText w:val="%4."/>
      <w:lvlJc w:val="left"/>
      <w:pPr>
        <w:ind w:left="2633" w:hanging="360"/>
      </w:pPr>
    </w:lvl>
    <w:lvl w:ilvl="4" w:tplc="0C090019" w:tentative="1">
      <w:start w:val="1"/>
      <w:numFmt w:val="lowerLetter"/>
      <w:lvlText w:val="%5."/>
      <w:lvlJc w:val="left"/>
      <w:pPr>
        <w:ind w:left="3353" w:hanging="360"/>
      </w:pPr>
    </w:lvl>
    <w:lvl w:ilvl="5" w:tplc="0C09001B" w:tentative="1">
      <w:start w:val="1"/>
      <w:numFmt w:val="lowerRoman"/>
      <w:lvlText w:val="%6."/>
      <w:lvlJc w:val="right"/>
      <w:pPr>
        <w:ind w:left="4073" w:hanging="180"/>
      </w:pPr>
    </w:lvl>
    <w:lvl w:ilvl="6" w:tplc="0C09000F" w:tentative="1">
      <w:start w:val="1"/>
      <w:numFmt w:val="decimal"/>
      <w:lvlText w:val="%7."/>
      <w:lvlJc w:val="left"/>
      <w:pPr>
        <w:ind w:left="4793" w:hanging="360"/>
      </w:pPr>
    </w:lvl>
    <w:lvl w:ilvl="7" w:tplc="0C090019" w:tentative="1">
      <w:start w:val="1"/>
      <w:numFmt w:val="lowerLetter"/>
      <w:lvlText w:val="%8."/>
      <w:lvlJc w:val="left"/>
      <w:pPr>
        <w:ind w:left="5513" w:hanging="360"/>
      </w:pPr>
    </w:lvl>
    <w:lvl w:ilvl="8" w:tplc="0C09001B" w:tentative="1">
      <w:start w:val="1"/>
      <w:numFmt w:val="lowerRoman"/>
      <w:lvlText w:val="%9."/>
      <w:lvlJc w:val="right"/>
      <w:pPr>
        <w:ind w:left="6233" w:hanging="180"/>
      </w:pPr>
    </w:lvl>
  </w:abstractNum>
  <w:abstractNum w:abstractNumId="20" w15:restartNumberingAfterBreak="0">
    <w:nsid w:val="3F607E52"/>
    <w:multiLevelType w:val="hybridMultilevel"/>
    <w:tmpl w:val="ED743DEC"/>
    <w:lvl w:ilvl="0" w:tplc="02D04530">
      <w:start w:val="1"/>
      <w:numFmt w:val="bullet"/>
      <w:lvlText w:val=""/>
      <w:lvlJc w:val="left"/>
      <w:pPr>
        <w:ind w:left="720" w:hanging="360"/>
      </w:pPr>
      <w:rPr>
        <w:rFonts w:ascii="Symbol" w:hAnsi="Symbol"/>
      </w:rPr>
    </w:lvl>
    <w:lvl w:ilvl="1" w:tplc="C08C3A10">
      <w:start w:val="1"/>
      <w:numFmt w:val="bullet"/>
      <w:lvlText w:val=""/>
      <w:lvlJc w:val="left"/>
      <w:pPr>
        <w:ind w:left="720" w:hanging="360"/>
      </w:pPr>
      <w:rPr>
        <w:rFonts w:ascii="Symbol" w:hAnsi="Symbol"/>
      </w:rPr>
    </w:lvl>
    <w:lvl w:ilvl="2" w:tplc="C232B11E">
      <w:start w:val="1"/>
      <w:numFmt w:val="bullet"/>
      <w:lvlText w:val=""/>
      <w:lvlJc w:val="left"/>
      <w:pPr>
        <w:ind w:left="720" w:hanging="360"/>
      </w:pPr>
      <w:rPr>
        <w:rFonts w:ascii="Symbol" w:hAnsi="Symbol"/>
      </w:rPr>
    </w:lvl>
    <w:lvl w:ilvl="3" w:tplc="572E15CA">
      <w:start w:val="1"/>
      <w:numFmt w:val="bullet"/>
      <w:lvlText w:val=""/>
      <w:lvlJc w:val="left"/>
      <w:pPr>
        <w:ind w:left="720" w:hanging="360"/>
      </w:pPr>
      <w:rPr>
        <w:rFonts w:ascii="Symbol" w:hAnsi="Symbol"/>
      </w:rPr>
    </w:lvl>
    <w:lvl w:ilvl="4" w:tplc="5A0004FE">
      <w:start w:val="1"/>
      <w:numFmt w:val="bullet"/>
      <w:lvlText w:val=""/>
      <w:lvlJc w:val="left"/>
      <w:pPr>
        <w:ind w:left="720" w:hanging="360"/>
      </w:pPr>
      <w:rPr>
        <w:rFonts w:ascii="Symbol" w:hAnsi="Symbol"/>
      </w:rPr>
    </w:lvl>
    <w:lvl w:ilvl="5" w:tplc="C21A056C">
      <w:start w:val="1"/>
      <w:numFmt w:val="bullet"/>
      <w:lvlText w:val=""/>
      <w:lvlJc w:val="left"/>
      <w:pPr>
        <w:ind w:left="720" w:hanging="360"/>
      </w:pPr>
      <w:rPr>
        <w:rFonts w:ascii="Symbol" w:hAnsi="Symbol"/>
      </w:rPr>
    </w:lvl>
    <w:lvl w:ilvl="6" w:tplc="59C2F604">
      <w:start w:val="1"/>
      <w:numFmt w:val="bullet"/>
      <w:lvlText w:val=""/>
      <w:lvlJc w:val="left"/>
      <w:pPr>
        <w:ind w:left="720" w:hanging="360"/>
      </w:pPr>
      <w:rPr>
        <w:rFonts w:ascii="Symbol" w:hAnsi="Symbol"/>
      </w:rPr>
    </w:lvl>
    <w:lvl w:ilvl="7" w:tplc="B0C860A2">
      <w:start w:val="1"/>
      <w:numFmt w:val="bullet"/>
      <w:lvlText w:val=""/>
      <w:lvlJc w:val="left"/>
      <w:pPr>
        <w:ind w:left="720" w:hanging="360"/>
      </w:pPr>
      <w:rPr>
        <w:rFonts w:ascii="Symbol" w:hAnsi="Symbol"/>
      </w:rPr>
    </w:lvl>
    <w:lvl w:ilvl="8" w:tplc="93AA536E">
      <w:start w:val="1"/>
      <w:numFmt w:val="bullet"/>
      <w:lvlText w:val=""/>
      <w:lvlJc w:val="left"/>
      <w:pPr>
        <w:ind w:left="720" w:hanging="360"/>
      </w:pPr>
      <w:rPr>
        <w:rFonts w:ascii="Symbol" w:hAnsi="Symbol"/>
      </w:rPr>
    </w:lvl>
  </w:abstractNum>
  <w:abstractNum w:abstractNumId="21" w15:restartNumberingAfterBreak="0">
    <w:nsid w:val="47B52DA0"/>
    <w:multiLevelType w:val="multilevel"/>
    <w:tmpl w:val="A310237C"/>
    <w:styleLink w:val="CGCConsultQuestion"/>
    <w:lvl w:ilvl="0">
      <w:start w:val="1"/>
      <w:numFmt w:val="decimal"/>
      <w:lvlText w:val="Q%1."/>
      <w:lvlJc w:val="left"/>
      <w:pPr>
        <w:ind w:left="454" w:hanging="454"/>
      </w:pPr>
      <w:rPr>
        <w:rFonts w:ascii="Work Sans" w:hAnsi="Work Sans" w:hint="default"/>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48E8323C"/>
    <w:multiLevelType w:val="hybridMultilevel"/>
    <w:tmpl w:val="DCDEAD58"/>
    <w:lvl w:ilvl="0" w:tplc="A81812D4">
      <w:start w:val="1"/>
      <w:numFmt w:val="bullet"/>
      <w:lvlText w:val=""/>
      <w:lvlJc w:val="left"/>
      <w:pPr>
        <w:ind w:left="720" w:hanging="360"/>
      </w:pPr>
      <w:rPr>
        <w:rFonts w:ascii="Symbol" w:hAnsi="Symbol"/>
      </w:rPr>
    </w:lvl>
    <w:lvl w:ilvl="1" w:tplc="95100A54">
      <w:start w:val="1"/>
      <w:numFmt w:val="bullet"/>
      <w:lvlText w:val=""/>
      <w:lvlJc w:val="left"/>
      <w:pPr>
        <w:ind w:left="720" w:hanging="360"/>
      </w:pPr>
      <w:rPr>
        <w:rFonts w:ascii="Symbol" w:hAnsi="Symbol"/>
      </w:rPr>
    </w:lvl>
    <w:lvl w:ilvl="2" w:tplc="8A9C033A">
      <w:start w:val="1"/>
      <w:numFmt w:val="bullet"/>
      <w:lvlText w:val=""/>
      <w:lvlJc w:val="left"/>
      <w:pPr>
        <w:ind w:left="720" w:hanging="360"/>
      </w:pPr>
      <w:rPr>
        <w:rFonts w:ascii="Symbol" w:hAnsi="Symbol"/>
      </w:rPr>
    </w:lvl>
    <w:lvl w:ilvl="3" w:tplc="33A0CE3C">
      <w:start w:val="1"/>
      <w:numFmt w:val="bullet"/>
      <w:lvlText w:val=""/>
      <w:lvlJc w:val="left"/>
      <w:pPr>
        <w:ind w:left="720" w:hanging="360"/>
      </w:pPr>
      <w:rPr>
        <w:rFonts w:ascii="Symbol" w:hAnsi="Symbol"/>
      </w:rPr>
    </w:lvl>
    <w:lvl w:ilvl="4" w:tplc="8382A784">
      <w:start w:val="1"/>
      <w:numFmt w:val="bullet"/>
      <w:lvlText w:val=""/>
      <w:lvlJc w:val="left"/>
      <w:pPr>
        <w:ind w:left="720" w:hanging="360"/>
      </w:pPr>
      <w:rPr>
        <w:rFonts w:ascii="Symbol" w:hAnsi="Symbol"/>
      </w:rPr>
    </w:lvl>
    <w:lvl w:ilvl="5" w:tplc="179C02F4">
      <w:start w:val="1"/>
      <w:numFmt w:val="bullet"/>
      <w:lvlText w:val=""/>
      <w:lvlJc w:val="left"/>
      <w:pPr>
        <w:ind w:left="720" w:hanging="360"/>
      </w:pPr>
      <w:rPr>
        <w:rFonts w:ascii="Symbol" w:hAnsi="Symbol"/>
      </w:rPr>
    </w:lvl>
    <w:lvl w:ilvl="6" w:tplc="A0B48D42">
      <w:start w:val="1"/>
      <w:numFmt w:val="bullet"/>
      <w:lvlText w:val=""/>
      <w:lvlJc w:val="left"/>
      <w:pPr>
        <w:ind w:left="720" w:hanging="360"/>
      </w:pPr>
      <w:rPr>
        <w:rFonts w:ascii="Symbol" w:hAnsi="Symbol"/>
      </w:rPr>
    </w:lvl>
    <w:lvl w:ilvl="7" w:tplc="86FA9FAA">
      <w:start w:val="1"/>
      <w:numFmt w:val="bullet"/>
      <w:lvlText w:val=""/>
      <w:lvlJc w:val="left"/>
      <w:pPr>
        <w:ind w:left="720" w:hanging="360"/>
      </w:pPr>
      <w:rPr>
        <w:rFonts w:ascii="Symbol" w:hAnsi="Symbol"/>
      </w:rPr>
    </w:lvl>
    <w:lvl w:ilvl="8" w:tplc="DE9A5BEE">
      <w:start w:val="1"/>
      <w:numFmt w:val="bullet"/>
      <w:lvlText w:val=""/>
      <w:lvlJc w:val="left"/>
      <w:pPr>
        <w:ind w:left="720" w:hanging="360"/>
      </w:pPr>
      <w:rPr>
        <w:rFonts w:ascii="Symbol" w:hAnsi="Symbol"/>
      </w:rPr>
    </w:lvl>
  </w:abstractNum>
  <w:abstractNum w:abstractNumId="23" w15:restartNumberingAfterBreak="0">
    <w:nsid w:val="4CDF4199"/>
    <w:multiLevelType w:val="hybridMultilevel"/>
    <w:tmpl w:val="99062688"/>
    <w:lvl w:ilvl="0" w:tplc="F3F48994">
      <w:start w:val="1"/>
      <w:numFmt w:val="bullet"/>
      <w:pStyle w:val="CGCQuotationBullet"/>
      <w:lvlText w:val=""/>
      <w:lvlJc w:val="left"/>
      <w:pPr>
        <w:tabs>
          <w:tab w:val="num" w:pos="1701"/>
        </w:tabs>
        <w:ind w:left="1701" w:hanging="567"/>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E1E2A55"/>
    <w:multiLevelType w:val="multilevel"/>
    <w:tmpl w:val="DCA09BBC"/>
    <w:lvl w:ilvl="0">
      <w:start w:val="1"/>
      <w:numFmt w:val="decimal"/>
      <w:pStyle w:val="CGC2025QuestionNumbers"/>
      <w:lvlText w:val="Q%1."/>
      <w:lvlJc w:val="left"/>
      <w:pPr>
        <w:ind w:left="454" w:hanging="454"/>
      </w:p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52486156"/>
    <w:multiLevelType w:val="hybridMultilevel"/>
    <w:tmpl w:val="B4B4E18C"/>
    <w:lvl w:ilvl="0" w:tplc="04E8AA5A">
      <w:start w:val="1"/>
      <w:numFmt w:val="bullet"/>
      <w:pStyle w:val="CGCBullet1"/>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6" w15:restartNumberingAfterBreak="0">
    <w:nsid w:val="52EC7905"/>
    <w:multiLevelType w:val="multilevel"/>
    <w:tmpl w:val="217E6940"/>
    <w:lvl w:ilvl="0">
      <w:start w:val="2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3774625"/>
    <w:multiLevelType w:val="multilevel"/>
    <w:tmpl w:val="8EACBD80"/>
    <w:lvl w:ilvl="0">
      <w:start w:val="28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B4825A6"/>
    <w:multiLevelType w:val="hybridMultilevel"/>
    <w:tmpl w:val="2D8220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1C20D2C"/>
    <w:multiLevelType w:val="hybridMultilevel"/>
    <w:tmpl w:val="08A02520"/>
    <w:lvl w:ilvl="0" w:tplc="9066FB6C">
      <w:start w:val="1"/>
      <w:numFmt w:val="bullet"/>
      <w:lvlText w:val=""/>
      <w:lvlJc w:val="left"/>
      <w:pPr>
        <w:ind w:left="720" w:hanging="360"/>
      </w:pPr>
      <w:rPr>
        <w:rFonts w:ascii="Symbol" w:hAnsi="Symbol"/>
      </w:rPr>
    </w:lvl>
    <w:lvl w:ilvl="1" w:tplc="ED7653C4">
      <w:start w:val="1"/>
      <w:numFmt w:val="bullet"/>
      <w:lvlText w:val=""/>
      <w:lvlJc w:val="left"/>
      <w:pPr>
        <w:ind w:left="720" w:hanging="360"/>
      </w:pPr>
      <w:rPr>
        <w:rFonts w:ascii="Symbol" w:hAnsi="Symbol"/>
      </w:rPr>
    </w:lvl>
    <w:lvl w:ilvl="2" w:tplc="14D204E8">
      <w:start w:val="1"/>
      <w:numFmt w:val="bullet"/>
      <w:lvlText w:val=""/>
      <w:lvlJc w:val="left"/>
      <w:pPr>
        <w:ind w:left="720" w:hanging="360"/>
      </w:pPr>
      <w:rPr>
        <w:rFonts w:ascii="Symbol" w:hAnsi="Symbol"/>
      </w:rPr>
    </w:lvl>
    <w:lvl w:ilvl="3" w:tplc="A1BA03BE">
      <w:start w:val="1"/>
      <w:numFmt w:val="bullet"/>
      <w:lvlText w:val=""/>
      <w:lvlJc w:val="left"/>
      <w:pPr>
        <w:ind w:left="720" w:hanging="360"/>
      </w:pPr>
      <w:rPr>
        <w:rFonts w:ascii="Symbol" w:hAnsi="Symbol"/>
      </w:rPr>
    </w:lvl>
    <w:lvl w:ilvl="4" w:tplc="F276553A">
      <w:start w:val="1"/>
      <w:numFmt w:val="bullet"/>
      <w:lvlText w:val=""/>
      <w:lvlJc w:val="left"/>
      <w:pPr>
        <w:ind w:left="720" w:hanging="360"/>
      </w:pPr>
      <w:rPr>
        <w:rFonts w:ascii="Symbol" w:hAnsi="Symbol"/>
      </w:rPr>
    </w:lvl>
    <w:lvl w:ilvl="5" w:tplc="FD6CC358">
      <w:start w:val="1"/>
      <w:numFmt w:val="bullet"/>
      <w:lvlText w:val=""/>
      <w:lvlJc w:val="left"/>
      <w:pPr>
        <w:ind w:left="720" w:hanging="360"/>
      </w:pPr>
      <w:rPr>
        <w:rFonts w:ascii="Symbol" w:hAnsi="Symbol"/>
      </w:rPr>
    </w:lvl>
    <w:lvl w:ilvl="6" w:tplc="91329060">
      <w:start w:val="1"/>
      <w:numFmt w:val="bullet"/>
      <w:lvlText w:val=""/>
      <w:lvlJc w:val="left"/>
      <w:pPr>
        <w:ind w:left="720" w:hanging="360"/>
      </w:pPr>
      <w:rPr>
        <w:rFonts w:ascii="Symbol" w:hAnsi="Symbol"/>
      </w:rPr>
    </w:lvl>
    <w:lvl w:ilvl="7" w:tplc="386AA63C">
      <w:start w:val="1"/>
      <w:numFmt w:val="bullet"/>
      <w:lvlText w:val=""/>
      <w:lvlJc w:val="left"/>
      <w:pPr>
        <w:ind w:left="720" w:hanging="360"/>
      </w:pPr>
      <w:rPr>
        <w:rFonts w:ascii="Symbol" w:hAnsi="Symbol"/>
      </w:rPr>
    </w:lvl>
    <w:lvl w:ilvl="8" w:tplc="E0B8A572">
      <w:start w:val="1"/>
      <w:numFmt w:val="bullet"/>
      <w:lvlText w:val=""/>
      <w:lvlJc w:val="left"/>
      <w:pPr>
        <w:ind w:left="720" w:hanging="360"/>
      </w:pPr>
      <w:rPr>
        <w:rFonts w:ascii="Symbol" w:hAnsi="Symbol"/>
      </w:rPr>
    </w:lvl>
  </w:abstractNum>
  <w:abstractNum w:abstractNumId="30" w15:restartNumberingAfterBreak="0">
    <w:nsid w:val="627C6A46"/>
    <w:multiLevelType w:val="multilevel"/>
    <w:tmpl w:val="27206854"/>
    <w:lvl w:ilvl="0">
      <w:start w:val="1"/>
      <w:numFmt w:val="decimal"/>
      <w:pStyle w:val="BodyCopyWorkSans10"/>
      <w:lvlText w:val="Q%1."/>
      <w:lvlJc w:val="left"/>
      <w:pPr>
        <w:ind w:left="454" w:hanging="454"/>
      </w:pPr>
      <w:rPr>
        <w:rFonts w:ascii="Work Sans" w:hAnsi="Work Sans" w:hint="default"/>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666C0E05"/>
    <w:multiLevelType w:val="hybridMultilevel"/>
    <w:tmpl w:val="F5A0ADCA"/>
    <w:lvl w:ilvl="0" w:tplc="B856458C">
      <w:start w:val="1"/>
      <w:numFmt w:val="bullet"/>
      <w:lvlText w:val=""/>
      <w:lvlJc w:val="left"/>
      <w:pPr>
        <w:ind w:left="720" w:hanging="360"/>
      </w:pPr>
      <w:rPr>
        <w:rFonts w:ascii="Symbol" w:hAnsi="Symbol"/>
      </w:rPr>
    </w:lvl>
    <w:lvl w:ilvl="1" w:tplc="56DEDE56">
      <w:start w:val="1"/>
      <w:numFmt w:val="bullet"/>
      <w:lvlText w:val=""/>
      <w:lvlJc w:val="left"/>
      <w:pPr>
        <w:ind w:left="720" w:hanging="360"/>
      </w:pPr>
      <w:rPr>
        <w:rFonts w:ascii="Symbol" w:hAnsi="Symbol"/>
      </w:rPr>
    </w:lvl>
    <w:lvl w:ilvl="2" w:tplc="1F880584">
      <w:start w:val="1"/>
      <w:numFmt w:val="bullet"/>
      <w:lvlText w:val=""/>
      <w:lvlJc w:val="left"/>
      <w:pPr>
        <w:ind w:left="720" w:hanging="360"/>
      </w:pPr>
      <w:rPr>
        <w:rFonts w:ascii="Symbol" w:hAnsi="Symbol"/>
      </w:rPr>
    </w:lvl>
    <w:lvl w:ilvl="3" w:tplc="DDBAB914">
      <w:start w:val="1"/>
      <w:numFmt w:val="bullet"/>
      <w:lvlText w:val=""/>
      <w:lvlJc w:val="left"/>
      <w:pPr>
        <w:ind w:left="720" w:hanging="360"/>
      </w:pPr>
      <w:rPr>
        <w:rFonts w:ascii="Symbol" w:hAnsi="Symbol"/>
      </w:rPr>
    </w:lvl>
    <w:lvl w:ilvl="4" w:tplc="CCEE70FC">
      <w:start w:val="1"/>
      <w:numFmt w:val="bullet"/>
      <w:lvlText w:val=""/>
      <w:lvlJc w:val="left"/>
      <w:pPr>
        <w:ind w:left="720" w:hanging="360"/>
      </w:pPr>
      <w:rPr>
        <w:rFonts w:ascii="Symbol" w:hAnsi="Symbol"/>
      </w:rPr>
    </w:lvl>
    <w:lvl w:ilvl="5" w:tplc="10364F76">
      <w:start w:val="1"/>
      <w:numFmt w:val="bullet"/>
      <w:lvlText w:val=""/>
      <w:lvlJc w:val="left"/>
      <w:pPr>
        <w:ind w:left="720" w:hanging="360"/>
      </w:pPr>
      <w:rPr>
        <w:rFonts w:ascii="Symbol" w:hAnsi="Symbol"/>
      </w:rPr>
    </w:lvl>
    <w:lvl w:ilvl="6" w:tplc="DB446D9C">
      <w:start w:val="1"/>
      <w:numFmt w:val="bullet"/>
      <w:lvlText w:val=""/>
      <w:lvlJc w:val="left"/>
      <w:pPr>
        <w:ind w:left="720" w:hanging="360"/>
      </w:pPr>
      <w:rPr>
        <w:rFonts w:ascii="Symbol" w:hAnsi="Symbol"/>
      </w:rPr>
    </w:lvl>
    <w:lvl w:ilvl="7" w:tplc="8B6067BA">
      <w:start w:val="1"/>
      <w:numFmt w:val="bullet"/>
      <w:lvlText w:val=""/>
      <w:lvlJc w:val="left"/>
      <w:pPr>
        <w:ind w:left="720" w:hanging="360"/>
      </w:pPr>
      <w:rPr>
        <w:rFonts w:ascii="Symbol" w:hAnsi="Symbol"/>
      </w:rPr>
    </w:lvl>
    <w:lvl w:ilvl="8" w:tplc="CF34818C">
      <w:start w:val="1"/>
      <w:numFmt w:val="bullet"/>
      <w:lvlText w:val=""/>
      <w:lvlJc w:val="left"/>
      <w:pPr>
        <w:ind w:left="720" w:hanging="360"/>
      </w:pPr>
      <w:rPr>
        <w:rFonts w:ascii="Symbol" w:hAnsi="Symbol"/>
      </w:rPr>
    </w:lvl>
  </w:abstractNum>
  <w:abstractNum w:abstractNumId="32" w15:restartNumberingAfterBreak="0">
    <w:nsid w:val="66B56961"/>
    <w:multiLevelType w:val="hybridMultilevel"/>
    <w:tmpl w:val="4BB6122E"/>
    <w:lvl w:ilvl="0" w:tplc="8A0205E8">
      <w:start w:val="1"/>
      <w:numFmt w:val="bullet"/>
      <w:pStyle w:val="CGCQuoteBullet"/>
      <w:lvlText w:val=""/>
      <w:lvlJc w:val="left"/>
      <w:pPr>
        <w:ind w:left="1741" w:hanging="360"/>
      </w:pPr>
      <w:rPr>
        <w:rFonts w:ascii="Symbol" w:hAnsi="Symbol" w:hint="default"/>
        <w:color w:val="5CA5C2"/>
      </w:rPr>
    </w:lvl>
    <w:lvl w:ilvl="1" w:tplc="0C090003" w:tentative="1">
      <w:start w:val="1"/>
      <w:numFmt w:val="bullet"/>
      <w:lvlText w:val="o"/>
      <w:lvlJc w:val="left"/>
      <w:pPr>
        <w:ind w:left="2461" w:hanging="360"/>
      </w:pPr>
      <w:rPr>
        <w:rFonts w:ascii="Courier New" w:hAnsi="Courier New" w:cs="Courier New" w:hint="default"/>
      </w:rPr>
    </w:lvl>
    <w:lvl w:ilvl="2" w:tplc="0C090005" w:tentative="1">
      <w:start w:val="1"/>
      <w:numFmt w:val="bullet"/>
      <w:lvlText w:val=""/>
      <w:lvlJc w:val="left"/>
      <w:pPr>
        <w:ind w:left="3181" w:hanging="360"/>
      </w:pPr>
      <w:rPr>
        <w:rFonts w:ascii="Wingdings" w:hAnsi="Wingdings" w:hint="default"/>
      </w:rPr>
    </w:lvl>
    <w:lvl w:ilvl="3" w:tplc="0C090001" w:tentative="1">
      <w:start w:val="1"/>
      <w:numFmt w:val="bullet"/>
      <w:lvlText w:val=""/>
      <w:lvlJc w:val="left"/>
      <w:pPr>
        <w:ind w:left="3901" w:hanging="360"/>
      </w:pPr>
      <w:rPr>
        <w:rFonts w:ascii="Symbol" w:hAnsi="Symbol" w:hint="default"/>
      </w:rPr>
    </w:lvl>
    <w:lvl w:ilvl="4" w:tplc="0C090003" w:tentative="1">
      <w:start w:val="1"/>
      <w:numFmt w:val="bullet"/>
      <w:lvlText w:val="o"/>
      <w:lvlJc w:val="left"/>
      <w:pPr>
        <w:ind w:left="4621" w:hanging="360"/>
      </w:pPr>
      <w:rPr>
        <w:rFonts w:ascii="Courier New" w:hAnsi="Courier New" w:cs="Courier New" w:hint="default"/>
      </w:rPr>
    </w:lvl>
    <w:lvl w:ilvl="5" w:tplc="0C090005" w:tentative="1">
      <w:start w:val="1"/>
      <w:numFmt w:val="bullet"/>
      <w:lvlText w:val=""/>
      <w:lvlJc w:val="left"/>
      <w:pPr>
        <w:ind w:left="5341" w:hanging="360"/>
      </w:pPr>
      <w:rPr>
        <w:rFonts w:ascii="Wingdings" w:hAnsi="Wingdings" w:hint="default"/>
      </w:rPr>
    </w:lvl>
    <w:lvl w:ilvl="6" w:tplc="0C090001" w:tentative="1">
      <w:start w:val="1"/>
      <w:numFmt w:val="bullet"/>
      <w:lvlText w:val=""/>
      <w:lvlJc w:val="left"/>
      <w:pPr>
        <w:ind w:left="6061" w:hanging="360"/>
      </w:pPr>
      <w:rPr>
        <w:rFonts w:ascii="Symbol" w:hAnsi="Symbol" w:hint="default"/>
      </w:rPr>
    </w:lvl>
    <w:lvl w:ilvl="7" w:tplc="0C090003" w:tentative="1">
      <w:start w:val="1"/>
      <w:numFmt w:val="bullet"/>
      <w:lvlText w:val="o"/>
      <w:lvlJc w:val="left"/>
      <w:pPr>
        <w:ind w:left="6781" w:hanging="360"/>
      </w:pPr>
      <w:rPr>
        <w:rFonts w:ascii="Courier New" w:hAnsi="Courier New" w:cs="Courier New" w:hint="default"/>
      </w:rPr>
    </w:lvl>
    <w:lvl w:ilvl="8" w:tplc="0C090005" w:tentative="1">
      <w:start w:val="1"/>
      <w:numFmt w:val="bullet"/>
      <w:lvlText w:val=""/>
      <w:lvlJc w:val="left"/>
      <w:pPr>
        <w:ind w:left="7501" w:hanging="360"/>
      </w:pPr>
      <w:rPr>
        <w:rFonts w:ascii="Wingdings" w:hAnsi="Wingdings" w:hint="default"/>
      </w:rPr>
    </w:lvl>
  </w:abstractNum>
  <w:abstractNum w:abstractNumId="33" w15:restartNumberingAfterBreak="0">
    <w:nsid w:val="6D517EA6"/>
    <w:multiLevelType w:val="multilevel"/>
    <w:tmpl w:val="8CEE0058"/>
    <w:lvl w:ilvl="0">
      <w:start w:val="1"/>
      <w:numFmt w:val="bullet"/>
      <w:pStyle w:val="CGCBulletlist"/>
      <w:lvlText w:val=""/>
      <w:lvlJc w:val="left"/>
      <w:pPr>
        <w:tabs>
          <w:tab w:val="num" w:pos="927"/>
        </w:tabs>
        <w:ind w:left="927" w:hanging="360"/>
      </w:pPr>
      <w:rPr>
        <w:rFonts w:ascii="Symbol" w:hAnsi="Symbol" w:hint="default"/>
      </w:rPr>
    </w:lvl>
    <w:lvl w:ilvl="1">
      <w:start w:val="1"/>
      <w:numFmt w:val="lowerLetter"/>
      <w:lvlText w:val="%2)"/>
      <w:lvlJc w:val="left"/>
      <w:pPr>
        <w:tabs>
          <w:tab w:val="num" w:pos="1593"/>
        </w:tabs>
        <w:ind w:left="1593" w:hanging="360"/>
      </w:pPr>
      <w:rPr>
        <w:rFonts w:hint="default"/>
      </w:rPr>
    </w:lvl>
    <w:lvl w:ilvl="2">
      <w:start w:val="1"/>
      <w:numFmt w:val="lowerRoman"/>
      <w:lvlText w:val="%3)"/>
      <w:lvlJc w:val="left"/>
      <w:pPr>
        <w:tabs>
          <w:tab w:val="num" w:pos="1953"/>
        </w:tabs>
        <w:ind w:left="1953" w:hanging="360"/>
      </w:pPr>
      <w:rPr>
        <w:rFonts w:hint="default"/>
      </w:rPr>
    </w:lvl>
    <w:lvl w:ilvl="3">
      <w:start w:val="1"/>
      <w:numFmt w:val="decimal"/>
      <w:lvlText w:val="(%4)"/>
      <w:lvlJc w:val="left"/>
      <w:pPr>
        <w:tabs>
          <w:tab w:val="num" w:pos="2313"/>
        </w:tabs>
        <w:ind w:left="2313" w:hanging="360"/>
      </w:pPr>
      <w:rPr>
        <w:rFonts w:hint="default"/>
      </w:rPr>
    </w:lvl>
    <w:lvl w:ilvl="4">
      <w:start w:val="1"/>
      <w:numFmt w:val="lowerLetter"/>
      <w:lvlText w:val="(%5)"/>
      <w:lvlJc w:val="left"/>
      <w:pPr>
        <w:tabs>
          <w:tab w:val="num" w:pos="2673"/>
        </w:tabs>
        <w:ind w:left="2673" w:hanging="360"/>
      </w:pPr>
      <w:rPr>
        <w:rFonts w:hint="default"/>
      </w:rPr>
    </w:lvl>
    <w:lvl w:ilvl="5">
      <w:start w:val="1"/>
      <w:numFmt w:val="lowerRoman"/>
      <w:lvlText w:val="(%6)"/>
      <w:lvlJc w:val="left"/>
      <w:pPr>
        <w:tabs>
          <w:tab w:val="num" w:pos="3033"/>
        </w:tabs>
        <w:ind w:left="3033" w:hanging="360"/>
      </w:pPr>
      <w:rPr>
        <w:rFonts w:hint="default"/>
      </w:rPr>
    </w:lvl>
    <w:lvl w:ilvl="6">
      <w:start w:val="1"/>
      <w:numFmt w:val="decimal"/>
      <w:lvlText w:val="%7."/>
      <w:lvlJc w:val="left"/>
      <w:pPr>
        <w:tabs>
          <w:tab w:val="num" w:pos="3393"/>
        </w:tabs>
        <w:ind w:left="3393" w:hanging="360"/>
      </w:pPr>
      <w:rPr>
        <w:rFonts w:hint="default"/>
      </w:rPr>
    </w:lvl>
    <w:lvl w:ilvl="7">
      <w:start w:val="1"/>
      <w:numFmt w:val="lowerLetter"/>
      <w:lvlText w:val="%8."/>
      <w:lvlJc w:val="left"/>
      <w:pPr>
        <w:tabs>
          <w:tab w:val="num" w:pos="3753"/>
        </w:tabs>
        <w:ind w:left="3753" w:hanging="360"/>
      </w:pPr>
      <w:rPr>
        <w:rFonts w:hint="default"/>
      </w:rPr>
    </w:lvl>
    <w:lvl w:ilvl="8">
      <w:start w:val="1"/>
      <w:numFmt w:val="lowerRoman"/>
      <w:lvlText w:val="%9."/>
      <w:lvlJc w:val="left"/>
      <w:pPr>
        <w:tabs>
          <w:tab w:val="num" w:pos="4113"/>
        </w:tabs>
        <w:ind w:left="4113" w:hanging="360"/>
      </w:pPr>
      <w:rPr>
        <w:rFonts w:hint="default"/>
      </w:rPr>
    </w:lvl>
  </w:abstractNum>
  <w:abstractNum w:abstractNumId="34" w15:restartNumberingAfterBreak="0">
    <w:nsid w:val="77D62F87"/>
    <w:multiLevelType w:val="hybridMultilevel"/>
    <w:tmpl w:val="E332B1EE"/>
    <w:lvl w:ilvl="0" w:tplc="7898E74C">
      <w:start w:val="1"/>
      <w:numFmt w:val="bullet"/>
      <w:pStyle w:val="CGCSubbulletlist"/>
      <w:lvlText w:val=""/>
      <w:lvlJc w:val="left"/>
      <w:pPr>
        <w:tabs>
          <w:tab w:val="num" w:pos="927"/>
        </w:tabs>
        <w:ind w:left="1134" w:firstLine="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16cid:durableId="1649357354">
    <w:abstractNumId w:val="12"/>
  </w:num>
  <w:num w:numId="2" w16cid:durableId="1003897054">
    <w:abstractNumId w:val="34"/>
  </w:num>
  <w:num w:numId="3" w16cid:durableId="1334529044">
    <w:abstractNumId w:val="8"/>
  </w:num>
  <w:num w:numId="4" w16cid:durableId="1514761234">
    <w:abstractNumId w:val="5"/>
  </w:num>
  <w:num w:numId="5" w16cid:durableId="920797300">
    <w:abstractNumId w:val="0"/>
  </w:num>
  <w:num w:numId="6" w16cid:durableId="1807814447">
    <w:abstractNumId w:val="32"/>
  </w:num>
  <w:num w:numId="7" w16cid:durableId="801770153">
    <w:abstractNumId w:val="18"/>
  </w:num>
  <w:num w:numId="8" w16cid:durableId="1737627722">
    <w:abstractNumId w:val="33"/>
  </w:num>
  <w:num w:numId="9" w16cid:durableId="176697617">
    <w:abstractNumId w:val="4"/>
  </w:num>
  <w:num w:numId="10" w16cid:durableId="1408111535">
    <w:abstractNumId w:val="21"/>
  </w:num>
  <w:num w:numId="11" w16cid:durableId="2080126907">
    <w:abstractNumId w:val="24"/>
  </w:num>
  <w:num w:numId="12" w16cid:durableId="58332428">
    <w:abstractNumId w:val="17"/>
  </w:num>
  <w:num w:numId="13" w16cid:durableId="522092457">
    <w:abstractNumId w:val="30"/>
  </w:num>
  <w:num w:numId="14" w16cid:durableId="1594438827">
    <w:abstractNumId w:val="25"/>
  </w:num>
  <w:num w:numId="15" w16cid:durableId="1200583849">
    <w:abstractNumId w:val="28"/>
  </w:num>
  <w:num w:numId="16" w16cid:durableId="52854286">
    <w:abstractNumId w:val="11"/>
  </w:num>
  <w:num w:numId="17" w16cid:durableId="128670527">
    <w:abstractNumId w:val="23"/>
  </w:num>
  <w:num w:numId="18" w16cid:durableId="1538620616">
    <w:abstractNumId w:val="3"/>
  </w:num>
  <w:num w:numId="19" w16cid:durableId="2141340525">
    <w:abstractNumId w:val="26"/>
  </w:num>
  <w:num w:numId="20" w16cid:durableId="1727296794">
    <w:abstractNumId w:val="6"/>
  </w:num>
  <w:num w:numId="21" w16cid:durableId="870339183">
    <w:abstractNumId w:val="27"/>
  </w:num>
  <w:num w:numId="22" w16cid:durableId="108063888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60419492">
    <w:abstractNumId w:val="15"/>
  </w:num>
  <w:num w:numId="24" w16cid:durableId="2139956162">
    <w:abstractNumId w:val="4"/>
  </w:num>
  <w:num w:numId="25" w16cid:durableId="715543067">
    <w:abstractNumId w:val="9"/>
  </w:num>
  <w:num w:numId="26" w16cid:durableId="635838613">
    <w:abstractNumId w:val="4"/>
  </w:num>
  <w:num w:numId="27" w16cid:durableId="347023053">
    <w:abstractNumId w:val="4"/>
  </w:num>
  <w:num w:numId="28" w16cid:durableId="1001468714">
    <w:abstractNumId w:val="1"/>
  </w:num>
  <w:num w:numId="29" w16cid:durableId="534540108">
    <w:abstractNumId w:val="4"/>
  </w:num>
  <w:num w:numId="30" w16cid:durableId="1107122218">
    <w:abstractNumId w:val="2"/>
  </w:num>
  <w:num w:numId="31" w16cid:durableId="44070311">
    <w:abstractNumId w:val="13"/>
  </w:num>
  <w:num w:numId="32" w16cid:durableId="1639841793">
    <w:abstractNumId w:val="7"/>
  </w:num>
  <w:num w:numId="33" w16cid:durableId="1091313591">
    <w:abstractNumId w:val="29"/>
  </w:num>
  <w:num w:numId="34" w16cid:durableId="637417877">
    <w:abstractNumId w:val="10"/>
  </w:num>
  <w:num w:numId="35" w16cid:durableId="415250894">
    <w:abstractNumId w:val="22"/>
  </w:num>
  <w:num w:numId="36" w16cid:durableId="143203459">
    <w:abstractNumId w:val="20"/>
  </w:num>
  <w:num w:numId="37" w16cid:durableId="1026563950">
    <w:abstractNumId w:val="31"/>
  </w:num>
  <w:num w:numId="38" w16cid:durableId="22303398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141266889">
    <w:abstractNumId w:val="19"/>
  </w:num>
  <w:num w:numId="40" w16cid:durableId="1920476829">
    <w:abstractNumId w:val="14"/>
  </w:num>
  <w:num w:numId="41" w16cid:durableId="647251941">
    <w:abstractNumId w:val="16"/>
  </w:num>
  <w:num w:numId="42" w16cid:durableId="1159618965">
    <w:abstractNumId w:val="4"/>
  </w:num>
  <w:num w:numId="43" w16cid:durableId="912280380">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57"/>
  <w:drawingGridVerticalSpacing w:val="57"/>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980"/>
    <w:rsid w:val="00000219"/>
    <w:rsid w:val="000002C7"/>
    <w:rsid w:val="0000091B"/>
    <w:rsid w:val="00000AB2"/>
    <w:rsid w:val="00000AD1"/>
    <w:rsid w:val="00000C93"/>
    <w:rsid w:val="00000C9F"/>
    <w:rsid w:val="00000F6D"/>
    <w:rsid w:val="00001078"/>
    <w:rsid w:val="000010F2"/>
    <w:rsid w:val="000014F2"/>
    <w:rsid w:val="0000161A"/>
    <w:rsid w:val="0000164D"/>
    <w:rsid w:val="000016F0"/>
    <w:rsid w:val="00001726"/>
    <w:rsid w:val="00001882"/>
    <w:rsid w:val="0000194A"/>
    <w:rsid w:val="000019C0"/>
    <w:rsid w:val="00001C0A"/>
    <w:rsid w:val="00001D6F"/>
    <w:rsid w:val="00001DA2"/>
    <w:rsid w:val="00001E8B"/>
    <w:rsid w:val="00001F40"/>
    <w:rsid w:val="00002144"/>
    <w:rsid w:val="00002214"/>
    <w:rsid w:val="0000224E"/>
    <w:rsid w:val="00002356"/>
    <w:rsid w:val="0000249B"/>
    <w:rsid w:val="000025E6"/>
    <w:rsid w:val="00002697"/>
    <w:rsid w:val="000027A8"/>
    <w:rsid w:val="00002923"/>
    <w:rsid w:val="00002B66"/>
    <w:rsid w:val="00002BC9"/>
    <w:rsid w:val="00002BDF"/>
    <w:rsid w:val="00002DEF"/>
    <w:rsid w:val="00002F31"/>
    <w:rsid w:val="00002F86"/>
    <w:rsid w:val="000032B9"/>
    <w:rsid w:val="000035EC"/>
    <w:rsid w:val="00003650"/>
    <w:rsid w:val="000036D8"/>
    <w:rsid w:val="0000383D"/>
    <w:rsid w:val="0000386F"/>
    <w:rsid w:val="00003A80"/>
    <w:rsid w:val="00003C78"/>
    <w:rsid w:val="00003E45"/>
    <w:rsid w:val="00003E5D"/>
    <w:rsid w:val="00003FF6"/>
    <w:rsid w:val="0000400A"/>
    <w:rsid w:val="00004109"/>
    <w:rsid w:val="000042D0"/>
    <w:rsid w:val="000042F1"/>
    <w:rsid w:val="000043F9"/>
    <w:rsid w:val="00004598"/>
    <w:rsid w:val="000046FB"/>
    <w:rsid w:val="00004719"/>
    <w:rsid w:val="0000485A"/>
    <w:rsid w:val="000048B5"/>
    <w:rsid w:val="000048F5"/>
    <w:rsid w:val="00004940"/>
    <w:rsid w:val="00004C67"/>
    <w:rsid w:val="00004FE3"/>
    <w:rsid w:val="000050E0"/>
    <w:rsid w:val="000053F8"/>
    <w:rsid w:val="00005759"/>
    <w:rsid w:val="00005831"/>
    <w:rsid w:val="000059CE"/>
    <w:rsid w:val="00005AC1"/>
    <w:rsid w:val="00005EEE"/>
    <w:rsid w:val="0000618C"/>
    <w:rsid w:val="00006246"/>
    <w:rsid w:val="0000648D"/>
    <w:rsid w:val="0000680A"/>
    <w:rsid w:val="00006934"/>
    <w:rsid w:val="000069EE"/>
    <w:rsid w:val="00006C9A"/>
    <w:rsid w:val="00006E30"/>
    <w:rsid w:val="00006F3D"/>
    <w:rsid w:val="00006F58"/>
    <w:rsid w:val="00007056"/>
    <w:rsid w:val="0000716C"/>
    <w:rsid w:val="000074E1"/>
    <w:rsid w:val="00007579"/>
    <w:rsid w:val="000077EA"/>
    <w:rsid w:val="00007899"/>
    <w:rsid w:val="00007AB8"/>
    <w:rsid w:val="00007B06"/>
    <w:rsid w:val="00007B6C"/>
    <w:rsid w:val="00007D1B"/>
    <w:rsid w:val="00007FB7"/>
    <w:rsid w:val="00007FD5"/>
    <w:rsid w:val="00007FFB"/>
    <w:rsid w:val="000101B0"/>
    <w:rsid w:val="0001026F"/>
    <w:rsid w:val="0001030B"/>
    <w:rsid w:val="0001031F"/>
    <w:rsid w:val="00010386"/>
    <w:rsid w:val="000105A1"/>
    <w:rsid w:val="00010711"/>
    <w:rsid w:val="00010794"/>
    <w:rsid w:val="00010B75"/>
    <w:rsid w:val="00010CEC"/>
    <w:rsid w:val="00010EFA"/>
    <w:rsid w:val="00010F5B"/>
    <w:rsid w:val="00010F5E"/>
    <w:rsid w:val="00011027"/>
    <w:rsid w:val="00011786"/>
    <w:rsid w:val="000119DB"/>
    <w:rsid w:val="000119E9"/>
    <w:rsid w:val="00011BB3"/>
    <w:rsid w:val="00011C73"/>
    <w:rsid w:val="00011D1A"/>
    <w:rsid w:val="00011D4A"/>
    <w:rsid w:val="00011DA8"/>
    <w:rsid w:val="00011E7E"/>
    <w:rsid w:val="00011F76"/>
    <w:rsid w:val="00011F7D"/>
    <w:rsid w:val="000120A3"/>
    <w:rsid w:val="000120A6"/>
    <w:rsid w:val="0001218F"/>
    <w:rsid w:val="00012632"/>
    <w:rsid w:val="000129B2"/>
    <w:rsid w:val="000129BC"/>
    <w:rsid w:val="00012AC0"/>
    <w:rsid w:val="00012AE2"/>
    <w:rsid w:val="00012B67"/>
    <w:rsid w:val="00012C74"/>
    <w:rsid w:val="00012D8C"/>
    <w:rsid w:val="0001300E"/>
    <w:rsid w:val="0001315B"/>
    <w:rsid w:val="000131C3"/>
    <w:rsid w:val="000134F7"/>
    <w:rsid w:val="00013623"/>
    <w:rsid w:val="0001376F"/>
    <w:rsid w:val="000139B0"/>
    <w:rsid w:val="00013AB0"/>
    <w:rsid w:val="00013B63"/>
    <w:rsid w:val="0001400B"/>
    <w:rsid w:val="000141E3"/>
    <w:rsid w:val="000142D4"/>
    <w:rsid w:val="00014486"/>
    <w:rsid w:val="00014768"/>
    <w:rsid w:val="00014864"/>
    <w:rsid w:val="000148C5"/>
    <w:rsid w:val="0001491F"/>
    <w:rsid w:val="00014A8F"/>
    <w:rsid w:val="00014AB0"/>
    <w:rsid w:val="00014AD0"/>
    <w:rsid w:val="00014CB0"/>
    <w:rsid w:val="00014ECB"/>
    <w:rsid w:val="000150BF"/>
    <w:rsid w:val="00015283"/>
    <w:rsid w:val="00015500"/>
    <w:rsid w:val="000156B2"/>
    <w:rsid w:val="00015818"/>
    <w:rsid w:val="0001591B"/>
    <w:rsid w:val="00015A7E"/>
    <w:rsid w:val="00015A97"/>
    <w:rsid w:val="00015C57"/>
    <w:rsid w:val="00015D0B"/>
    <w:rsid w:val="00015F34"/>
    <w:rsid w:val="000162E7"/>
    <w:rsid w:val="0001698B"/>
    <w:rsid w:val="00016B55"/>
    <w:rsid w:val="00016C62"/>
    <w:rsid w:val="00016C90"/>
    <w:rsid w:val="00016EF5"/>
    <w:rsid w:val="00016FE0"/>
    <w:rsid w:val="00016FE9"/>
    <w:rsid w:val="0001716D"/>
    <w:rsid w:val="00017189"/>
    <w:rsid w:val="0001728E"/>
    <w:rsid w:val="000173C7"/>
    <w:rsid w:val="00017640"/>
    <w:rsid w:val="0001764B"/>
    <w:rsid w:val="000176D7"/>
    <w:rsid w:val="0001770B"/>
    <w:rsid w:val="000178EF"/>
    <w:rsid w:val="00017B4F"/>
    <w:rsid w:val="00017C69"/>
    <w:rsid w:val="00017CA4"/>
    <w:rsid w:val="00017CC9"/>
    <w:rsid w:val="00017D9B"/>
    <w:rsid w:val="00017E5B"/>
    <w:rsid w:val="00017EB6"/>
    <w:rsid w:val="00020220"/>
    <w:rsid w:val="0002041C"/>
    <w:rsid w:val="000204C9"/>
    <w:rsid w:val="00020799"/>
    <w:rsid w:val="00020BA4"/>
    <w:rsid w:val="00020D21"/>
    <w:rsid w:val="00020DD9"/>
    <w:rsid w:val="00020EA3"/>
    <w:rsid w:val="00021226"/>
    <w:rsid w:val="00021645"/>
    <w:rsid w:val="00021727"/>
    <w:rsid w:val="00021827"/>
    <w:rsid w:val="00021B69"/>
    <w:rsid w:val="00021C7A"/>
    <w:rsid w:val="00021D9D"/>
    <w:rsid w:val="00021E88"/>
    <w:rsid w:val="00021F76"/>
    <w:rsid w:val="00022093"/>
    <w:rsid w:val="0002262F"/>
    <w:rsid w:val="00022717"/>
    <w:rsid w:val="00022855"/>
    <w:rsid w:val="00022BAF"/>
    <w:rsid w:val="00022BFA"/>
    <w:rsid w:val="00022C1B"/>
    <w:rsid w:val="00022CE0"/>
    <w:rsid w:val="00022D3A"/>
    <w:rsid w:val="00022E72"/>
    <w:rsid w:val="00022EA9"/>
    <w:rsid w:val="00022ED2"/>
    <w:rsid w:val="00022EE9"/>
    <w:rsid w:val="00023068"/>
    <w:rsid w:val="00023137"/>
    <w:rsid w:val="00023164"/>
    <w:rsid w:val="00023167"/>
    <w:rsid w:val="000233A5"/>
    <w:rsid w:val="0002349D"/>
    <w:rsid w:val="00023897"/>
    <w:rsid w:val="00023B03"/>
    <w:rsid w:val="00023BDB"/>
    <w:rsid w:val="00023C8E"/>
    <w:rsid w:val="00023E4D"/>
    <w:rsid w:val="00024069"/>
    <w:rsid w:val="000241F2"/>
    <w:rsid w:val="00024230"/>
    <w:rsid w:val="0002437A"/>
    <w:rsid w:val="000246BA"/>
    <w:rsid w:val="000246EB"/>
    <w:rsid w:val="000246EE"/>
    <w:rsid w:val="000246FB"/>
    <w:rsid w:val="00024745"/>
    <w:rsid w:val="0002475C"/>
    <w:rsid w:val="0002477E"/>
    <w:rsid w:val="00024A4B"/>
    <w:rsid w:val="00024ACE"/>
    <w:rsid w:val="00024AF7"/>
    <w:rsid w:val="00024C73"/>
    <w:rsid w:val="00024CD0"/>
    <w:rsid w:val="00024D5F"/>
    <w:rsid w:val="00024E19"/>
    <w:rsid w:val="00024F56"/>
    <w:rsid w:val="000251CC"/>
    <w:rsid w:val="00025242"/>
    <w:rsid w:val="0002558A"/>
    <w:rsid w:val="000259D0"/>
    <w:rsid w:val="00025B1F"/>
    <w:rsid w:val="00025CB3"/>
    <w:rsid w:val="00025D52"/>
    <w:rsid w:val="00025E94"/>
    <w:rsid w:val="00026111"/>
    <w:rsid w:val="0002629C"/>
    <w:rsid w:val="000265A4"/>
    <w:rsid w:val="00026658"/>
    <w:rsid w:val="000266B1"/>
    <w:rsid w:val="00026713"/>
    <w:rsid w:val="00026821"/>
    <w:rsid w:val="00026896"/>
    <w:rsid w:val="000268E0"/>
    <w:rsid w:val="000269ED"/>
    <w:rsid w:val="00026A1A"/>
    <w:rsid w:val="00026AD6"/>
    <w:rsid w:val="00026E43"/>
    <w:rsid w:val="00026E62"/>
    <w:rsid w:val="00026E7B"/>
    <w:rsid w:val="00026EF6"/>
    <w:rsid w:val="000273C6"/>
    <w:rsid w:val="000274F7"/>
    <w:rsid w:val="00027557"/>
    <w:rsid w:val="00027816"/>
    <w:rsid w:val="00027921"/>
    <w:rsid w:val="000279D7"/>
    <w:rsid w:val="00027ABE"/>
    <w:rsid w:val="00027D6A"/>
    <w:rsid w:val="00027EAF"/>
    <w:rsid w:val="00030029"/>
    <w:rsid w:val="00030097"/>
    <w:rsid w:val="000300CB"/>
    <w:rsid w:val="000301A6"/>
    <w:rsid w:val="00030205"/>
    <w:rsid w:val="00030278"/>
    <w:rsid w:val="00030341"/>
    <w:rsid w:val="0003042D"/>
    <w:rsid w:val="000304D5"/>
    <w:rsid w:val="000304E0"/>
    <w:rsid w:val="00030516"/>
    <w:rsid w:val="00030595"/>
    <w:rsid w:val="000305ED"/>
    <w:rsid w:val="00030629"/>
    <w:rsid w:val="000306E7"/>
    <w:rsid w:val="00030D65"/>
    <w:rsid w:val="00030E66"/>
    <w:rsid w:val="00030F41"/>
    <w:rsid w:val="00031049"/>
    <w:rsid w:val="00031648"/>
    <w:rsid w:val="0003175A"/>
    <w:rsid w:val="000317D1"/>
    <w:rsid w:val="00031938"/>
    <w:rsid w:val="00031AA1"/>
    <w:rsid w:val="00031AA7"/>
    <w:rsid w:val="00031AFE"/>
    <w:rsid w:val="00031B76"/>
    <w:rsid w:val="00031C1A"/>
    <w:rsid w:val="00031CF4"/>
    <w:rsid w:val="00031CFD"/>
    <w:rsid w:val="00031E8F"/>
    <w:rsid w:val="0003216E"/>
    <w:rsid w:val="00032318"/>
    <w:rsid w:val="00032544"/>
    <w:rsid w:val="00032641"/>
    <w:rsid w:val="000326F5"/>
    <w:rsid w:val="000326FC"/>
    <w:rsid w:val="000327F7"/>
    <w:rsid w:val="00032856"/>
    <w:rsid w:val="000328A8"/>
    <w:rsid w:val="000329A7"/>
    <w:rsid w:val="00032AD2"/>
    <w:rsid w:val="00032E51"/>
    <w:rsid w:val="00032F41"/>
    <w:rsid w:val="00033064"/>
    <w:rsid w:val="000330AF"/>
    <w:rsid w:val="00033347"/>
    <w:rsid w:val="0003356A"/>
    <w:rsid w:val="000335BE"/>
    <w:rsid w:val="00033621"/>
    <w:rsid w:val="00033830"/>
    <w:rsid w:val="000338C9"/>
    <w:rsid w:val="00033936"/>
    <w:rsid w:val="00033A71"/>
    <w:rsid w:val="00033B4C"/>
    <w:rsid w:val="00033C0D"/>
    <w:rsid w:val="0003409C"/>
    <w:rsid w:val="000341AD"/>
    <w:rsid w:val="00034417"/>
    <w:rsid w:val="00034622"/>
    <w:rsid w:val="00034652"/>
    <w:rsid w:val="00034916"/>
    <w:rsid w:val="000349F4"/>
    <w:rsid w:val="00034DBB"/>
    <w:rsid w:val="00034EC3"/>
    <w:rsid w:val="00034EDF"/>
    <w:rsid w:val="00034F08"/>
    <w:rsid w:val="00034FF0"/>
    <w:rsid w:val="000351F2"/>
    <w:rsid w:val="00035363"/>
    <w:rsid w:val="00035484"/>
    <w:rsid w:val="000355D9"/>
    <w:rsid w:val="000357BD"/>
    <w:rsid w:val="000357F9"/>
    <w:rsid w:val="00035B9D"/>
    <w:rsid w:val="00035BD8"/>
    <w:rsid w:val="000361C6"/>
    <w:rsid w:val="000363C5"/>
    <w:rsid w:val="000364E9"/>
    <w:rsid w:val="000366DA"/>
    <w:rsid w:val="00036B61"/>
    <w:rsid w:val="00036BCB"/>
    <w:rsid w:val="00036C51"/>
    <w:rsid w:val="00036E7D"/>
    <w:rsid w:val="00036F1C"/>
    <w:rsid w:val="00036F47"/>
    <w:rsid w:val="00036F54"/>
    <w:rsid w:val="000370C8"/>
    <w:rsid w:val="000372BA"/>
    <w:rsid w:val="00037371"/>
    <w:rsid w:val="000375E1"/>
    <w:rsid w:val="00037666"/>
    <w:rsid w:val="00037809"/>
    <w:rsid w:val="00037A0F"/>
    <w:rsid w:val="00037A89"/>
    <w:rsid w:val="00037B3E"/>
    <w:rsid w:val="00037C1D"/>
    <w:rsid w:val="00040135"/>
    <w:rsid w:val="00040162"/>
    <w:rsid w:val="00040379"/>
    <w:rsid w:val="00040445"/>
    <w:rsid w:val="000404B6"/>
    <w:rsid w:val="00040571"/>
    <w:rsid w:val="000405CD"/>
    <w:rsid w:val="00040601"/>
    <w:rsid w:val="000406AF"/>
    <w:rsid w:val="00040CCA"/>
    <w:rsid w:val="00040CE3"/>
    <w:rsid w:val="00040D48"/>
    <w:rsid w:val="00040D5E"/>
    <w:rsid w:val="000410C8"/>
    <w:rsid w:val="00041164"/>
    <w:rsid w:val="00041209"/>
    <w:rsid w:val="0004123E"/>
    <w:rsid w:val="00041299"/>
    <w:rsid w:val="00041448"/>
    <w:rsid w:val="0004153C"/>
    <w:rsid w:val="00041675"/>
    <w:rsid w:val="00041715"/>
    <w:rsid w:val="00041748"/>
    <w:rsid w:val="00041812"/>
    <w:rsid w:val="000419E0"/>
    <w:rsid w:val="00041E1B"/>
    <w:rsid w:val="00041E84"/>
    <w:rsid w:val="00042018"/>
    <w:rsid w:val="000424BA"/>
    <w:rsid w:val="000424EA"/>
    <w:rsid w:val="0004258C"/>
    <w:rsid w:val="0004275D"/>
    <w:rsid w:val="000429D5"/>
    <w:rsid w:val="00042AC3"/>
    <w:rsid w:val="00042AFB"/>
    <w:rsid w:val="00042B4F"/>
    <w:rsid w:val="00042D38"/>
    <w:rsid w:val="00043236"/>
    <w:rsid w:val="0004341A"/>
    <w:rsid w:val="0004359C"/>
    <w:rsid w:val="00043A6D"/>
    <w:rsid w:val="00043B5D"/>
    <w:rsid w:val="00043BB2"/>
    <w:rsid w:val="00043CFE"/>
    <w:rsid w:val="00043EF7"/>
    <w:rsid w:val="00043F25"/>
    <w:rsid w:val="000442AA"/>
    <w:rsid w:val="000443CE"/>
    <w:rsid w:val="000443F8"/>
    <w:rsid w:val="00044479"/>
    <w:rsid w:val="000444D7"/>
    <w:rsid w:val="0004456B"/>
    <w:rsid w:val="000447CD"/>
    <w:rsid w:val="00044967"/>
    <w:rsid w:val="00044AC3"/>
    <w:rsid w:val="00044F3B"/>
    <w:rsid w:val="000451DA"/>
    <w:rsid w:val="0004569D"/>
    <w:rsid w:val="0004585E"/>
    <w:rsid w:val="000458BE"/>
    <w:rsid w:val="00045AA7"/>
    <w:rsid w:val="00045B26"/>
    <w:rsid w:val="00045C11"/>
    <w:rsid w:val="00045C49"/>
    <w:rsid w:val="00045C4A"/>
    <w:rsid w:val="00045F82"/>
    <w:rsid w:val="000461A9"/>
    <w:rsid w:val="00046380"/>
    <w:rsid w:val="00046397"/>
    <w:rsid w:val="000463EA"/>
    <w:rsid w:val="000464DE"/>
    <w:rsid w:val="000465BD"/>
    <w:rsid w:val="0004679A"/>
    <w:rsid w:val="00046859"/>
    <w:rsid w:val="0004689B"/>
    <w:rsid w:val="000468C1"/>
    <w:rsid w:val="00046A18"/>
    <w:rsid w:val="00046ADD"/>
    <w:rsid w:val="00046B06"/>
    <w:rsid w:val="00046E9E"/>
    <w:rsid w:val="000470A2"/>
    <w:rsid w:val="000473AD"/>
    <w:rsid w:val="0004750F"/>
    <w:rsid w:val="00047690"/>
    <w:rsid w:val="00047856"/>
    <w:rsid w:val="00047871"/>
    <w:rsid w:val="00047951"/>
    <w:rsid w:val="00047AB0"/>
    <w:rsid w:val="00047C03"/>
    <w:rsid w:val="00047CE6"/>
    <w:rsid w:val="00047D27"/>
    <w:rsid w:val="00047DF1"/>
    <w:rsid w:val="00047E5A"/>
    <w:rsid w:val="00047F03"/>
    <w:rsid w:val="0005015D"/>
    <w:rsid w:val="0005017B"/>
    <w:rsid w:val="000501CF"/>
    <w:rsid w:val="000501E7"/>
    <w:rsid w:val="0005079D"/>
    <w:rsid w:val="00050843"/>
    <w:rsid w:val="000508D3"/>
    <w:rsid w:val="000508E7"/>
    <w:rsid w:val="00051114"/>
    <w:rsid w:val="00051332"/>
    <w:rsid w:val="000517CE"/>
    <w:rsid w:val="000518EA"/>
    <w:rsid w:val="000519DA"/>
    <w:rsid w:val="00051B4A"/>
    <w:rsid w:val="00051B92"/>
    <w:rsid w:val="00051F37"/>
    <w:rsid w:val="00051F3C"/>
    <w:rsid w:val="000521B9"/>
    <w:rsid w:val="000525F5"/>
    <w:rsid w:val="00052705"/>
    <w:rsid w:val="00052792"/>
    <w:rsid w:val="00052850"/>
    <w:rsid w:val="0005291E"/>
    <w:rsid w:val="00052DA0"/>
    <w:rsid w:val="00053170"/>
    <w:rsid w:val="00053230"/>
    <w:rsid w:val="00053232"/>
    <w:rsid w:val="000532BE"/>
    <w:rsid w:val="00053480"/>
    <w:rsid w:val="000534E5"/>
    <w:rsid w:val="00053512"/>
    <w:rsid w:val="00053581"/>
    <w:rsid w:val="0005377C"/>
    <w:rsid w:val="0005381C"/>
    <w:rsid w:val="000538E9"/>
    <w:rsid w:val="00053B44"/>
    <w:rsid w:val="00053C36"/>
    <w:rsid w:val="00053EB8"/>
    <w:rsid w:val="00053F80"/>
    <w:rsid w:val="000540CC"/>
    <w:rsid w:val="0005410D"/>
    <w:rsid w:val="000541D9"/>
    <w:rsid w:val="00054309"/>
    <w:rsid w:val="00054311"/>
    <w:rsid w:val="00054468"/>
    <w:rsid w:val="0005450F"/>
    <w:rsid w:val="0005451C"/>
    <w:rsid w:val="00054C99"/>
    <w:rsid w:val="00054EFE"/>
    <w:rsid w:val="0005510A"/>
    <w:rsid w:val="00055117"/>
    <w:rsid w:val="00055210"/>
    <w:rsid w:val="000554BF"/>
    <w:rsid w:val="000555DB"/>
    <w:rsid w:val="00055999"/>
    <w:rsid w:val="00055A2D"/>
    <w:rsid w:val="00055A32"/>
    <w:rsid w:val="00055B56"/>
    <w:rsid w:val="00055C37"/>
    <w:rsid w:val="00055CB6"/>
    <w:rsid w:val="000562B4"/>
    <w:rsid w:val="00056371"/>
    <w:rsid w:val="00056373"/>
    <w:rsid w:val="000569C8"/>
    <w:rsid w:val="000569CD"/>
    <w:rsid w:val="00056C4E"/>
    <w:rsid w:val="00056DB5"/>
    <w:rsid w:val="00056E89"/>
    <w:rsid w:val="0005732B"/>
    <w:rsid w:val="000574AE"/>
    <w:rsid w:val="00057577"/>
    <w:rsid w:val="00057762"/>
    <w:rsid w:val="00057A7A"/>
    <w:rsid w:val="00057A9B"/>
    <w:rsid w:val="00057AED"/>
    <w:rsid w:val="00057D13"/>
    <w:rsid w:val="000601FE"/>
    <w:rsid w:val="000604AD"/>
    <w:rsid w:val="000604C7"/>
    <w:rsid w:val="0006050F"/>
    <w:rsid w:val="0006073A"/>
    <w:rsid w:val="000607C2"/>
    <w:rsid w:val="00060847"/>
    <w:rsid w:val="0006093D"/>
    <w:rsid w:val="00060A59"/>
    <w:rsid w:val="00060BE6"/>
    <w:rsid w:val="00060CA5"/>
    <w:rsid w:val="00060E6B"/>
    <w:rsid w:val="00060EF7"/>
    <w:rsid w:val="0006104A"/>
    <w:rsid w:val="0006107B"/>
    <w:rsid w:val="00061111"/>
    <w:rsid w:val="00061140"/>
    <w:rsid w:val="0006116D"/>
    <w:rsid w:val="00061226"/>
    <w:rsid w:val="00061233"/>
    <w:rsid w:val="000613C5"/>
    <w:rsid w:val="000614E3"/>
    <w:rsid w:val="00061535"/>
    <w:rsid w:val="0006177C"/>
    <w:rsid w:val="0006188C"/>
    <w:rsid w:val="00061933"/>
    <w:rsid w:val="00061993"/>
    <w:rsid w:val="00061B8C"/>
    <w:rsid w:val="00061F30"/>
    <w:rsid w:val="00062041"/>
    <w:rsid w:val="00062330"/>
    <w:rsid w:val="000624BB"/>
    <w:rsid w:val="00062956"/>
    <w:rsid w:val="00062C57"/>
    <w:rsid w:val="00062D47"/>
    <w:rsid w:val="00062D66"/>
    <w:rsid w:val="00062E3E"/>
    <w:rsid w:val="00062EB3"/>
    <w:rsid w:val="00062EE9"/>
    <w:rsid w:val="00062F67"/>
    <w:rsid w:val="00062F94"/>
    <w:rsid w:val="000633E8"/>
    <w:rsid w:val="00063435"/>
    <w:rsid w:val="00063437"/>
    <w:rsid w:val="0006366E"/>
    <w:rsid w:val="000636CE"/>
    <w:rsid w:val="000639C6"/>
    <w:rsid w:val="00063A51"/>
    <w:rsid w:val="000641EB"/>
    <w:rsid w:val="00064557"/>
    <w:rsid w:val="000645D9"/>
    <w:rsid w:val="0006462C"/>
    <w:rsid w:val="0006463B"/>
    <w:rsid w:val="000646B6"/>
    <w:rsid w:val="0006475C"/>
    <w:rsid w:val="000648E8"/>
    <w:rsid w:val="00064C3F"/>
    <w:rsid w:val="00064CE5"/>
    <w:rsid w:val="00064D03"/>
    <w:rsid w:val="00064D3E"/>
    <w:rsid w:val="00064DB5"/>
    <w:rsid w:val="00064E5C"/>
    <w:rsid w:val="0006519E"/>
    <w:rsid w:val="000651D2"/>
    <w:rsid w:val="000653F5"/>
    <w:rsid w:val="00065470"/>
    <w:rsid w:val="000656EC"/>
    <w:rsid w:val="000657A7"/>
    <w:rsid w:val="00065AEC"/>
    <w:rsid w:val="00065BF3"/>
    <w:rsid w:val="00065DF7"/>
    <w:rsid w:val="000660A0"/>
    <w:rsid w:val="000661A5"/>
    <w:rsid w:val="000664B5"/>
    <w:rsid w:val="00066534"/>
    <w:rsid w:val="000665AB"/>
    <w:rsid w:val="00066C63"/>
    <w:rsid w:val="00066D82"/>
    <w:rsid w:val="00066E63"/>
    <w:rsid w:val="00066F8C"/>
    <w:rsid w:val="00066FC9"/>
    <w:rsid w:val="00067101"/>
    <w:rsid w:val="000676C0"/>
    <w:rsid w:val="00067969"/>
    <w:rsid w:val="000679BC"/>
    <w:rsid w:val="00067D38"/>
    <w:rsid w:val="000702C3"/>
    <w:rsid w:val="000705F7"/>
    <w:rsid w:val="00070855"/>
    <w:rsid w:val="00070B45"/>
    <w:rsid w:val="00070C43"/>
    <w:rsid w:val="00070CEF"/>
    <w:rsid w:val="00070E61"/>
    <w:rsid w:val="00070EA5"/>
    <w:rsid w:val="00070F22"/>
    <w:rsid w:val="00070F79"/>
    <w:rsid w:val="00070FCB"/>
    <w:rsid w:val="0007102B"/>
    <w:rsid w:val="000710DD"/>
    <w:rsid w:val="00071405"/>
    <w:rsid w:val="00071647"/>
    <w:rsid w:val="0007176E"/>
    <w:rsid w:val="0007185D"/>
    <w:rsid w:val="000719AD"/>
    <w:rsid w:val="00071B18"/>
    <w:rsid w:val="00071DA5"/>
    <w:rsid w:val="00071E11"/>
    <w:rsid w:val="00071EF7"/>
    <w:rsid w:val="00071F1E"/>
    <w:rsid w:val="00072373"/>
    <w:rsid w:val="00072687"/>
    <w:rsid w:val="000726FA"/>
    <w:rsid w:val="00072741"/>
    <w:rsid w:val="00072A8F"/>
    <w:rsid w:val="00072AEC"/>
    <w:rsid w:val="00072CBE"/>
    <w:rsid w:val="00072D08"/>
    <w:rsid w:val="0007310A"/>
    <w:rsid w:val="000731C5"/>
    <w:rsid w:val="00073303"/>
    <w:rsid w:val="0007335C"/>
    <w:rsid w:val="000733D6"/>
    <w:rsid w:val="00073475"/>
    <w:rsid w:val="00073489"/>
    <w:rsid w:val="0007360C"/>
    <w:rsid w:val="00073690"/>
    <w:rsid w:val="000738EB"/>
    <w:rsid w:val="00073944"/>
    <w:rsid w:val="00073BF5"/>
    <w:rsid w:val="00073D9D"/>
    <w:rsid w:val="00073E21"/>
    <w:rsid w:val="00073E7F"/>
    <w:rsid w:val="00073E85"/>
    <w:rsid w:val="00073E92"/>
    <w:rsid w:val="00073FCC"/>
    <w:rsid w:val="00073FF5"/>
    <w:rsid w:val="0007409F"/>
    <w:rsid w:val="0007445C"/>
    <w:rsid w:val="00074746"/>
    <w:rsid w:val="000747FA"/>
    <w:rsid w:val="0007494B"/>
    <w:rsid w:val="00074AE3"/>
    <w:rsid w:val="00074C77"/>
    <w:rsid w:val="00074E49"/>
    <w:rsid w:val="00075051"/>
    <w:rsid w:val="00075176"/>
    <w:rsid w:val="000751B5"/>
    <w:rsid w:val="00075508"/>
    <w:rsid w:val="00075593"/>
    <w:rsid w:val="00075618"/>
    <w:rsid w:val="0007582F"/>
    <w:rsid w:val="000759DF"/>
    <w:rsid w:val="00075A76"/>
    <w:rsid w:val="00075BF3"/>
    <w:rsid w:val="00075D8E"/>
    <w:rsid w:val="00075E53"/>
    <w:rsid w:val="00075F4C"/>
    <w:rsid w:val="0007624C"/>
    <w:rsid w:val="00076434"/>
    <w:rsid w:val="00076471"/>
    <w:rsid w:val="000765BA"/>
    <w:rsid w:val="000766AC"/>
    <w:rsid w:val="00076990"/>
    <w:rsid w:val="000769F2"/>
    <w:rsid w:val="00076A67"/>
    <w:rsid w:val="00076B36"/>
    <w:rsid w:val="00076CDC"/>
    <w:rsid w:val="00076CE4"/>
    <w:rsid w:val="00076D06"/>
    <w:rsid w:val="00076DA5"/>
    <w:rsid w:val="00076E5D"/>
    <w:rsid w:val="00076FB6"/>
    <w:rsid w:val="000772B1"/>
    <w:rsid w:val="000773FA"/>
    <w:rsid w:val="0007768C"/>
    <w:rsid w:val="00077742"/>
    <w:rsid w:val="00077811"/>
    <w:rsid w:val="00077965"/>
    <w:rsid w:val="000779DC"/>
    <w:rsid w:val="00077AAF"/>
    <w:rsid w:val="00077ADE"/>
    <w:rsid w:val="00077BDF"/>
    <w:rsid w:val="00077C04"/>
    <w:rsid w:val="00077CC5"/>
    <w:rsid w:val="00077D9A"/>
    <w:rsid w:val="00077E79"/>
    <w:rsid w:val="0008024C"/>
    <w:rsid w:val="000803CB"/>
    <w:rsid w:val="00080439"/>
    <w:rsid w:val="00080573"/>
    <w:rsid w:val="000806A9"/>
    <w:rsid w:val="000806CD"/>
    <w:rsid w:val="00080784"/>
    <w:rsid w:val="00080895"/>
    <w:rsid w:val="000809D9"/>
    <w:rsid w:val="00080B30"/>
    <w:rsid w:val="00080B52"/>
    <w:rsid w:val="00080B7E"/>
    <w:rsid w:val="0008113B"/>
    <w:rsid w:val="00081195"/>
    <w:rsid w:val="000812ED"/>
    <w:rsid w:val="0008159B"/>
    <w:rsid w:val="00081636"/>
    <w:rsid w:val="00081696"/>
    <w:rsid w:val="000816A1"/>
    <w:rsid w:val="000816E0"/>
    <w:rsid w:val="00081873"/>
    <w:rsid w:val="00081905"/>
    <w:rsid w:val="000819A8"/>
    <w:rsid w:val="00081C3F"/>
    <w:rsid w:val="00081C40"/>
    <w:rsid w:val="00081CD4"/>
    <w:rsid w:val="00081D6F"/>
    <w:rsid w:val="00081E45"/>
    <w:rsid w:val="00081F57"/>
    <w:rsid w:val="00081FAD"/>
    <w:rsid w:val="0008208B"/>
    <w:rsid w:val="00082090"/>
    <w:rsid w:val="00082213"/>
    <w:rsid w:val="000822C6"/>
    <w:rsid w:val="00082441"/>
    <w:rsid w:val="0008261B"/>
    <w:rsid w:val="00082971"/>
    <w:rsid w:val="00082B3B"/>
    <w:rsid w:val="00082D05"/>
    <w:rsid w:val="00082DC2"/>
    <w:rsid w:val="00082DEF"/>
    <w:rsid w:val="00083022"/>
    <w:rsid w:val="00083259"/>
    <w:rsid w:val="000833D6"/>
    <w:rsid w:val="000833FB"/>
    <w:rsid w:val="00083837"/>
    <w:rsid w:val="00083842"/>
    <w:rsid w:val="00083858"/>
    <w:rsid w:val="000838AB"/>
    <w:rsid w:val="00083B06"/>
    <w:rsid w:val="00083BE8"/>
    <w:rsid w:val="00084080"/>
    <w:rsid w:val="000840C3"/>
    <w:rsid w:val="000840DB"/>
    <w:rsid w:val="00084494"/>
    <w:rsid w:val="0008451A"/>
    <w:rsid w:val="0008456B"/>
    <w:rsid w:val="000847BF"/>
    <w:rsid w:val="00084E18"/>
    <w:rsid w:val="00084EE0"/>
    <w:rsid w:val="000852A2"/>
    <w:rsid w:val="000852C8"/>
    <w:rsid w:val="0008544E"/>
    <w:rsid w:val="000855F4"/>
    <w:rsid w:val="00085698"/>
    <w:rsid w:val="000856D8"/>
    <w:rsid w:val="00085729"/>
    <w:rsid w:val="00085835"/>
    <w:rsid w:val="00085B16"/>
    <w:rsid w:val="00085C67"/>
    <w:rsid w:val="00085D0E"/>
    <w:rsid w:val="00085D42"/>
    <w:rsid w:val="00085D9E"/>
    <w:rsid w:val="00085DD4"/>
    <w:rsid w:val="00085DF9"/>
    <w:rsid w:val="00085E21"/>
    <w:rsid w:val="00085EA1"/>
    <w:rsid w:val="00086045"/>
    <w:rsid w:val="000861D9"/>
    <w:rsid w:val="000861E8"/>
    <w:rsid w:val="0008636C"/>
    <w:rsid w:val="0008641C"/>
    <w:rsid w:val="000864D8"/>
    <w:rsid w:val="0008651E"/>
    <w:rsid w:val="000865CE"/>
    <w:rsid w:val="0008677E"/>
    <w:rsid w:val="000867DC"/>
    <w:rsid w:val="0008685A"/>
    <w:rsid w:val="0008689B"/>
    <w:rsid w:val="0008694B"/>
    <w:rsid w:val="000869E1"/>
    <w:rsid w:val="000869F6"/>
    <w:rsid w:val="00086A5C"/>
    <w:rsid w:val="00086AB6"/>
    <w:rsid w:val="00086B04"/>
    <w:rsid w:val="00086B37"/>
    <w:rsid w:val="00086BA7"/>
    <w:rsid w:val="00086C42"/>
    <w:rsid w:val="00086E62"/>
    <w:rsid w:val="00086E69"/>
    <w:rsid w:val="00086E7A"/>
    <w:rsid w:val="00086EBC"/>
    <w:rsid w:val="00086ED2"/>
    <w:rsid w:val="00086F44"/>
    <w:rsid w:val="00086FF8"/>
    <w:rsid w:val="000872EA"/>
    <w:rsid w:val="00087562"/>
    <w:rsid w:val="000876F9"/>
    <w:rsid w:val="0008779D"/>
    <w:rsid w:val="00087A28"/>
    <w:rsid w:val="00087BAE"/>
    <w:rsid w:val="00087BFC"/>
    <w:rsid w:val="00087D80"/>
    <w:rsid w:val="00087E5A"/>
    <w:rsid w:val="00087F7D"/>
    <w:rsid w:val="00087FC4"/>
    <w:rsid w:val="0009023D"/>
    <w:rsid w:val="000902C1"/>
    <w:rsid w:val="00090362"/>
    <w:rsid w:val="00090BA2"/>
    <w:rsid w:val="00090C39"/>
    <w:rsid w:val="00090CCF"/>
    <w:rsid w:val="00090D46"/>
    <w:rsid w:val="00090DBA"/>
    <w:rsid w:val="00090DCE"/>
    <w:rsid w:val="000910DA"/>
    <w:rsid w:val="00091177"/>
    <w:rsid w:val="000914AB"/>
    <w:rsid w:val="000914B9"/>
    <w:rsid w:val="000916BC"/>
    <w:rsid w:val="00091780"/>
    <w:rsid w:val="00091962"/>
    <w:rsid w:val="00091AD2"/>
    <w:rsid w:val="00091B5D"/>
    <w:rsid w:val="00091C44"/>
    <w:rsid w:val="00091C4F"/>
    <w:rsid w:val="00091D6E"/>
    <w:rsid w:val="00091E0B"/>
    <w:rsid w:val="00092205"/>
    <w:rsid w:val="000923F6"/>
    <w:rsid w:val="00092827"/>
    <w:rsid w:val="000928A4"/>
    <w:rsid w:val="000928AF"/>
    <w:rsid w:val="00092936"/>
    <w:rsid w:val="00092A61"/>
    <w:rsid w:val="00092B2F"/>
    <w:rsid w:val="00092D93"/>
    <w:rsid w:val="00092DC0"/>
    <w:rsid w:val="00092F06"/>
    <w:rsid w:val="00092F69"/>
    <w:rsid w:val="00093039"/>
    <w:rsid w:val="00093134"/>
    <w:rsid w:val="00093188"/>
    <w:rsid w:val="00093371"/>
    <w:rsid w:val="0009342F"/>
    <w:rsid w:val="000934C5"/>
    <w:rsid w:val="00093603"/>
    <w:rsid w:val="00093796"/>
    <w:rsid w:val="000938C5"/>
    <w:rsid w:val="00093910"/>
    <w:rsid w:val="0009391F"/>
    <w:rsid w:val="000939CA"/>
    <w:rsid w:val="00093DD4"/>
    <w:rsid w:val="00094010"/>
    <w:rsid w:val="00094302"/>
    <w:rsid w:val="000943A8"/>
    <w:rsid w:val="000944A5"/>
    <w:rsid w:val="00094531"/>
    <w:rsid w:val="00094676"/>
    <w:rsid w:val="000949B1"/>
    <w:rsid w:val="000950A8"/>
    <w:rsid w:val="000950F4"/>
    <w:rsid w:val="00095294"/>
    <w:rsid w:val="0009546A"/>
    <w:rsid w:val="0009567D"/>
    <w:rsid w:val="0009569E"/>
    <w:rsid w:val="00095811"/>
    <w:rsid w:val="0009598A"/>
    <w:rsid w:val="00095FB4"/>
    <w:rsid w:val="00096073"/>
    <w:rsid w:val="00096192"/>
    <w:rsid w:val="0009650F"/>
    <w:rsid w:val="0009657B"/>
    <w:rsid w:val="00096616"/>
    <w:rsid w:val="00096896"/>
    <w:rsid w:val="000968C7"/>
    <w:rsid w:val="0009691E"/>
    <w:rsid w:val="00096946"/>
    <w:rsid w:val="00096A17"/>
    <w:rsid w:val="00096A29"/>
    <w:rsid w:val="00096C06"/>
    <w:rsid w:val="00096C31"/>
    <w:rsid w:val="00096E12"/>
    <w:rsid w:val="00096E4E"/>
    <w:rsid w:val="00096E79"/>
    <w:rsid w:val="00096F78"/>
    <w:rsid w:val="000970BA"/>
    <w:rsid w:val="00097192"/>
    <w:rsid w:val="000972BD"/>
    <w:rsid w:val="0009735B"/>
    <w:rsid w:val="00097377"/>
    <w:rsid w:val="000973A8"/>
    <w:rsid w:val="00097626"/>
    <w:rsid w:val="00097642"/>
    <w:rsid w:val="00097790"/>
    <w:rsid w:val="0009788B"/>
    <w:rsid w:val="00097B39"/>
    <w:rsid w:val="00097B3D"/>
    <w:rsid w:val="00097C01"/>
    <w:rsid w:val="00097CF0"/>
    <w:rsid w:val="00097D15"/>
    <w:rsid w:val="00097D78"/>
    <w:rsid w:val="00097F09"/>
    <w:rsid w:val="000A00A7"/>
    <w:rsid w:val="000A011D"/>
    <w:rsid w:val="000A015E"/>
    <w:rsid w:val="000A0205"/>
    <w:rsid w:val="000A036B"/>
    <w:rsid w:val="000A0441"/>
    <w:rsid w:val="000A05E4"/>
    <w:rsid w:val="000A0729"/>
    <w:rsid w:val="000A07C9"/>
    <w:rsid w:val="000A09ED"/>
    <w:rsid w:val="000A0B2B"/>
    <w:rsid w:val="000A0C33"/>
    <w:rsid w:val="000A0D9F"/>
    <w:rsid w:val="000A0E6B"/>
    <w:rsid w:val="000A0FB9"/>
    <w:rsid w:val="000A1106"/>
    <w:rsid w:val="000A15EE"/>
    <w:rsid w:val="000A15FE"/>
    <w:rsid w:val="000A16B2"/>
    <w:rsid w:val="000A178F"/>
    <w:rsid w:val="000A17A3"/>
    <w:rsid w:val="000A17C5"/>
    <w:rsid w:val="000A17F1"/>
    <w:rsid w:val="000A17F6"/>
    <w:rsid w:val="000A18C4"/>
    <w:rsid w:val="000A1955"/>
    <w:rsid w:val="000A1974"/>
    <w:rsid w:val="000A1A92"/>
    <w:rsid w:val="000A1B09"/>
    <w:rsid w:val="000A1BD9"/>
    <w:rsid w:val="000A1DED"/>
    <w:rsid w:val="000A2076"/>
    <w:rsid w:val="000A22D3"/>
    <w:rsid w:val="000A2395"/>
    <w:rsid w:val="000A2862"/>
    <w:rsid w:val="000A2D2F"/>
    <w:rsid w:val="000A2D52"/>
    <w:rsid w:val="000A2E24"/>
    <w:rsid w:val="000A2EC8"/>
    <w:rsid w:val="000A2F66"/>
    <w:rsid w:val="000A3130"/>
    <w:rsid w:val="000A31C3"/>
    <w:rsid w:val="000A336C"/>
    <w:rsid w:val="000A33EB"/>
    <w:rsid w:val="000A346F"/>
    <w:rsid w:val="000A3689"/>
    <w:rsid w:val="000A3699"/>
    <w:rsid w:val="000A36F7"/>
    <w:rsid w:val="000A3898"/>
    <w:rsid w:val="000A38A3"/>
    <w:rsid w:val="000A38B1"/>
    <w:rsid w:val="000A3BBB"/>
    <w:rsid w:val="000A3C2F"/>
    <w:rsid w:val="000A3DF9"/>
    <w:rsid w:val="000A3FE5"/>
    <w:rsid w:val="000A487A"/>
    <w:rsid w:val="000A4A2D"/>
    <w:rsid w:val="000A4A96"/>
    <w:rsid w:val="000A4B7B"/>
    <w:rsid w:val="000A4CE5"/>
    <w:rsid w:val="000A4D3E"/>
    <w:rsid w:val="000A4D81"/>
    <w:rsid w:val="000A4D8B"/>
    <w:rsid w:val="000A52A1"/>
    <w:rsid w:val="000A537C"/>
    <w:rsid w:val="000A5520"/>
    <w:rsid w:val="000A5824"/>
    <w:rsid w:val="000A582C"/>
    <w:rsid w:val="000A5A86"/>
    <w:rsid w:val="000A5BD4"/>
    <w:rsid w:val="000A5DB9"/>
    <w:rsid w:val="000A5DDE"/>
    <w:rsid w:val="000A5EA2"/>
    <w:rsid w:val="000A602F"/>
    <w:rsid w:val="000A633D"/>
    <w:rsid w:val="000A6389"/>
    <w:rsid w:val="000A6392"/>
    <w:rsid w:val="000A63F6"/>
    <w:rsid w:val="000A646A"/>
    <w:rsid w:val="000A6519"/>
    <w:rsid w:val="000A6546"/>
    <w:rsid w:val="000A66D0"/>
    <w:rsid w:val="000A6710"/>
    <w:rsid w:val="000A680B"/>
    <w:rsid w:val="000A6922"/>
    <w:rsid w:val="000A6F23"/>
    <w:rsid w:val="000A713D"/>
    <w:rsid w:val="000A720D"/>
    <w:rsid w:val="000A72DD"/>
    <w:rsid w:val="000A739F"/>
    <w:rsid w:val="000A7479"/>
    <w:rsid w:val="000A74C3"/>
    <w:rsid w:val="000A756F"/>
    <w:rsid w:val="000A766A"/>
    <w:rsid w:val="000A772F"/>
    <w:rsid w:val="000A7AA9"/>
    <w:rsid w:val="000A7C5E"/>
    <w:rsid w:val="000A7DD6"/>
    <w:rsid w:val="000A7E55"/>
    <w:rsid w:val="000A7E96"/>
    <w:rsid w:val="000B00A3"/>
    <w:rsid w:val="000B0141"/>
    <w:rsid w:val="000B0145"/>
    <w:rsid w:val="000B0451"/>
    <w:rsid w:val="000B059D"/>
    <w:rsid w:val="000B08F0"/>
    <w:rsid w:val="000B0A33"/>
    <w:rsid w:val="000B0B86"/>
    <w:rsid w:val="000B0D24"/>
    <w:rsid w:val="000B0DE2"/>
    <w:rsid w:val="000B0E95"/>
    <w:rsid w:val="000B1047"/>
    <w:rsid w:val="000B108B"/>
    <w:rsid w:val="000B1239"/>
    <w:rsid w:val="000B139F"/>
    <w:rsid w:val="000B1440"/>
    <w:rsid w:val="000B1513"/>
    <w:rsid w:val="000B16CB"/>
    <w:rsid w:val="000B1723"/>
    <w:rsid w:val="000B1905"/>
    <w:rsid w:val="000B1A61"/>
    <w:rsid w:val="000B1C60"/>
    <w:rsid w:val="000B1E3D"/>
    <w:rsid w:val="000B1EED"/>
    <w:rsid w:val="000B1F7B"/>
    <w:rsid w:val="000B2042"/>
    <w:rsid w:val="000B22CF"/>
    <w:rsid w:val="000B2466"/>
    <w:rsid w:val="000B2490"/>
    <w:rsid w:val="000B24CB"/>
    <w:rsid w:val="000B286B"/>
    <w:rsid w:val="000B2942"/>
    <w:rsid w:val="000B2944"/>
    <w:rsid w:val="000B29A8"/>
    <w:rsid w:val="000B2AF2"/>
    <w:rsid w:val="000B2B20"/>
    <w:rsid w:val="000B2CFB"/>
    <w:rsid w:val="000B2D58"/>
    <w:rsid w:val="000B2DCD"/>
    <w:rsid w:val="000B2E2A"/>
    <w:rsid w:val="000B2F0F"/>
    <w:rsid w:val="000B3097"/>
    <w:rsid w:val="000B3239"/>
    <w:rsid w:val="000B3244"/>
    <w:rsid w:val="000B3546"/>
    <w:rsid w:val="000B3557"/>
    <w:rsid w:val="000B3623"/>
    <w:rsid w:val="000B3781"/>
    <w:rsid w:val="000B3BB2"/>
    <w:rsid w:val="000B3CF9"/>
    <w:rsid w:val="000B3D71"/>
    <w:rsid w:val="000B3DC4"/>
    <w:rsid w:val="000B3F0A"/>
    <w:rsid w:val="000B3F3E"/>
    <w:rsid w:val="000B410B"/>
    <w:rsid w:val="000B4179"/>
    <w:rsid w:val="000B442C"/>
    <w:rsid w:val="000B449E"/>
    <w:rsid w:val="000B46A5"/>
    <w:rsid w:val="000B46B0"/>
    <w:rsid w:val="000B4935"/>
    <w:rsid w:val="000B4BE7"/>
    <w:rsid w:val="000B4F71"/>
    <w:rsid w:val="000B4FDE"/>
    <w:rsid w:val="000B5042"/>
    <w:rsid w:val="000B5227"/>
    <w:rsid w:val="000B53C0"/>
    <w:rsid w:val="000B53FD"/>
    <w:rsid w:val="000B56FE"/>
    <w:rsid w:val="000B5744"/>
    <w:rsid w:val="000B5920"/>
    <w:rsid w:val="000B5B36"/>
    <w:rsid w:val="000B5B43"/>
    <w:rsid w:val="000B5BC6"/>
    <w:rsid w:val="000B5BF2"/>
    <w:rsid w:val="000B5C2F"/>
    <w:rsid w:val="000B5E54"/>
    <w:rsid w:val="000B6055"/>
    <w:rsid w:val="000B617E"/>
    <w:rsid w:val="000B61DE"/>
    <w:rsid w:val="000B62CD"/>
    <w:rsid w:val="000B649C"/>
    <w:rsid w:val="000B64E3"/>
    <w:rsid w:val="000B6526"/>
    <w:rsid w:val="000B652D"/>
    <w:rsid w:val="000B6642"/>
    <w:rsid w:val="000B66AC"/>
    <w:rsid w:val="000B673D"/>
    <w:rsid w:val="000B678C"/>
    <w:rsid w:val="000B689B"/>
    <w:rsid w:val="000B6C90"/>
    <w:rsid w:val="000B6D4D"/>
    <w:rsid w:val="000B6D71"/>
    <w:rsid w:val="000B6E66"/>
    <w:rsid w:val="000B7103"/>
    <w:rsid w:val="000B71AE"/>
    <w:rsid w:val="000B73C6"/>
    <w:rsid w:val="000B7464"/>
    <w:rsid w:val="000B7685"/>
    <w:rsid w:val="000B7705"/>
    <w:rsid w:val="000B79D3"/>
    <w:rsid w:val="000B7BBD"/>
    <w:rsid w:val="000B7CB8"/>
    <w:rsid w:val="000B7DC3"/>
    <w:rsid w:val="000B7F93"/>
    <w:rsid w:val="000C0057"/>
    <w:rsid w:val="000C0148"/>
    <w:rsid w:val="000C01CF"/>
    <w:rsid w:val="000C03E7"/>
    <w:rsid w:val="000C0415"/>
    <w:rsid w:val="000C050C"/>
    <w:rsid w:val="000C05EA"/>
    <w:rsid w:val="000C064E"/>
    <w:rsid w:val="000C06A4"/>
    <w:rsid w:val="000C0995"/>
    <w:rsid w:val="000C0BBD"/>
    <w:rsid w:val="000C0CC4"/>
    <w:rsid w:val="000C0F3A"/>
    <w:rsid w:val="000C0F70"/>
    <w:rsid w:val="000C0FAC"/>
    <w:rsid w:val="000C0FC2"/>
    <w:rsid w:val="000C11C1"/>
    <w:rsid w:val="000C1231"/>
    <w:rsid w:val="000C1575"/>
    <w:rsid w:val="000C1610"/>
    <w:rsid w:val="000C176C"/>
    <w:rsid w:val="000C17C6"/>
    <w:rsid w:val="000C181E"/>
    <w:rsid w:val="000C19A5"/>
    <w:rsid w:val="000C1B85"/>
    <w:rsid w:val="000C1D26"/>
    <w:rsid w:val="000C1F18"/>
    <w:rsid w:val="000C1FE4"/>
    <w:rsid w:val="000C204F"/>
    <w:rsid w:val="000C2096"/>
    <w:rsid w:val="000C2154"/>
    <w:rsid w:val="000C22D2"/>
    <w:rsid w:val="000C26DF"/>
    <w:rsid w:val="000C2987"/>
    <w:rsid w:val="000C2E52"/>
    <w:rsid w:val="000C2EA9"/>
    <w:rsid w:val="000C2F68"/>
    <w:rsid w:val="000C2FF3"/>
    <w:rsid w:val="000C32BB"/>
    <w:rsid w:val="000C32CA"/>
    <w:rsid w:val="000C34B4"/>
    <w:rsid w:val="000C354C"/>
    <w:rsid w:val="000C3727"/>
    <w:rsid w:val="000C379B"/>
    <w:rsid w:val="000C3927"/>
    <w:rsid w:val="000C396A"/>
    <w:rsid w:val="000C3B22"/>
    <w:rsid w:val="000C4063"/>
    <w:rsid w:val="000C45B2"/>
    <w:rsid w:val="000C4824"/>
    <w:rsid w:val="000C4BB7"/>
    <w:rsid w:val="000C4CFF"/>
    <w:rsid w:val="000C4DBE"/>
    <w:rsid w:val="000C4DFC"/>
    <w:rsid w:val="000C50B3"/>
    <w:rsid w:val="000C5177"/>
    <w:rsid w:val="000C53E9"/>
    <w:rsid w:val="000C5486"/>
    <w:rsid w:val="000C561A"/>
    <w:rsid w:val="000C567E"/>
    <w:rsid w:val="000C56AD"/>
    <w:rsid w:val="000C5849"/>
    <w:rsid w:val="000C588B"/>
    <w:rsid w:val="000C5A09"/>
    <w:rsid w:val="000C5B0D"/>
    <w:rsid w:val="000C5CCD"/>
    <w:rsid w:val="000C5CD4"/>
    <w:rsid w:val="000C604F"/>
    <w:rsid w:val="000C618F"/>
    <w:rsid w:val="000C644B"/>
    <w:rsid w:val="000C65AA"/>
    <w:rsid w:val="000C65E8"/>
    <w:rsid w:val="000C67B2"/>
    <w:rsid w:val="000C68B2"/>
    <w:rsid w:val="000C6936"/>
    <w:rsid w:val="000C6B57"/>
    <w:rsid w:val="000C6B84"/>
    <w:rsid w:val="000C6BC8"/>
    <w:rsid w:val="000C6E9F"/>
    <w:rsid w:val="000C6FB4"/>
    <w:rsid w:val="000C710E"/>
    <w:rsid w:val="000C7237"/>
    <w:rsid w:val="000C7349"/>
    <w:rsid w:val="000C762F"/>
    <w:rsid w:val="000C76F8"/>
    <w:rsid w:val="000C776D"/>
    <w:rsid w:val="000C782D"/>
    <w:rsid w:val="000C7A1D"/>
    <w:rsid w:val="000C7AE7"/>
    <w:rsid w:val="000C7B58"/>
    <w:rsid w:val="000C7D76"/>
    <w:rsid w:val="000C7F62"/>
    <w:rsid w:val="000D01AA"/>
    <w:rsid w:val="000D0282"/>
    <w:rsid w:val="000D03E4"/>
    <w:rsid w:val="000D065D"/>
    <w:rsid w:val="000D06E9"/>
    <w:rsid w:val="000D0881"/>
    <w:rsid w:val="000D09DD"/>
    <w:rsid w:val="000D0A71"/>
    <w:rsid w:val="000D0A89"/>
    <w:rsid w:val="000D0ACF"/>
    <w:rsid w:val="000D0B77"/>
    <w:rsid w:val="000D0BB6"/>
    <w:rsid w:val="000D0BDE"/>
    <w:rsid w:val="000D0C8D"/>
    <w:rsid w:val="000D1354"/>
    <w:rsid w:val="000D149C"/>
    <w:rsid w:val="000D1586"/>
    <w:rsid w:val="000D15A0"/>
    <w:rsid w:val="000D1603"/>
    <w:rsid w:val="000D1897"/>
    <w:rsid w:val="000D18FB"/>
    <w:rsid w:val="000D1B5F"/>
    <w:rsid w:val="000D1DEA"/>
    <w:rsid w:val="000D1EA8"/>
    <w:rsid w:val="000D2088"/>
    <w:rsid w:val="000D209A"/>
    <w:rsid w:val="000D224A"/>
    <w:rsid w:val="000D2311"/>
    <w:rsid w:val="000D2343"/>
    <w:rsid w:val="000D24B6"/>
    <w:rsid w:val="000D24FD"/>
    <w:rsid w:val="000D27F5"/>
    <w:rsid w:val="000D2879"/>
    <w:rsid w:val="000D29B4"/>
    <w:rsid w:val="000D2A5E"/>
    <w:rsid w:val="000D2BBC"/>
    <w:rsid w:val="000D2C1A"/>
    <w:rsid w:val="000D2D5C"/>
    <w:rsid w:val="000D2D68"/>
    <w:rsid w:val="000D2E44"/>
    <w:rsid w:val="000D2F76"/>
    <w:rsid w:val="000D32CF"/>
    <w:rsid w:val="000D3378"/>
    <w:rsid w:val="000D341A"/>
    <w:rsid w:val="000D3531"/>
    <w:rsid w:val="000D355C"/>
    <w:rsid w:val="000D366D"/>
    <w:rsid w:val="000D375A"/>
    <w:rsid w:val="000D37C2"/>
    <w:rsid w:val="000D3BC1"/>
    <w:rsid w:val="000D3CC1"/>
    <w:rsid w:val="000D3DD4"/>
    <w:rsid w:val="000D3ECB"/>
    <w:rsid w:val="000D3F0B"/>
    <w:rsid w:val="000D3FEF"/>
    <w:rsid w:val="000D4063"/>
    <w:rsid w:val="000D4101"/>
    <w:rsid w:val="000D41CA"/>
    <w:rsid w:val="000D42BA"/>
    <w:rsid w:val="000D4342"/>
    <w:rsid w:val="000D43B8"/>
    <w:rsid w:val="000D4457"/>
    <w:rsid w:val="000D453A"/>
    <w:rsid w:val="000D4603"/>
    <w:rsid w:val="000D47ED"/>
    <w:rsid w:val="000D48FF"/>
    <w:rsid w:val="000D4D62"/>
    <w:rsid w:val="000D4E8D"/>
    <w:rsid w:val="000D4F05"/>
    <w:rsid w:val="000D4F3C"/>
    <w:rsid w:val="000D528A"/>
    <w:rsid w:val="000D533D"/>
    <w:rsid w:val="000D535B"/>
    <w:rsid w:val="000D5667"/>
    <w:rsid w:val="000D571F"/>
    <w:rsid w:val="000D57A8"/>
    <w:rsid w:val="000D587D"/>
    <w:rsid w:val="000D5B43"/>
    <w:rsid w:val="000D5C58"/>
    <w:rsid w:val="000D5D5F"/>
    <w:rsid w:val="000D5E71"/>
    <w:rsid w:val="000D5EE9"/>
    <w:rsid w:val="000D625D"/>
    <w:rsid w:val="000D6282"/>
    <w:rsid w:val="000D62B1"/>
    <w:rsid w:val="000D6356"/>
    <w:rsid w:val="000D659D"/>
    <w:rsid w:val="000D65F5"/>
    <w:rsid w:val="000D68D6"/>
    <w:rsid w:val="000D6A9A"/>
    <w:rsid w:val="000D6AC3"/>
    <w:rsid w:val="000D6C93"/>
    <w:rsid w:val="000D6CB2"/>
    <w:rsid w:val="000D70AE"/>
    <w:rsid w:val="000D70D7"/>
    <w:rsid w:val="000D763B"/>
    <w:rsid w:val="000D772C"/>
    <w:rsid w:val="000D77EA"/>
    <w:rsid w:val="000D784B"/>
    <w:rsid w:val="000D7A39"/>
    <w:rsid w:val="000D7C54"/>
    <w:rsid w:val="000D7D6E"/>
    <w:rsid w:val="000D7E36"/>
    <w:rsid w:val="000D7E6C"/>
    <w:rsid w:val="000D7F69"/>
    <w:rsid w:val="000E0210"/>
    <w:rsid w:val="000E0347"/>
    <w:rsid w:val="000E0580"/>
    <w:rsid w:val="000E061C"/>
    <w:rsid w:val="000E0F7C"/>
    <w:rsid w:val="000E1007"/>
    <w:rsid w:val="000E14D3"/>
    <w:rsid w:val="000E1757"/>
    <w:rsid w:val="000E1767"/>
    <w:rsid w:val="000E17A7"/>
    <w:rsid w:val="000E1940"/>
    <w:rsid w:val="000E1979"/>
    <w:rsid w:val="000E197F"/>
    <w:rsid w:val="000E1A53"/>
    <w:rsid w:val="000E1A71"/>
    <w:rsid w:val="000E1B78"/>
    <w:rsid w:val="000E1CF1"/>
    <w:rsid w:val="000E1D84"/>
    <w:rsid w:val="000E1DB0"/>
    <w:rsid w:val="000E20EE"/>
    <w:rsid w:val="000E22CF"/>
    <w:rsid w:val="000E254C"/>
    <w:rsid w:val="000E26C1"/>
    <w:rsid w:val="000E29DC"/>
    <w:rsid w:val="000E2BDB"/>
    <w:rsid w:val="000E2CF8"/>
    <w:rsid w:val="000E2FA2"/>
    <w:rsid w:val="000E3109"/>
    <w:rsid w:val="000E311B"/>
    <w:rsid w:val="000E3120"/>
    <w:rsid w:val="000E3335"/>
    <w:rsid w:val="000E349A"/>
    <w:rsid w:val="000E352A"/>
    <w:rsid w:val="000E3592"/>
    <w:rsid w:val="000E35A0"/>
    <w:rsid w:val="000E3868"/>
    <w:rsid w:val="000E38BA"/>
    <w:rsid w:val="000E399B"/>
    <w:rsid w:val="000E3A3F"/>
    <w:rsid w:val="000E3BB9"/>
    <w:rsid w:val="000E3BE1"/>
    <w:rsid w:val="000E3D68"/>
    <w:rsid w:val="000E3DFB"/>
    <w:rsid w:val="000E3DFF"/>
    <w:rsid w:val="000E3E15"/>
    <w:rsid w:val="000E41D5"/>
    <w:rsid w:val="000E423E"/>
    <w:rsid w:val="000E4532"/>
    <w:rsid w:val="000E46A1"/>
    <w:rsid w:val="000E4762"/>
    <w:rsid w:val="000E47B0"/>
    <w:rsid w:val="000E498E"/>
    <w:rsid w:val="000E49A7"/>
    <w:rsid w:val="000E4E18"/>
    <w:rsid w:val="000E4EBC"/>
    <w:rsid w:val="000E4FF4"/>
    <w:rsid w:val="000E5031"/>
    <w:rsid w:val="000E5249"/>
    <w:rsid w:val="000E5404"/>
    <w:rsid w:val="000E56EC"/>
    <w:rsid w:val="000E5788"/>
    <w:rsid w:val="000E58ED"/>
    <w:rsid w:val="000E5972"/>
    <w:rsid w:val="000E59EA"/>
    <w:rsid w:val="000E5C21"/>
    <w:rsid w:val="000E5C53"/>
    <w:rsid w:val="000E5FEC"/>
    <w:rsid w:val="000E62FE"/>
    <w:rsid w:val="000E6391"/>
    <w:rsid w:val="000E63B0"/>
    <w:rsid w:val="000E660D"/>
    <w:rsid w:val="000E6774"/>
    <w:rsid w:val="000E6A83"/>
    <w:rsid w:val="000E6AA5"/>
    <w:rsid w:val="000E6B5A"/>
    <w:rsid w:val="000E6F3A"/>
    <w:rsid w:val="000E7041"/>
    <w:rsid w:val="000E767F"/>
    <w:rsid w:val="000E796F"/>
    <w:rsid w:val="000E797B"/>
    <w:rsid w:val="000E798E"/>
    <w:rsid w:val="000E7AAC"/>
    <w:rsid w:val="000E7AF9"/>
    <w:rsid w:val="000E7BAB"/>
    <w:rsid w:val="000E7D79"/>
    <w:rsid w:val="000E7EA5"/>
    <w:rsid w:val="000E7F56"/>
    <w:rsid w:val="000F0008"/>
    <w:rsid w:val="000F0293"/>
    <w:rsid w:val="000F0313"/>
    <w:rsid w:val="000F03DA"/>
    <w:rsid w:val="000F0431"/>
    <w:rsid w:val="000F04F6"/>
    <w:rsid w:val="000F0537"/>
    <w:rsid w:val="000F0617"/>
    <w:rsid w:val="000F0674"/>
    <w:rsid w:val="000F0743"/>
    <w:rsid w:val="000F07AF"/>
    <w:rsid w:val="000F0842"/>
    <w:rsid w:val="000F0879"/>
    <w:rsid w:val="000F097D"/>
    <w:rsid w:val="000F0AC1"/>
    <w:rsid w:val="000F0B55"/>
    <w:rsid w:val="000F10EB"/>
    <w:rsid w:val="000F1211"/>
    <w:rsid w:val="000F135E"/>
    <w:rsid w:val="000F144C"/>
    <w:rsid w:val="000F1823"/>
    <w:rsid w:val="000F1981"/>
    <w:rsid w:val="000F19C5"/>
    <w:rsid w:val="000F1A1B"/>
    <w:rsid w:val="000F1C3D"/>
    <w:rsid w:val="000F1CDA"/>
    <w:rsid w:val="000F1E54"/>
    <w:rsid w:val="000F1EE5"/>
    <w:rsid w:val="000F2222"/>
    <w:rsid w:val="000F2251"/>
    <w:rsid w:val="000F232B"/>
    <w:rsid w:val="000F260A"/>
    <w:rsid w:val="000F2649"/>
    <w:rsid w:val="000F267F"/>
    <w:rsid w:val="000F26EA"/>
    <w:rsid w:val="000F28B5"/>
    <w:rsid w:val="000F2940"/>
    <w:rsid w:val="000F29FF"/>
    <w:rsid w:val="000F2B8C"/>
    <w:rsid w:val="000F2DB8"/>
    <w:rsid w:val="000F2F0E"/>
    <w:rsid w:val="000F2F8D"/>
    <w:rsid w:val="000F319D"/>
    <w:rsid w:val="000F32A8"/>
    <w:rsid w:val="000F3314"/>
    <w:rsid w:val="000F3407"/>
    <w:rsid w:val="000F34F1"/>
    <w:rsid w:val="000F3632"/>
    <w:rsid w:val="000F3659"/>
    <w:rsid w:val="000F376F"/>
    <w:rsid w:val="000F38A4"/>
    <w:rsid w:val="000F39D3"/>
    <w:rsid w:val="000F3BAC"/>
    <w:rsid w:val="000F3CBF"/>
    <w:rsid w:val="000F3D13"/>
    <w:rsid w:val="000F3E41"/>
    <w:rsid w:val="000F3EE9"/>
    <w:rsid w:val="000F414B"/>
    <w:rsid w:val="000F44AD"/>
    <w:rsid w:val="000F49FD"/>
    <w:rsid w:val="000F4B28"/>
    <w:rsid w:val="000F4CEF"/>
    <w:rsid w:val="000F4F75"/>
    <w:rsid w:val="000F5623"/>
    <w:rsid w:val="000F58BC"/>
    <w:rsid w:val="000F594C"/>
    <w:rsid w:val="000F5A76"/>
    <w:rsid w:val="000F5D42"/>
    <w:rsid w:val="000F5D90"/>
    <w:rsid w:val="000F5E36"/>
    <w:rsid w:val="000F5F7F"/>
    <w:rsid w:val="000F61F5"/>
    <w:rsid w:val="000F6333"/>
    <w:rsid w:val="000F636E"/>
    <w:rsid w:val="000F63B1"/>
    <w:rsid w:val="000F649F"/>
    <w:rsid w:val="000F65E1"/>
    <w:rsid w:val="000F6700"/>
    <w:rsid w:val="000F69A4"/>
    <w:rsid w:val="000F6BEE"/>
    <w:rsid w:val="000F6CFE"/>
    <w:rsid w:val="000F6D7D"/>
    <w:rsid w:val="000F7206"/>
    <w:rsid w:val="000F7423"/>
    <w:rsid w:val="000F74FD"/>
    <w:rsid w:val="000F7631"/>
    <w:rsid w:val="000F7694"/>
    <w:rsid w:val="000F7787"/>
    <w:rsid w:val="000F7EB6"/>
    <w:rsid w:val="000F7F5B"/>
    <w:rsid w:val="001002D2"/>
    <w:rsid w:val="001002FE"/>
    <w:rsid w:val="00100358"/>
    <w:rsid w:val="00100409"/>
    <w:rsid w:val="00100583"/>
    <w:rsid w:val="001005D7"/>
    <w:rsid w:val="00100693"/>
    <w:rsid w:val="0010076D"/>
    <w:rsid w:val="00100979"/>
    <w:rsid w:val="00100A63"/>
    <w:rsid w:val="00100BB2"/>
    <w:rsid w:val="00100E15"/>
    <w:rsid w:val="00100E6F"/>
    <w:rsid w:val="00101375"/>
    <w:rsid w:val="001013EE"/>
    <w:rsid w:val="0010173F"/>
    <w:rsid w:val="001017B7"/>
    <w:rsid w:val="001017E3"/>
    <w:rsid w:val="001019CC"/>
    <w:rsid w:val="00101A7A"/>
    <w:rsid w:val="00101AA4"/>
    <w:rsid w:val="00101C90"/>
    <w:rsid w:val="00101D45"/>
    <w:rsid w:val="00101DA8"/>
    <w:rsid w:val="00101F87"/>
    <w:rsid w:val="00101FC3"/>
    <w:rsid w:val="00102135"/>
    <w:rsid w:val="001021D7"/>
    <w:rsid w:val="001022A9"/>
    <w:rsid w:val="001022B9"/>
    <w:rsid w:val="0010243C"/>
    <w:rsid w:val="00102519"/>
    <w:rsid w:val="00102779"/>
    <w:rsid w:val="0010286A"/>
    <w:rsid w:val="00102A38"/>
    <w:rsid w:val="00102AF4"/>
    <w:rsid w:val="00102AFD"/>
    <w:rsid w:val="00102B29"/>
    <w:rsid w:val="00102BE0"/>
    <w:rsid w:val="00102E31"/>
    <w:rsid w:val="00102F76"/>
    <w:rsid w:val="00102FEB"/>
    <w:rsid w:val="001030F9"/>
    <w:rsid w:val="0010319B"/>
    <w:rsid w:val="00103339"/>
    <w:rsid w:val="00103351"/>
    <w:rsid w:val="001033A9"/>
    <w:rsid w:val="001034E3"/>
    <w:rsid w:val="00103560"/>
    <w:rsid w:val="00103577"/>
    <w:rsid w:val="001035F8"/>
    <w:rsid w:val="0010371C"/>
    <w:rsid w:val="001039C2"/>
    <w:rsid w:val="00103AF8"/>
    <w:rsid w:val="00103B00"/>
    <w:rsid w:val="00103C7F"/>
    <w:rsid w:val="00103CBC"/>
    <w:rsid w:val="00103DFF"/>
    <w:rsid w:val="00103EEE"/>
    <w:rsid w:val="00103F1C"/>
    <w:rsid w:val="00103F3E"/>
    <w:rsid w:val="00104039"/>
    <w:rsid w:val="001040AD"/>
    <w:rsid w:val="0010421E"/>
    <w:rsid w:val="0010422B"/>
    <w:rsid w:val="00104378"/>
    <w:rsid w:val="00104618"/>
    <w:rsid w:val="0010495F"/>
    <w:rsid w:val="00104960"/>
    <w:rsid w:val="00104CB4"/>
    <w:rsid w:val="00104D90"/>
    <w:rsid w:val="00104EDD"/>
    <w:rsid w:val="001052FE"/>
    <w:rsid w:val="001053D9"/>
    <w:rsid w:val="001054EA"/>
    <w:rsid w:val="001055DB"/>
    <w:rsid w:val="0010567A"/>
    <w:rsid w:val="00105950"/>
    <w:rsid w:val="00105A17"/>
    <w:rsid w:val="00105AF2"/>
    <w:rsid w:val="00105C56"/>
    <w:rsid w:val="00105CEA"/>
    <w:rsid w:val="00105D05"/>
    <w:rsid w:val="00105D9F"/>
    <w:rsid w:val="00105DE7"/>
    <w:rsid w:val="001060B0"/>
    <w:rsid w:val="001064A4"/>
    <w:rsid w:val="00106607"/>
    <w:rsid w:val="00106826"/>
    <w:rsid w:val="00106CB2"/>
    <w:rsid w:val="00106CEE"/>
    <w:rsid w:val="00106D00"/>
    <w:rsid w:val="00106DAE"/>
    <w:rsid w:val="00106FA5"/>
    <w:rsid w:val="00107016"/>
    <w:rsid w:val="0010739F"/>
    <w:rsid w:val="001073D7"/>
    <w:rsid w:val="001074D9"/>
    <w:rsid w:val="00107594"/>
    <w:rsid w:val="00107976"/>
    <w:rsid w:val="00107B24"/>
    <w:rsid w:val="00107B43"/>
    <w:rsid w:val="00107B9E"/>
    <w:rsid w:val="00107C08"/>
    <w:rsid w:val="00107E52"/>
    <w:rsid w:val="001103B6"/>
    <w:rsid w:val="001103FC"/>
    <w:rsid w:val="00110417"/>
    <w:rsid w:val="001105A6"/>
    <w:rsid w:val="0011066E"/>
    <w:rsid w:val="001107F1"/>
    <w:rsid w:val="00110996"/>
    <w:rsid w:val="00110BA6"/>
    <w:rsid w:val="00110BE6"/>
    <w:rsid w:val="00110C5E"/>
    <w:rsid w:val="00110DC5"/>
    <w:rsid w:val="00110E0C"/>
    <w:rsid w:val="00110E3F"/>
    <w:rsid w:val="00110E61"/>
    <w:rsid w:val="00111488"/>
    <w:rsid w:val="00111524"/>
    <w:rsid w:val="00111570"/>
    <w:rsid w:val="0011159E"/>
    <w:rsid w:val="00111725"/>
    <w:rsid w:val="0011178C"/>
    <w:rsid w:val="001117D6"/>
    <w:rsid w:val="001117F7"/>
    <w:rsid w:val="001119C8"/>
    <w:rsid w:val="00111ABA"/>
    <w:rsid w:val="00111AE7"/>
    <w:rsid w:val="00111B20"/>
    <w:rsid w:val="00111EC2"/>
    <w:rsid w:val="00111F36"/>
    <w:rsid w:val="001120B0"/>
    <w:rsid w:val="001121A5"/>
    <w:rsid w:val="001121D0"/>
    <w:rsid w:val="001123D8"/>
    <w:rsid w:val="0011243C"/>
    <w:rsid w:val="001124BD"/>
    <w:rsid w:val="001124E9"/>
    <w:rsid w:val="001125AB"/>
    <w:rsid w:val="001125E7"/>
    <w:rsid w:val="00112718"/>
    <w:rsid w:val="00112809"/>
    <w:rsid w:val="0011294D"/>
    <w:rsid w:val="00112988"/>
    <w:rsid w:val="001129DA"/>
    <w:rsid w:val="00112A42"/>
    <w:rsid w:val="00112A57"/>
    <w:rsid w:val="00112CD6"/>
    <w:rsid w:val="00112CF0"/>
    <w:rsid w:val="00112E1E"/>
    <w:rsid w:val="0011307B"/>
    <w:rsid w:val="001131EF"/>
    <w:rsid w:val="00113305"/>
    <w:rsid w:val="00113339"/>
    <w:rsid w:val="001136C6"/>
    <w:rsid w:val="0011376B"/>
    <w:rsid w:val="00113974"/>
    <w:rsid w:val="00113C3E"/>
    <w:rsid w:val="0011408D"/>
    <w:rsid w:val="001141B7"/>
    <w:rsid w:val="0011428D"/>
    <w:rsid w:val="001145A6"/>
    <w:rsid w:val="001146E5"/>
    <w:rsid w:val="00114D7F"/>
    <w:rsid w:val="00114D9B"/>
    <w:rsid w:val="00114DA1"/>
    <w:rsid w:val="00114E50"/>
    <w:rsid w:val="00114EA0"/>
    <w:rsid w:val="00114F65"/>
    <w:rsid w:val="00115132"/>
    <w:rsid w:val="0011519F"/>
    <w:rsid w:val="00115274"/>
    <w:rsid w:val="0011536E"/>
    <w:rsid w:val="00115524"/>
    <w:rsid w:val="00115631"/>
    <w:rsid w:val="00115645"/>
    <w:rsid w:val="00115672"/>
    <w:rsid w:val="001157AB"/>
    <w:rsid w:val="0011585E"/>
    <w:rsid w:val="00115AAD"/>
    <w:rsid w:val="00115ADE"/>
    <w:rsid w:val="00115B53"/>
    <w:rsid w:val="00115B9B"/>
    <w:rsid w:val="00115BDB"/>
    <w:rsid w:val="00115C9E"/>
    <w:rsid w:val="00115FD0"/>
    <w:rsid w:val="00115FD4"/>
    <w:rsid w:val="00116062"/>
    <w:rsid w:val="001166BA"/>
    <w:rsid w:val="00116702"/>
    <w:rsid w:val="00116727"/>
    <w:rsid w:val="0011699D"/>
    <w:rsid w:val="00116A72"/>
    <w:rsid w:val="00116BF4"/>
    <w:rsid w:val="00116D23"/>
    <w:rsid w:val="00116D3E"/>
    <w:rsid w:val="00116D5F"/>
    <w:rsid w:val="00116EE4"/>
    <w:rsid w:val="0011713A"/>
    <w:rsid w:val="0011729F"/>
    <w:rsid w:val="001172BD"/>
    <w:rsid w:val="001178E4"/>
    <w:rsid w:val="001179D8"/>
    <w:rsid w:val="00117AA2"/>
    <w:rsid w:val="00117B8B"/>
    <w:rsid w:val="00117CFD"/>
    <w:rsid w:val="00117E00"/>
    <w:rsid w:val="00117F31"/>
    <w:rsid w:val="00120129"/>
    <w:rsid w:val="0012016C"/>
    <w:rsid w:val="0012020C"/>
    <w:rsid w:val="00120274"/>
    <w:rsid w:val="001202BE"/>
    <w:rsid w:val="0012038D"/>
    <w:rsid w:val="001203EF"/>
    <w:rsid w:val="001206AA"/>
    <w:rsid w:val="001206C3"/>
    <w:rsid w:val="00120710"/>
    <w:rsid w:val="001209F9"/>
    <w:rsid w:val="00120B1E"/>
    <w:rsid w:val="00120CE5"/>
    <w:rsid w:val="00120EFA"/>
    <w:rsid w:val="001211AB"/>
    <w:rsid w:val="00121351"/>
    <w:rsid w:val="00121484"/>
    <w:rsid w:val="001214BE"/>
    <w:rsid w:val="00121508"/>
    <w:rsid w:val="001218B8"/>
    <w:rsid w:val="00121A72"/>
    <w:rsid w:val="00121AE8"/>
    <w:rsid w:val="00121B2D"/>
    <w:rsid w:val="00121B7F"/>
    <w:rsid w:val="00121D61"/>
    <w:rsid w:val="00121F79"/>
    <w:rsid w:val="00121FEB"/>
    <w:rsid w:val="0012202B"/>
    <w:rsid w:val="001220B7"/>
    <w:rsid w:val="001220C4"/>
    <w:rsid w:val="00122452"/>
    <w:rsid w:val="00122457"/>
    <w:rsid w:val="001224D3"/>
    <w:rsid w:val="001224E3"/>
    <w:rsid w:val="00122774"/>
    <w:rsid w:val="00122781"/>
    <w:rsid w:val="0012285A"/>
    <w:rsid w:val="00122BB9"/>
    <w:rsid w:val="00122D2B"/>
    <w:rsid w:val="00122E51"/>
    <w:rsid w:val="00122F49"/>
    <w:rsid w:val="00123037"/>
    <w:rsid w:val="0012314A"/>
    <w:rsid w:val="001231F8"/>
    <w:rsid w:val="00123325"/>
    <w:rsid w:val="001233AD"/>
    <w:rsid w:val="00123449"/>
    <w:rsid w:val="0012346A"/>
    <w:rsid w:val="00123545"/>
    <w:rsid w:val="001237A3"/>
    <w:rsid w:val="001239EB"/>
    <w:rsid w:val="00123B9D"/>
    <w:rsid w:val="00123BC6"/>
    <w:rsid w:val="00123DA3"/>
    <w:rsid w:val="00123E28"/>
    <w:rsid w:val="00123F6F"/>
    <w:rsid w:val="001243EA"/>
    <w:rsid w:val="00124730"/>
    <w:rsid w:val="00124826"/>
    <w:rsid w:val="0012499F"/>
    <w:rsid w:val="00124B73"/>
    <w:rsid w:val="00124BB2"/>
    <w:rsid w:val="00124ED1"/>
    <w:rsid w:val="0012500E"/>
    <w:rsid w:val="001250D1"/>
    <w:rsid w:val="00125132"/>
    <w:rsid w:val="0012539E"/>
    <w:rsid w:val="0012542D"/>
    <w:rsid w:val="001254B6"/>
    <w:rsid w:val="0012550F"/>
    <w:rsid w:val="001255E1"/>
    <w:rsid w:val="0012561A"/>
    <w:rsid w:val="00125655"/>
    <w:rsid w:val="00125806"/>
    <w:rsid w:val="00125829"/>
    <w:rsid w:val="001258EF"/>
    <w:rsid w:val="00125AB5"/>
    <w:rsid w:val="00125B33"/>
    <w:rsid w:val="00125BF1"/>
    <w:rsid w:val="00125C08"/>
    <w:rsid w:val="00126023"/>
    <w:rsid w:val="00126058"/>
    <w:rsid w:val="001260B6"/>
    <w:rsid w:val="001260E3"/>
    <w:rsid w:val="00126201"/>
    <w:rsid w:val="00126213"/>
    <w:rsid w:val="00126239"/>
    <w:rsid w:val="00126503"/>
    <w:rsid w:val="00126653"/>
    <w:rsid w:val="001266E6"/>
    <w:rsid w:val="001266EE"/>
    <w:rsid w:val="0012692E"/>
    <w:rsid w:val="001269C7"/>
    <w:rsid w:val="00126AD1"/>
    <w:rsid w:val="00126C58"/>
    <w:rsid w:val="00126CA5"/>
    <w:rsid w:val="00126FB4"/>
    <w:rsid w:val="00127078"/>
    <w:rsid w:val="001272E6"/>
    <w:rsid w:val="00127687"/>
    <w:rsid w:val="00127780"/>
    <w:rsid w:val="001277C7"/>
    <w:rsid w:val="00127BDA"/>
    <w:rsid w:val="00127C8B"/>
    <w:rsid w:val="00127C9D"/>
    <w:rsid w:val="00127E95"/>
    <w:rsid w:val="00127EF5"/>
    <w:rsid w:val="001301AB"/>
    <w:rsid w:val="00130303"/>
    <w:rsid w:val="001307A8"/>
    <w:rsid w:val="00130B3A"/>
    <w:rsid w:val="00130BFF"/>
    <w:rsid w:val="00130D24"/>
    <w:rsid w:val="00130DCA"/>
    <w:rsid w:val="00130EF3"/>
    <w:rsid w:val="00130FF9"/>
    <w:rsid w:val="001312CB"/>
    <w:rsid w:val="00131727"/>
    <w:rsid w:val="00131A29"/>
    <w:rsid w:val="00131BAD"/>
    <w:rsid w:val="00131BE4"/>
    <w:rsid w:val="00131C13"/>
    <w:rsid w:val="00131D5F"/>
    <w:rsid w:val="0013201D"/>
    <w:rsid w:val="001322D2"/>
    <w:rsid w:val="001322ED"/>
    <w:rsid w:val="00132503"/>
    <w:rsid w:val="00132876"/>
    <w:rsid w:val="0013298F"/>
    <w:rsid w:val="00132C07"/>
    <w:rsid w:val="00132C7C"/>
    <w:rsid w:val="00132CC3"/>
    <w:rsid w:val="00132DE7"/>
    <w:rsid w:val="00132E0B"/>
    <w:rsid w:val="00132E6C"/>
    <w:rsid w:val="00132E9F"/>
    <w:rsid w:val="001330BD"/>
    <w:rsid w:val="001333F9"/>
    <w:rsid w:val="0013355A"/>
    <w:rsid w:val="001335F6"/>
    <w:rsid w:val="00133894"/>
    <w:rsid w:val="001338EF"/>
    <w:rsid w:val="00133C48"/>
    <w:rsid w:val="00133C81"/>
    <w:rsid w:val="00133C84"/>
    <w:rsid w:val="00133DFA"/>
    <w:rsid w:val="00133F08"/>
    <w:rsid w:val="00134146"/>
    <w:rsid w:val="00134222"/>
    <w:rsid w:val="001342B2"/>
    <w:rsid w:val="00134497"/>
    <w:rsid w:val="0013469F"/>
    <w:rsid w:val="001346A2"/>
    <w:rsid w:val="0013474C"/>
    <w:rsid w:val="001347D3"/>
    <w:rsid w:val="00134847"/>
    <w:rsid w:val="0013497E"/>
    <w:rsid w:val="00134A14"/>
    <w:rsid w:val="00134CCA"/>
    <w:rsid w:val="00134E5F"/>
    <w:rsid w:val="00134FA3"/>
    <w:rsid w:val="00135080"/>
    <w:rsid w:val="001350FE"/>
    <w:rsid w:val="0013515E"/>
    <w:rsid w:val="001351C6"/>
    <w:rsid w:val="00135226"/>
    <w:rsid w:val="001353D8"/>
    <w:rsid w:val="001356C7"/>
    <w:rsid w:val="001356F4"/>
    <w:rsid w:val="00135B09"/>
    <w:rsid w:val="00135BEB"/>
    <w:rsid w:val="00135F2C"/>
    <w:rsid w:val="00135FCA"/>
    <w:rsid w:val="0013601E"/>
    <w:rsid w:val="0013623B"/>
    <w:rsid w:val="001363A1"/>
    <w:rsid w:val="00136497"/>
    <w:rsid w:val="001364F2"/>
    <w:rsid w:val="0013698E"/>
    <w:rsid w:val="001369BF"/>
    <w:rsid w:val="00136F29"/>
    <w:rsid w:val="00136F6F"/>
    <w:rsid w:val="00136FA6"/>
    <w:rsid w:val="00137070"/>
    <w:rsid w:val="00137221"/>
    <w:rsid w:val="00137276"/>
    <w:rsid w:val="001372B0"/>
    <w:rsid w:val="001373C1"/>
    <w:rsid w:val="001375A1"/>
    <w:rsid w:val="00137C1B"/>
    <w:rsid w:val="00137D90"/>
    <w:rsid w:val="00137D96"/>
    <w:rsid w:val="00140023"/>
    <w:rsid w:val="0014004E"/>
    <w:rsid w:val="001404BE"/>
    <w:rsid w:val="00140509"/>
    <w:rsid w:val="00140884"/>
    <w:rsid w:val="001409BF"/>
    <w:rsid w:val="00140A5D"/>
    <w:rsid w:val="00140BDA"/>
    <w:rsid w:val="00140BFC"/>
    <w:rsid w:val="00140D09"/>
    <w:rsid w:val="00140E96"/>
    <w:rsid w:val="001412A8"/>
    <w:rsid w:val="00141457"/>
    <w:rsid w:val="001414E0"/>
    <w:rsid w:val="001416A3"/>
    <w:rsid w:val="00141B56"/>
    <w:rsid w:val="00141B83"/>
    <w:rsid w:val="00141BD1"/>
    <w:rsid w:val="00141C77"/>
    <w:rsid w:val="001423B0"/>
    <w:rsid w:val="001424E2"/>
    <w:rsid w:val="0014260C"/>
    <w:rsid w:val="00142802"/>
    <w:rsid w:val="001428CE"/>
    <w:rsid w:val="00142956"/>
    <w:rsid w:val="00142A71"/>
    <w:rsid w:val="00142B21"/>
    <w:rsid w:val="00142B86"/>
    <w:rsid w:val="00142BF0"/>
    <w:rsid w:val="00142CF3"/>
    <w:rsid w:val="00142F67"/>
    <w:rsid w:val="00143034"/>
    <w:rsid w:val="001430CA"/>
    <w:rsid w:val="001430CE"/>
    <w:rsid w:val="00143228"/>
    <w:rsid w:val="001432BD"/>
    <w:rsid w:val="0014356B"/>
    <w:rsid w:val="00143869"/>
    <w:rsid w:val="001438E0"/>
    <w:rsid w:val="00143966"/>
    <w:rsid w:val="00143A06"/>
    <w:rsid w:val="00143B25"/>
    <w:rsid w:val="00143C41"/>
    <w:rsid w:val="00143C57"/>
    <w:rsid w:val="00143D52"/>
    <w:rsid w:val="00143F85"/>
    <w:rsid w:val="00144162"/>
    <w:rsid w:val="001441DA"/>
    <w:rsid w:val="001443D2"/>
    <w:rsid w:val="00144504"/>
    <w:rsid w:val="00144A22"/>
    <w:rsid w:val="00144A67"/>
    <w:rsid w:val="00144A92"/>
    <w:rsid w:val="00144C8A"/>
    <w:rsid w:val="00144DBD"/>
    <w:rsid w:val="00144ECE"/>
    <w:rsid w:val="00145196"/>
    <w:rsid w:val="001451F4"/>
    <w:rsid w:val="0014554F"/>
    <w:rsid w:val="001455CC"/>
    <w:rsid w:val="001455FB"/>
    <w:rsid w:val="00145604"/>
    <w:rsid w:val="001457FC"/>
    <w:rsid w:val="00145AA0"/>
    <w:rsid w:val="00145E35"/>
    <w:rsid w:val="00146028"/>
    <w:rsid w:val="00146070"/>
    <w:rsid w:val="00146086"/>
    <w:rsid w:val="0014616B"/>
    <w:rsid w:val="001463F9"/>
    <w:rsid w:val="001465D6"/>
    <w:rsid w:val="00146837"/>
    <w:rsid w:val="001468EB"/>
    <w:rsid w:val="00146A13"/>
    <w:rsid w:val="00146B99"/>
    <w:rsid w:val="00146E4C"/>
    <w:rsid w:val="00147090"/>
    <w:rsid w:val="00147115"/>
    <w:rsid w:val="0014711F"/>
    <w:rsid w:val="00147135"/>
    <w:rsid w:val="001471DD"/>
    <w:rsid w:val="0014740D"/>
    <w:rsid w:val="00147461"/>
    <w:rsid w:val="001474B9"/>
    <w:rsid w:val="001475CF"/>
    <w:rsid w:val="001477CE"/>
    <w:rsid w:val="0014784D"/>
    <w:rsid w:val="0014784F"/>
    <w:rsid w:val="001478AD"/>
    <w:rsid w:val="00147958"/>
    <w:rsid w:val="00147A51"/>
    <w:rsid w:val="00147B93"/>
    <w:rsid w:val="00147BCC"/>
    <w:rsid w:val="00147D64"/>
    <w:rsid w:val="00147F4D"/>
    <w:rsid w:val="00147F6F"/>
    <w:rsid w:val="00147F73"/>
    <w:rsid w:val="00150227"/>
    <w:rsid w:val="0015040C"/>
    <w:rsid w:val="001506A5"/>
    <w:rsid w:val="001507EF"/>
    <w:rsid w:val="00150A17"/>
    <w:rsid w:val="00150B89"/>
    <w:rsid w:val="00150C35"/>
    <w:rsid w:val="00150E42"/>
    <w:rsid w:val="00150EA4"/>
    <w:rsid w:val="00150ECB"/>
    <w:rsid w:val="00150ECE"/>
    <w:rsid w:val="00151316"/>
    <w:rsid w:val="00151362"/>
    <w:rsid w:val="0015167D"/>
    <w:rsid w:val="001517E0"/>
    <w:rsid w:val="001519C7"/>
    <w:rsid w:val="00151AEB"/>
    <w:rsid w:val="00151B83"/>
    <w:rsid w:val="00151BB9"/>
    <w:rsid w:val="00151DD6"/>
    <w:rsid w:val="00151DFB"/>
    <w:rsid w:val="00152123"/>
    <w:rsid w:val="0015233A"/>
    <w:rsid w:val="00152401"/>
    <w:rsid w:val="00152436"/>
    <w:rsid w:val="00152611"/>
    <w:rsid w:val="00152807"/>
    <w:rsid w:val="0015296C"/>
    <w:rsid w:val="00152BE0"/>
    <w:rsid w:val="00152C3D"/>
    <w:rsid w:val="00152DCF"/>
    <w:rsid w:val="00152E51"/>
    <w:rsid w:val="00152ED6"/>
    <w:rsid w:val="00152FED"/>
    <w:rsid w:val="00153084"/>
    <w:rsid w:val="00153379"/>
    <w:rsid w:val="001533D1"/>
    <w:rsid w:val="0015374D"/>
    <w:rsid w:val="001539CB"/>
    <w:rsid w:val="00153AA7"/>
    <w:rsid w:val="00153CA7"/>
    <w:rsid w:val="00153D48"/>
    <w:rsid w:val="00153E6E"/>
    <w:rsid w:val="00153FE3"/>
    <w:rsid w:val="00154247"/>
    <w:rsid w:val="0015455F"/>
    <w:rsid w:val="001547E3"/>
    <w:rsid w:val="0015484C"/>
    <w:rsid w:val="001548F9"/>
    <w:rsid w:val="00154A35"/>
    <w:rsid w:val="00154A9A"/>
    <w:rsid w:val="00154B18"/>
    <w:rsid w:val="00154BAE"/>
    <w:rsid w:val="00154BDC"/>
    <w:rsid w:val="00154E7B"/>
    <w:rsid w:val="001550A3"/>
    <w:rsid w:val="0015510B"/>
    <w:rsid w:val="00155469"/>
    <w:rsid w:val="00155662"/>
    <w:rsid w:val="00155746"/>
    <w:rsid w:val="001558A1"/>
    <w:rsid w:val="00155AE2"/>
    <w:rsid w:val="00155EAF"/>
    <w:rsid w:val="0015629D"/>
    <w:rsid w:val="00156349"/>
    <w:rsid w:val="00156419"/>
    <w:rsid w:val="001567D8"/>
    <w:rsid w:val="0015686A"/>
    <w:rsid w:val="00156C0A"/>
    <w:rsid w:val="00156C80"/>
    <w:rsid w:val="00156F50"/>
    <w:rsid w:val="0015700B"/>
    <w:rsid w:val="001570F4"/>
    <w:rsid w:val="00157350"/>
    <w:rsid w:val="00157400"/>
    <w:rsid w:val="0015742B"/>
    <w:rsid w:val="0015746A"/>
    <w:rsid w:val="001574A7"/>
    <w:rsid w:val="001574B6"/>
    <w:rsid w:val="0015756A"/>
    <w:rsid w:val="001575FA"/>
    <w:rsid w:val="001576BE"/>
    <w:rsid w:val="001576D8"/>
    <w:rsid w:val="0015776C"/>
    <w:rsid w:val="00157793"/>
    <w:rsid w:val="0015787F"/>
    <w:rsid w:val="001579DC"/>
    <w:rsid w:val="00157AD5"/>
    <w:rsid w:val="00157BA5"/>
    <w:rsid w:val="00157CEB"/>
    <w:rsid w:val="00157D02"/>
    <w:rsid w:val="00157EFB"/>
    <w:rsid w:val="00157F02"/>
    <w:rsid w:val="00157F25"/>
    <w:rsid w:val="00160015"/>
    <w:rsid w:val="0016006A"/>
    <w:rsid w:val="00160229"/>
    <w:rsid w:val="00160346"/>
    <w:rsid w:val="001604D5"/>
    <w:rsid w:val="001605EB"/>
    <w:rsid w:val="00160701"/>
    <w:rsid w:val="00160808"/>
    <w:rsid w:val="00160877"/>
    <w:rsid w:val="00160EA4"/>
    <w:rsid w:val="00160F72"/>
    <w:rsid w:val="0016108C"/>
    <w:rsid w:val="001610AC"/>
    <w:rsid w:val="00161391"/>
    <w:rsid w:val="00161557"/>
    <w:rsid w:val="0016157E"/>
    <w:rsid w:val="00161616"/>
    <w:rsid w:val="001619B1"/>
    <w:rsid w:val="00161DCE"/>
    <w:rsid w:val="001620CB"/>
    <w:rsid w:val="001620E5"/>
    <w:rsid w:val="00162283"/>
    <w:rsid w:val="001622F3"/>
    <w:rsid w:val="001622F4"/>
    <w:rsid w:val="00162320"/>
    <w:rsid w:val="001625EC"/>
    <w:rsid w:val="00162646"/>
    <w:rsid w:val="00162780"/>
    <w:rsid w:val="00162874"/>
    <w:rsid w:val="001628E0"/>
    <w:rsid w:val="00162999"/>
    <w:rsid w:val="00162A4A"/>
    <w:rsid w:val="00162C12"/>
    <w:rsid w:val="00162D76"/>
    <w:rsid w:val="00162F75"/>
    <w:rsid w:val="00162FA5"/>
    <w:rsid w:val="0016331F"/>
    <w:rsid w:val="001636FE"/>
    <w:rsid w:val="001637AF"/>
    <w:rsid w:val="00163917"/>
    <w:rsid w:val="00163983"/>
    <w:rsid w:val="00163B78"/>
    <w:rsid w:val="00163CF4"/>
    <w:rsid w:val="00163E35"/>
    <w:rsid w:val="00164143"/>
    <w:rsid w:val="00164202"/>
    <w:rsid w:val="001642D9"/>
    <w:rsid w:val="0016436C"/>
    <w:rsid w:val="00164375"/>
    <w:rsid w:val="00164412"/>
    <w:rsid w:val="00164540"/>
    <w:rsid w:val="001646A5"/>
    <w:rsid w:val="00164A46"/>
    <w:rsid w:val="00164B0D"/>
    <w:rsid w:val="00164B4B"/>
    <w:rsid w:val="00164B85"/>
    <w:rsid w:val="00164E5E"/>
    <w:rsid w:val="00164ECE"/>
    <w:rsid w:val="00164F2C"/>
    <w:rsid w:val="001652C2"/>
    <w:rsid w:val="0016534B"/>
    <w:rsid w:val="00165381"/>
    <w:rsid w:val="001654B0"/>
    <w:rsid w:val="001654B3"/>
    <w:rsid w:val="00165657"/>
    <w:rsid w:val="001657CF"/>
    <w:rsid w:val="001658D6"/>
    <w:rsid w:val="00165907"/>
    <w:rsid w:val="00165B67"/>
    <w:rsid w:val="00165C59"/>
    <w:rsid w:val="00165CF7"/>
    <w:rsid w:val="00165CF9"/>
    <w:rsid w:val="00165DC0"/>
    <w:rsid w:val="00165F83"/>
    <w:rsid w:val="00165FF0"/>
    <w:rsid w:val="00166071"/>
    <w:rsid w:val="00166098"/>
    <w:rsid w:val="001660AA"/>
    <w:rsid w:val="0016624A"/>
    <w:rsid w:val="00166322"/>
    <w:rsid w:val="0016643B"/>
    <w:rsid w:val="00166588"/>
    <w:rsid w:val="0016688E"/>
    <w:rsid w:val="0016689D"/>
    <w:rsid w:val="001668F8"/>
    <w:rsid w:val="001669BD"/>
    <w:rsid w:val="00166BE5"/>
    <w:rsid w:val="00166D3E"/>
    <w:rsid w:val="00166E14"/>
    <w:rsid w:val="00166E24"/>
    <w:rsid w:val="00166EA5"/>
    <w:rsid w:val="00166F83"/>
    <w:rsid w:val="00167169"/>
    <w:rsid w:val="001671AE"/>
    <w:rsid w:val="0016723A"/>
    <w:rsid w:val="001672D1"/>
    <w:rsid w:val="00167335"/>
    <w:rsid w:val="001674D8"/>
    <w:rsid w:val="001674FA"/>
    <w:rsid w:val="00167642"/>
    <w:rsid w:val="0016782C"/>
    <w:rsid w:val="00167AA3"/>
    <w:rsid w:val="00167B0C"/>
    <w:rsid w:val="00167C14"/>
    <w:rsid w:val="00167C2E"/>
    <w:rsid w:val="00167CEB"/>
    <w:rsid w:val="00170100"/>
    <w:rsid w:val="0017032D"/>
    <w:rsid w:val="0017034B"/>
    <w:rsid w:val="001704CF"/>
    <w:rsid w:val="001709E4"/>
    <w:rsid w:val="00170B7A"/>
    <w:rsid w:val="00170CF5"/>
    <w:rsid w:val="00170D94"/>
    <w:rsid w:val="00170DC9"/>
    <w:rsid w:val="00170F63"/>
    <w:rsid w:val="00171164"/>
    <w:rsid w:val="00171335"/>
    <w:rsid w:val="00171405"/>
    <w:rsid w:val="0017181D"/>
    <w:rsid w:val="0017193A"/>
    <w:rsid w:val="00171A05"/>
    <w:rsid w:val="00171BE3"/>
    <w:rsid w:val="00171CFA"/>
    <w:rsid w:val="00171D3B"/>
    <w:rsid w:val="00171D48"/>
    <w:rsid w:val="00172042"/>
    <w:rsid w:val="0017206A"/>
    <w:rsid w:val="00172099"/>
    <w:rsid w:val="001721E8"/>
    <w:rsid w:val="001721FB"/>
    <w:rsid w:val="00172216"/>
    <w:rsid w:val="0017242E"/>
    <w:rsid w:val="00172529"/>
    <w:rsid w:val="001725BB"/>
    <w:rsid w:val="001727EF"/>
    <w:rsid w:val="00172AFD"/>
    <w:rsid w:val="00172E17"/>
    <w:rsid w:val="00172E28"/>
    <w:rsid w:val="00172EC4"/>
    <w:rsid w:val="00172F3A"/>
    <w:rsid w:val="00172F7E"/>
    <w:rsid w:val="00172FD5"/>
    <w:rsid w:val="0017306F"/>
    <w:rsid w:val="001730A3"/>
    <w:rsid w:val="001730D5"/>
    <w:rsid w:val="001730FD"/>
    <w:rsid w:val="0017311D"/>
    <w:rsid w:val="001735B1"/>
    <w:rsid w:val="001736C3"/>
    <w:rsid w:val="00173798"/>
    <w:rsid w:val="001738AD"/>
    <w:rsid w:val="00173967"/>
    <w:rsid w:val="00173A3C"/>
    <w:rsid w:val="00173BE6"/>
    <w:rsid w:val="00173DA5"/>
    <w:rsid w:val="00173E72"/>
    <w:rsid w:val="00173E9E"/>
    <w:rsid w:val="00173EB8"/>
    <w:rsid w:val="00173F23"/>
    <w:rsid w:val="00174458"/>
    <w:rsid w:val="00174762"/>
    <w:rsid w:val="00174E33"/>
    <w:rsid w:val="00175209"/>
    <w:rsid w:val="001755B7"/>
    <w:rsid w:val="00175631"/>
    <w:rsid w:val="001756D9"/>
    <w:rsid w:val="0017572D"/>
    <w:rsid w:val="00175899"/>
    <w:rsid w:val="00175AA2"/>
    <w:rsid w:val="00175ACB"/>
    <w:rsid w:val="00175C98"/>
    <w:rsid w:val="00175F9B"/>
    <w:rsid w:val="001760FF"/>
    <w:rsid w:val="001762C5"/>
    <w:rsid w:val="0017645D"/>
    <w:rsid w:val="00176738"/>
    <w:rsid w:val="0017673B"/>
    <w:rsid w:val="00176809"/>
    <w:rsid w:val="00176825"/>
    <w:rsid w:val="00176A26"/>
    <w:rsid w:val="00176AFA"/>
    <w:rsid w:val="00176C7E"/>
    <w:rsid w:val="00176E42"/>
    <w:rsid w:val="00176E9A"/>
    <w:rsid w:val="00176F37"/>
    <w:rsid w:val="00176F42"/>
    <w:rsid w:val="0017711A"/>
    <w:rsid w:val="001775AD"/>
    <w:rsid w:val="0017771D"/>
    <w:rsid w:val="001777D5"/>
    <w:rsid w:val="001777E9"/>
    <w:rsid w:val="001778D0"/>
    <w:rsid w:val="00177B6B"/>
    <w:rsid w:val="00177CE8"/>
    <w:rsid w:val="00177D12"/>
    <w:rsid w:val="00177FA2"/>
    <w:rsid w:val="00180001"/>
    <w:rsid w:val="001800DE"/>
    <w:rsid w:val="0018064C"/>
    <w:rsid w:val="0018071B"/>
    <w:rsid w:val="001807C0"/>
    <w:rsid w:val="00180935"/>
    <w:rsid w:val="00180A23"/>
    <w:rsid w:val="00180AA4"/>
    <w:rsid w:val="00180B76"/>
    <w:rsid w:val="00180BE8"/>
    <w:rsid w:val="00180DB3"/>
    <w:rsid w:val="00180E8C"/>
    <w:rsid w:val="00180F82"/>
    <w:rsid w:val="00180FF9"/>
    <w:rsid w:val="001810D8"/>
    <w:rsid w:val="001811DE"/>
    <w:rsid w:val="0018179C"/>
    <w:rsid w:val="001818CC"/>
    <w:rsid w:val="00181920"/>
    <w:rsid w:val="00181B43"/>
    <w:rsid w:val="00181B53"/>
    <w:rsid w:val="00181C51"/>
    <w:rsid w:val="00181D83"/>
    <w:rsid w:val="00181DF2"/>
    <w:rsid w:val="00181EE9"/>
    <w:rsid w:val="00182024"/>
    <w:rsid w:val="001820F0"/>
    <w:rsid w:val="0018217F"/>
    <w:rsid w:val="00182270"/>
    <w:rsid w:val="00182487"/>
    <w:rsid w:val="001826CB"/>
    <w:rsid w:val="001827AC"/>
    <w:rsid w:val="00182899"/>
    <w:rsid w:val="00182E69"/>
    <w:rsid w:val="001830E9"/>
    <w:rsid w:val="0018319B"/>
    <w:rsid w:val="001831E8"/>
    <w:rsid w:val="001832B0"/>
    <w:rsid w:val="0018349C"/>
    <w:rsid w:val="00183513"/>
    <w:rsid w:val="00183562"/>
    <w:rsid w:val="00183649"/>
    <w:rsid w:val="00183970"/>
    <w:rsid w:val="001839F1"/>
    <w:rsid w:val="00183C19"/>
    <w:rsid w:val="001843C4"/>
    <w:rsid w:val="0018450C"/>
    <w:rsid w:val="00184519"/>
    <w:rsid w:val="001845F7"/>
    <w:rsid w:val="0018470A"/>
    <w:rsid w:val="00184953"/>
    <w:rsid w:val="0018497E"/>
    <w:rsid w:val="00184A83"/>
    <w:rsid w:val="00184AF0"/>
    <w:rsid w:val="00184CAA"/>
    <w:rsid w:val="00184DA4"/>
    <w:rsid w:val="00185037"/>
    <w:rsid w:val="0018537D"/>
    <w:rsid w:val="001853A3"/>
    <w:rsid w:val="001853A5"/>
    <w:rsid w:val="00185644"/>
    <w:rsid w:val="00185847"/>
    <w:rsid w:val="00185851"/>
    <w:rsid w:val="00185A8A"/>
    <w:rsid w:val="00185B75"/>
    <w:rsid w:val="00185D67"/>
    <w:rsid w:val="001860B4"/>
    <w:rsid w:val="001862DA"/>
    <w:rsid w:val="001864CB"/>
    <w:rsid w:val="0018659D"/>
    <w:rsid w:val="001866D1"/>
    <w:rsid w:val="0018677D"/>
    <w:rsid w:val="001868A3"/>
    <w:rsid w:val="00186A8A"/>
    <w:rsid w:val="00186EB8"/>
    <w:rsid w:val="00187145"/>
    <w:rsid w:val="001874F4"/>
    <w:rsid w:val="0018758F"/>
    <w:rsid w:val="00187613"/>
    <w:rsid w:val="00187695"/>
    <w:rsid w:val="00187749"/>
    <w:rsid w:val="001879DC"/>
    <w:rsid w:val="00187A61"/>
    <w:rsid w:val="00187DA4"/>
    <w:rsid w:val="00187ED3"/>
    <w:rsid w:val="00187F9D"/>
    <w:rsid w:val="00187FF8"/>
    <w:rsid w:val="00190028"/>
    <w:rsid w:val="0019021F"/>
    <w:rsid w:val="001904CE"/>
    <w:rsid w:val="001904D5"/>
    <w:rsid w:val="001906B8"/>
    <w:rsid w:val="00190D28"/>
    <w:rsid w:val="00190F9D"/>
    <w:rsid w:val="0019104D"/>
    <w:rsid w:val="001910D7"/>
    <w:rsid w:val="0019124B"/>
    <w:rsid w:val="0019151E"/>
    <w:rsid w:val="00191643"/>
    <w:rsid w:val="00191671"/>
    <w:rsid w:val="00191702"/>
    <w:rsid w:val="00191778"/>
    <w:rsid w:val="00191A77"/>
    <w:rsid w:val="00191DB3"/>
    <w:rsid w:val="00191E01"/>
    <w:rsid w:val="00191EF5"/>
    <w:rsid w:val="00191FBE"/>
    <w:rsid w:val="00191FD5"/>
    <w:rsid w:val="00192214"/>
    <w:rsid w:val="001922F9"/>
    <w:rsid w:val="001923ED"/>
    <w:rsid w:val="00192810"/>
    <w:rsid w:val="001928D9"/>
    <w:rsid w:val="00192998"/>
    <w:rsid w:val="00192A6C"/>
    <w:rsid w:val="00192A97"/>
    <w:rsid w:val="00192AD7"/>
    <w:rsid w:val="00192B90"/>
    <w:rsid w:val="00192BFE"/>
    <w:rsid w:val="00192CEE"/>
    <w:rsid w:val="00192D0D"/>
    <w:rsid w:val="001930E0"/>
    <w:rsid w:val="00193245"/>
    <w:rsid w:val="00193260"/>
    <w:rsid w:val="00193266"/>
    <w:rsid w:val="00193370"/>
    <w:rsid w:val="0019339B"/>
    <w:rsid w:val="00193516"/>
    <w:rsid w:val="0019360F"/>
    <w:rsid w:val="0019374B"/>
    <w:rsid w:val="001938FB"/>
    <w:rsid w:val="00193A90"/>
    <w:rsid w:val="00193B10"/>
    <w:rsid w:val="00193D7C"/>
    <w:rsid w:val="00193EE3"/>
    <w:rsid w:val="00194098"/>
    <w:rsid w:val="00194188"/>
    <w:rsid w:val="00194460"/>
    <w:rsid w:val="0019483E"/>
    <w:rsid w:val="00194995"/>
    <w:rsid w:val="001949A2"/>
    <w:rsid w:val="001949B4"/>
    <w:rsid w:val="00194A2E"/>
    <w:rsid w:val="00194FCC"/>
    <w:rsid w:val="00195414"/>
    <w:rsid w:val="00195435"/>
    <w:rsid w:val="00195476"/>
    <w:rsid w:val="00195532"/>
    <w:rsid w:val="001955C8"/>
    <w:rsid w:val="001957D6"/>
    <w:rsid w:val="00195CD2"/>
    <w:rsid w:val="00195D03"/>
    <w:rsid w:val="00195F64"/>
    <w:rsid w:val="00195F9A"/>
    <w:rsid w:val="00196167"/>
    <w:rsid w:val="0019620C"/>
    <w:rsid w:val="0019636D"/>
    <w:rsid w:val="00196526"/>
    <w:rsid w:val="00196569"/>
    <w:rsid w:val="00196594"/>
    <w:rsid w:val="00196681"/>
    <w:rsid w:val="001967AC"/>
    <w:rsid w:val="001967CE"/>
    <w:rsid w:val="00196963"/>
    <w:rsid w:val="00196B93"/>
    <w:rsid w:val="00196BA3"/>
    <w:rsid w:val="00197004"/>
    <w:rsid w:val="001970F9"/>
    <w:rsid w:val="00197350"/>
    <w:rsid w:val="00197ABB"/>
    <w:rsid w:val="00197BC3"/>
    <w:rsid w:val="00197D85"/>
    <w:rsid w:val="00197DCD"/>
    <w:rsid w:val="001A01C9"/>
    <w:rsid w:val="001A01FB"/>
    <w:rsid w:val="001A02D8"/>
    <w:rsid w:val="001A033E"/>
    <w:rsid w:val="001A0378"/>
    <w:rsid w:val="001A03BB"/>
    <w:rsid w:val="001A04F0"/>
    <w:rsid w:val="001A0619"/>
    <w:rsid w:val="001A064C"/>
    <w:rsid w:val="001A06A6"/>
    <w:rsid w:val="001A06B0"/>
    <w:rsid w:val="001A07DC"/>
    <w:rsid w:val="001A08A7"/>
    <w:rsid w:val="001A0961"/>
    <w:rsid w:val="001A0968"/>
    <w:rsid w:val="001A0CC5"/>
    <w:rsid w:val="001A0E7C"/>
    <w:rsid w:val="001A0F0C"/>
    <w:rsid w:val="001A11EC"/>
    <w:rsid w:val="001A1368"/>
    <w:rsid w:val="001A1395"/>
    <w:rsid w:val="001A1720"/>
    <w:rsid w:val="001A18C9"/>
    <w:rsid w:val="001A192B"/>
    <w:rsid w:val="001A1BA1"/>
    <w:rsid w:val="001A1C68"/>
    <w:rsid w:val="001A2109"/>
    <w:rsid w:val="001A23AE"/>
    <w:rsid w:val="001A2466"/>
    <w:rsid w:val="001A2652"/>
    <w:rsid w:val="001A267A"/>
    <w:rsid w:val="001A26F5"/>
    <w:rsid w:val="001A27E6"/>
    <w:rsid w:val="001A2916"/>
    <w:rsid w:val="001A2CC0"/>
    <w:rsid w:val="001A2DD8"/>
    <w:rsid w:val="001A2DDC"/>
    <w:rsid w:val="001A2F36"/>
    <w:rsid w:val="001A2F8A"/>
    <w:rsid w:val="001A2F99"/>
    <w:rsid w:val="001A3229"/>
    <w:rsid w:val="001A33BA"/>
    <w:rsid w:val="001A341C"/>
    <w:rsid w:val="001A35DE"/>
    <w:rsid w:val="001A36B9"/>
    <w:rsid w:val="001A372B"/>
    <w:rsid w:val="001A3771"/>
    <w:rsid w:val="001A3991"/>
    <w:rsid w:val="001A3A3A"/>
    <w:rsid w:val="001A3B75"/>
    <w:rsid w:val="001A3BF9"/>
    <w:rsid w:val="001A3DFF"/>
    <w:rsid w:val="001A3FC0"/>
    <w:rsid w:val="001A4336"/>
    <w:rsid w:val="001A43A7"/>
    <w:rsid w:val="001A43B6"/>
    <w:rsid w:val="001A453A"/>
    <w:rsid w:val="001A46BF"/>
    <w:rsid w:val="001A4780"/>
    <w:rsid w:val="001A4855"/>
    <w:rsid w:val="001A49C2"/>
    <w:rsid w:val="001A4B3F"/>
    <w:rsid w:val="001A4CB3"/>
    <w:rsid w:val="001A4CCB"/>
    <w:rsid w:val="001A4EB6"/>
    <w:rsid w:val="001A5015"/>
    <w:rsid w:val="001A508D"/>
    <w:rsid w:val="001A527D"/>
    <w:rsid w:val="001A53CF"/>
    <w:rsid w:val="001A53E2"/>
    <w:rsid w:val="001A5419"/>
    <w:rsid w:val="001A5511"/>
    <w:rsid w:val="001A5705"/>
    <w:rsid w:val="001A585E"/>
    <w:rsid w:val="001A592C"/>
    <w:rsid w:val="001A5B84"/>
    <w:rsid w:val="001A5CD7"/>
    <w:rsid w:val="001A5D64"/>
    <w:rsid w:val="001A620B"/>
    <w:rsid w:val="001A63F2"/>
    <w:rsid w:val="001A6496"/>
    <w:rsid w:val="001A6575"/>
    <w:rsid w:val="001A6A59"/>
    <w:rsid w:val="001A6E6B"/>
    <w:rsid w:val="001A6F1C"/>
    <w:rsid w:val="001A6FE7"/>
    <w:rsid w:val="001A7031"/>
    <w:rsid w:val="001A7346"/>
    <w:rsid w:val="001A7386"/>
    <w:rsid w:val="001A744E"/>
    <w:rsid w:val="001A751B"/>
    <w:rsid w:val="001A7555"/>
    <w:rsid w:val="001A7591"/>
    <w:rsid w:val="001A76BC"/>
    <w:rsid w:val="001A7744"/>
    <w:rsid w:val="001A7971"/>
    <w:rsid w:val="001A7B28"/>
    <w:rsid w:val="001A7BFE"/>
    <w:rsid w:val="001A7E01"/>
    <w:rsid w:val="001A7E31"/>
    <w:rsid w:val="001A7F11"/>
    <w:rsid w:val="001A7FFD"/>
    <w:rsid w:val="001B0110"/>
    <w:rsid w:val="001B0511"/>
    <w:rsid w:val="001B066D"/>
    <w:rsid w:val="001B090D"/>
    <w:rsid w:val="001B09B6"/>
    <w:rsid w:val="001B09E3"/>
    <w:rsid w:val="001B0AC4"/>
    <w:rsid w:val="001B0B0F"/>
    <w:rsid w:val="001B0B73"/>
    <w:rsid w:val="001B0C0A"/>
    <w:rsid w:val="001B0F33"/>
    <w:rsid w:val="001B105E"/>
    <w:rsid w:val="001B10FE"/>
    <w:rsid w:val="001B116C"/>
    <w:rsid w:val="001B11A3"/>
    <w:rsid w:val="001B11A8"/>
    <w:rsid w:val="001B1324"/>
    <w:rsid w:val="001B144F"/>
    <w:rsid w:val="001B1729"/>
    <w:rsid w:val="001B1D97"/>
    <w:rsid w:val="001B1F81"/>
    <w:rsid w:val="001B1FAD"/>
    <w:rsid w:val="001B21F8"/>
    <w:rsid w:val="001B2607"/>
    <w:rsid w:val="001B28A1"/>
    <w:rsid w:val="001B29E9"/>
    <w:rsid w:val="001B2B50"/>
    <w:rsid w:val="001B2BDD"/>
    <w:rsid w:val="001B2C80"/>
    <w:rsid w:val="001B2E09"/>
    <w:rsid w:val="001B3048"/>
    <w:rsid w:val="001B34F9"/>
    <w:rsid w:val="001B36F1"/>
    <w:rsid w:val="001B3708"/>
    <w:rsid w:val="001B3955"/>
    <w:rsid w:val="001B3961"/>
    <w:rsid w:val="001B3B1B"/>
    <w:rsid w:val="001B3B45"/>
    <w:rsid w:val="001B3D04"/>
    <w:rsid w:val="001B3DBE"/>
    <w:rsid w:val="001B3F02"/>
    <w:rsid w:val="001B3FEE"/>
    <w:rsid w:val="001B40CB"/>
    <w:rsid w:val="001B40D1"/>
    <w:rsid w:val="001B40E1"/>
    <w:rsid w:val="001B40E7"/>
    <w:rsid w:val="001B42E4"/>
    <w:rsid w:val="001B4360"/>
    <w:rsid w:val="001B436F"/>
    <w:rsid w:val="001B4AC7"/>
    <w:rsid w:val="001B4BCE"/>
    <w:rsid w:val="001B4D9E"/>
    <w:rsid w:val="001B4DED"/>
    <w:rsid w:val="001B4E90"/>
    <w:rsid w:val="001B4F46"/>
    <w:rsid w:val="001B4FAE"/>
    <w:rsid w:val="001B5291"/>
    <w:rsid w:val="001B563F"/>
    <w:rsid w:val="001B571B"/>
    <w:rsid w:val="001B57E2"/>
    <w:rsid w:val="001B582D"/>
    <w:rsid w:val="001B5890"/>
    <w:rsid w:val="001B58F5"/>
    <w:rsid w:val="001B59A9"/>
    <w:rsid w:val="001B5BA4"/>
    <w:rsid w:val="001B5C8B"/>
    <w:rsid w:val="001B5C8D"/>
    <w:rsid w:val="001B5D3A"/>
    <w:rsid w:val="001B5D41"/>
    <w:rsid w:val="001B5EB0"/>
    <w:rsid w:val="001B6178"/>
    <w:rsid w:val="001B63B2"/>
    <w:rsid w:val="001B6421"/>
    <w:rsid w:val="001B6523"/>
    <w:rsid w:val="001B65F9"/>
    <w:rsid w:val="001B691A"/>
    <w:rsid w:val="001B696E"/>
    <w:rsid w:val="001B6A56"/>
    <w:rsid w:val="001B6BBC"/>
    <w:rsid w:val="001B6D23"/>
    <w:rsid w:val="001B7191"/>
    <w:rsid w:val="001B71A6"/>
    <w:rsid w:val="001B71B9"/>
    <w:rsid w:val="001B7243"/>
    <w:rsid w:val="001B727B"/>
    <w:rsid w:val="001B7364"/>
    <w:rsid w:val="001B753E"/>
    <w:rsid w:val="001B75A1"/>
    <w:rsid w:val="001B76A8"/>
    <w:rsid w:val="001B782D"/>
    <w:rsid w:val="001B7ADB"/>
    <w:rsid w:val="001B7DC0"/>
    <w:rsid w:val="001B7F09"/>
    <w:rsid w:val="001C0076"/>
    <w:rsid w:val="001C00BC"/>
    <w:rsid w:val="001C00F2"/>
    <w:rsid w:val="001C0545"/>
    <w:rsid w:val="001C05BE"/>
    <w:rsid w:val="001C0834"/>
    <w:rsid w:val="001C0903"/>
    <w:rsid w:val="001C0963"/>
    <w:rsid w:val="001C09D9"/>
    <w:rsid w:val="001C0C48"/>
    <w:rsid w:val="001C0CD0"/>
    <w:rsid w:val="001C10DA"/>
    <w:rsid w:val="001C1121"/>
    <w:rsid w:val="001C116E"/>
    <w:rsid w:val="001C11AB"/>
    <w:rsid w:val="001C1300"/>
    <w:rsid w:val="001C136E"/>
    <w:rsid w:val="001C1372"/>
    <w:rsid w:val="001C14EA"/>
    <w:rsid w:val="001C15C5"/>
    <w:rsid w:val="001C15C7"/>
    <w:rsid w:val="001C15CB"/>
    <w:rsid w:val="001C16A6"/>
    <w:rsid w:val="001C19F4"/>
    <w:rsid w:val="001C1A14"/>
    <w:rsid w:val="001C1AC5"/>
    <w:rsid w:val="001C1C69"/>
    <w:rsid w:val="001C1DE7"/>
    <w:rsid w:val="001C202D"/>
    <w:rsid w:val="001C21A2"/>
    <w:rsid w:val="001C21A8"/>
    <w:rsid w:val="001C22BD"/>
    <w:rsid w:val="001C22F8"/>
    <w:rsid w:val="001C23C3"/>
    <w:rsid w:val="001C24B2"/>
    <w:rsid w:val="001C24F4"/>
    <w:rsid w:val="001C2748"/>
    <w:rsid w:val="001C2A03"/>
    <w:rsid w:val="001C2BD0"/>
    <w:rsid w:val="001C2BF9"/>
    <w:rsid w:val="001C2C19"/>
    <w:rsid w:val="001C2ECE"/>
    <w:rsid w:val="001C30D2"/>
    <w:rsid w:val="001C3257"/>
    <w:rsid w:val="001C3677"/>
    <w:rsid w:val="001C397B"/>
    <w:rsid w:val="001C39E8"/>
    <w:rsid w:val="001C3A22"/>
    <w:rsid w:val="001C3BC6"/>
    <w:rsid w:val="001C3C62"/>
    <w:rsid w:val="001C3CAF"/>
    <w:rsid w:val="001C3CD8"/>
    <w:rsid w:val="001C3D31"/>
    <w:rsid w:val="001C3E10"/>
    <w:rsid w:val="001C3E11"/>
    <w:rsid w:val="001C3F63"/>
    <w:rsid w:val="001C4191"/>
    <w:rsid w:val="001C43EA"/>
    <w:rsid w:val="001C44E0"/>
    <w:rsid w:val="001C4540"/>
    <w:rsid w:val="001C4553"/>
    <w:rsid w:val="001C459C"/>
    <w:rsid w:val="001C4619"/>
    <w:rsid w:val="001C4623"/>
    <w:rsid w:val="001C4632"/>
    <w:rsid w:val="001C469B"/>
    <w:rsid w:val="001C4A0B"/>
    <w:rsid w:val="001C4AE2"/>
    <w:rsid w:val="001C4B75"/>
    <w:rsid w:val="001C4BC0"/>
    <w:rsid w:val="001C4C45"/>
    <w:rsid w:val="001C4C8C"/>
    <w:rsid w:val="001C4DA4"/>
    <w:rsid w:val="001C4EAF"/>
    <w:rsid w:val="001C504B"/>
    <w:rsid w:val="001C5221"/>
    <w:rsid w:val="001C532B"/>
    <w:rsid w:val="001C54F5"/>
    <w:rsid w:val="001C559E"/>
    <w:rsid w:val="001C55F6"/>
    <w:rsid w:val="001C56D3"/>
    <w:rsid w:val="001C58F6"/>
    <w:rsid w:val="001C596E"/>
    <w:rsid w:val="001C5A90"/>
    <w:rsid w:val="001C5D2D"/>
    <w:rsid w:val="001C5D65"/>
    <w:rsid w:val="001C5D6C"/>
    <w:rsid w:val="001C5D8B"/>
    <w:rsid w:val="001C6086"/>
    <w:rsid w:val="001C6252"/>
    <w:rsid w:val="001C62B4"/>
    <w:rsid w:val="001C6311"/>
    <w:rsid w:val="001C6347"/>
    <w:rsid w:val="001C6504"/>
    <w:rsid w:val="001C670D"/>
    <w:rsid w:val="001C6726"/>
    <w:rsid w:val="001C6758"/>
    <w:rsid w:val="001C681D"/>
    <w:rsid w:val="001C6908"/>
    <w:rsid w:val="001C69B9"/>
    <w:rsid w:val="001C6A71"/>
    <w:rsid w:val="001C6BCB"/>
    <w:rsid w:val="001C6BFC"/>
    <w:rsid w:val="001C6E30"/>
    <w:rsid w:val="001C6EBB"/>
    <w:rsid w:val="001C71AA"/>
    <w:rsid w:val="001C730C"/>
    <w:rsid w:val="001C73C5"/>
    <w:rsid w:val="001C73F8"/>
    <w:rsid w:val="001C75AB"/>
    <w:rsid w:val="001C75B2"/>
    <w:rsid w:val="001C75D0"/>
    <w:rsid w:val="001C776C"/>
    <w:rsid w:val="001C77E1"/>
    <w:rsid w:val="001C77FB"/>
    <w:rsid w:val="001C795A"/>
    <w:rsid w:val="001C79DA"/>
    <w:rsid w:val="001C7ABB"/>
    <w:rsid w:val="001C7C85"/>
    <w:rsid w:val="001C7C88"/>
    <w:rsid w:val="001C7CCA"/>
    <w:rsid w:val="001C7F9B"/>
    <w:rsid w:val="001C7FDF"/>
    <w:rsid w:val="001D02F3"/>
    <w:rsid w:val="001D04F2"/>
    <w:rsid w:val="001D06AF"/>
    <w:rsid w:val="001D0808"/>
    <w:rsid w:val="001D080C"/>
    <w:rsid w:val="001D0BC1"/>
    <w:rsid w:val="001D0ED1"/>
    <w:rsid w:val="001D112B"/>
    <w:rsid w:val="001D11B3"/>
    <w:rsid w:val="001D12F2"/>
    <w:rsid w:val="001D157F"/>
    <w:rsid w:val="001D17D9"/>
    <w:rsid w:val="001D1854"/>
    <w:rsid w:val="001D1904"/>
    <w:rsid w:val="001D19A8"/>
    <w:rsid w:val="001D1A73"/>
    <w:rsid w:val="001D240E"/>
    <w:rsid w:val="001D24F6"/>
    <w:rsid w:val="001D2509"/>
    <w:rsid w:val="001D26ED"/>
    <w:rsid w:val="001D28B3"/>
    <w:rsid w:val="001D2B7D"/>
    <w:rsid w:val="001D2D33"/>
    <w:rsid w:val="001D2ECE"/>
    <w:rsid w:val="001D3140"/>
    <w:rsid w:val="001D3275"/>
    <w:rsid w:val="001D33AD"/>
    <w:rsid w:val="001D347B"/>
    <w:rsid w:val="001D3935"/>
    <w:rsid w:val="001D39F2"/>
    <w:rsid w:val="001D3BD9"/>
    <w:rsid w:val="001D3D79"/>
    <w:rsid w:val="001D3E4C"/>
    <w:rsid w:val="001D3E57"/>
    <w:rsid w:val="001D4070"/>
    <w:rsid w:val="001D40E3"/>
    <w:rsid w:val="001D4255"/>
    <w:rsid w:val="001D427C"/>
    <w:rsid w:val="001D46E3"/>
    <w:rsid w:val="001D499B"/>
    <w:rsid w:val="001D4AF2"/>
    <w:rsid w:val="001D4B1A"/>
    <w:rsid w:val="001D4C75"/>
    <w:rsid w:val="001D4CA4"/>
    <w:rsid w:val="001D4D53"/>
    <w:rsid w:val="001D4EA7"/>
    <w:rsid w:val="001D51AA"/>
    <w:rsid w:val="001D5229"/>
    <w:rsid w:val="001D5248"/>
    <w:rsid w:val="001D5257"/>
    <w:rsid w:val="001D5280"/>
    <w:rsid w:val="001D5350"/>
    <w:rsid w:val="001D5686"/>
    <w:rsid w:val="001D579C"/>
    <w:rsid w:val="001D5963"/>
    <w:rsid w:val="001D5982"/>
    <w:rsid w:val="001D5CAD"/>
    <w:rsid w:val="001D5D71"/>
    <w:rsid w:val="001D5E45"/>
    <w:rsid w:val="001D62F5"/>
    <w:rsid w:val="001D638B"/>
    <w:rsid w:val="001D63CD"/>
    <w:rsid w:val="001D6488"/>
    <w:rsid w:val="001D654F"/>
    <w:rsid w:val="001D673D"/>
    <w:rsid w:val="001D686B"/>
    <w:rsid w:val="001D6986"/>
    <w:rsid w:val="001D6A47"/>
    <w:rsid w:val="001D6B87"/>
    <w:rsid w:val="001D6BCC"/>
    <w:rsid w:val="001D6CCE"/>
    <w:rsid w:val="001D6DFA"/>
    <w:rsid w:val="001D7107"/>
    <w:rsid w:val="001D7159"/>
    <w:rsid w:val="001D73C4"/>
    <w:rsid w:val="001D7743"/>
    <w:rsid w:val="001D7764"/>
    <w:rsid w:val="001D7798"/>
    <w:rsid w:val="001D79EF"/>
    <w:rsid w:val="001D7A8C"/>
    <w:rsid w:val="001D7C58"/>
    <w:rsid w:val="001D7D91"/>
    <w:rsid w:val="001D7DD8"/>
    <w:rsid w:val="001D7FF0"/>
    <w:rsid w:val="001E0008"/>
    <w:rsid w:val="001E004B"/>
    <w:rsid w:val="001E0473"/>
    <w:rsid w:val="001E0474"/>
    <w:rsid w:val="001E04F3"/>
    <w:rsid w:val="001E0741"/>
    <w:rsid w:val="001E088B"/>
    <w:rsid w:val="001E0916"/>
    <w:rsid w:val="001E0DC3"/>
    <w:rsid w:val="001E0EDE"/>
    <w:rsid w:val="001E1901"/>
    <w:rsid w:val="001E19D3"/>
    <w:rsid w:val="001E1A9E"/>
    <w:rsid w:val="001E1F97"/>
    <w:rsid w:val="001E2058"/>
    <w:rsid w:val="001E23D1"/>
    <w:rsid w:val="001E2428"/>
    <w:rsid w:val="001E252F"/>
    <w:rsid w:val="001E25E0"/>
    <w:rsid w:val="001E26B9"/>
    <w:rsid w:val="001E26BD"/>
    <w:rsid w:val="001E2908"/>
    <w:rsid w:val="001E2A8E"/>
    <w:rsid w:val="001E2D74"/>
    <w:rsid w:val="001E2F75"/>
    <w:rsid w:val="001E3081"/>
    <w:rsid w:val="001E334A"/>
    <w:rsid w:val="001E3467"/>
    <w:rsid w:val="001E351B"/>
    <w:rsid w:val="001E35AA"/>
    <w:rsid w:val="001E38A8"/>
    <w:rsid w:val="001E3948"/>
    <w:rsid w:val="001E3982"/>
    <w:rsid w:val="001E3AC2"/>
    <w:rsid w:val="001E3B39"/>
    <w:rsid w:val="001E3EA9"/>
    <w:rsid w:val="001E3FD3"/>
    <w:rsid w:val="001E40A5"/>
    <w:rsid w:val="001E4286"/>
    <w:rsid w:val="001E45A1"/>
    <w:rsid w:val="001E46C6"/>
    <w:rsid w:val="001E47E7"/>
    <w:rsid w:val="001E4D9A"/>
    <w:rsid w:val="001E4F47"/>
    <w:rsid w:val="001E526C"/>
    <w:rsid w:val="001E5343"/>
    <w:rsid w:val="001E53CD"/>
    <w:rsid w:val="001E540D"/>
    <w:rsid w:val="001E54F5"/>
    <w:rsid w:val="001E56DE"/>
    <w:rsid w:val="001E580B"/>
    <w:rsid w:val="001E5BBB"/>
    <w:rsid w:val="001E5F64"/>
    <w:rsid w:val="001E5FE1"/>
    <w:rsid w:val="001E6180"/>
    <w:rsid w:val="001E63AE"/>
    <w:rsid w:val="001E674B"/>
    <w:rsid w:val="001E6843"/>
    <w:rsid w:val="001E68FC"/>
    <w:rsid w:val="001E6C2D"/>
    <w:rsid w:val="001E6D8E"/>
    <w:rsid w:val="001E6E87"/>
    <w:rsid w:val="001E6E9C"/>
    <w:rsid w:val="001E714A"/>
    <w:rsid w:val="001E72B6"/>
    <w:rsid w:val="001E7311"/>
    <w:rsid w:val="001E7354"/>
    <w:rsid w:val="001E7396"/>
    <w:rsid w:val="001E7569"/>
    <w:rsid w:val="001E7600"/>
    <w:rsid w:val="001E7609"/>
    <w:rsid w:val="001E7AB0"/>
    <w:rsid w:val="001E7AC5"/>
    <w:rsid w:val="001E7CB9"/>
    <w:rsid w:val="001E7D75"/>
    <w:rsid w:val="001E7F25"/>
    <w:rsid w:val="001F0033"/>
    <w:rsid w:val="001F00FA"/>
    <w:rsid w:val="001F01F6"/>
    <w:rsid w:val="001F0766"/>
    <w:rsid w:val="001F0767"/>
    <w:rsid w:val="001F0B80"/>
    <w:rsid w:val="001F0BB5"/>
    <w:rsid w:val="001F0BDC"/>
    <w:rsid w:val="001F0C39"/>
    <w:rsid w:val="001F0EE5"/>
    <w:rsid w:val="001F1042"/>
    <w:rsid w:val="001F111D"/>
    <w:rsid w:val="001F1376"/>
    <w:rsid w:val="001F16FB"/>
    <w:rsid w:val="001F1761"/>
    <w:rsid w:val="001F1844"/>
    <w:rsid w:val="001F1963"/>
    <w:rsid w:val="001F1A09"/>
    <w:rsid w:val="001F1A5D"/>
    <w:rsid w:val="001F1BC4"/>
    <w:rsid w:val="001F1F8A"/>
    <w:rsid w:val="001F2178"/>
    <w:rsid w:val="001F22CC"/>
    <w:rsid w:val="001F25E0"/>
    <w:rsid w:val="001F2728"/>
    <w:rsid w:val="001F27FF"/>
    <w:rsid w:val="001F28C2"/>
    <w:rsid w:val="001F2DBC"/>
    <w:rsid w:val="001F2DF7"/>
    <w:rsid w:val="001F3278"/>
    <w:rsid w:val="001F361D"/>
    <w:rsid w:val="001F3952"/>
    <w:rsid w:val="001F39E2"/>
    <w:rsid w:val="001F3C5F"/>
    <w:rsid w:val="001F3CD4"/>
    <w:rsid w:val="001F3D71"/>
    <w:rsid w:val="001F4497"/>
    <w:rsid w:val="001F458A"/>
    <w:rsid w:val="001F4681"/>
    <w:rsid w:val="001F4A8C"/>
    <w:rsid w:val="001F4AB6"/>
    <w:rsid w:val="001F4B1F"/>
    <w:rsid w:val="001F4D5A"/>
    <w:rsid w:val="001F4F25"/>
    <w:rsid w:val="001F4F5A"/>
    <w:rsid w:val="001F4F72"/>
    <w:rsid w:val="001F50ED"/>
    <w:rsid w:val="001F5145"/>
    <w:rsid w:val="001F5284"/>
    <w:rsid w:val="001F536F"/>
    <w:rsid w:val="001F559B"/>
    <w:rsid w:val="001F55B0"/>
    <w:rsid w:val="001F56B8"/>
    <w:rsid w:val="001F578A"/>
    <w:rsid w:val="001F5958"/>
    <w:rsid w:val="001F5D8D"/>
    <w:rsid w:val="001F5FB0"/>
    <w:rsid w:val="001F61FE"/>
    <w:rsid w:val="001F646F"/>
    <w:rsid w:val="001F64DB"/>
    <w:rsid w:val="001F66DE"/>
    <w:rsid w:val="001F66ED"/>
    <w:rsid w:val="001F68BC"/>
    <w:rsid w:val="001F6A3F"/>
    <w:rsid w:val="001F6AC6"/>
    <w:rsid w:val="001F6C87"/>
    <w:rsid w:val="001F6CE9"/>
    <w:rsid w:val="001F6DE6"/>
    <w:rsid w:val="001F6EC5"/>
    <w:rsid w:val="001F705D"/>
    <w:rsid w:val="001F71ED"/>
    <w:rsid w:val="001F7246"/>
    <w:rsid w:val="001F73FF"/>
    <w:rsid w:val="001F7461"/>
    <w:rsid w:val="001F7492"/>
    <w:rsid w:val="001F7971"/>
    <w:rsid w:val="001F7ACA"/>
    <w:rsid w:val="001F7D00"/>
    <w:rsid w:val="00200294"/>
    <w:rsid w:val="00200366"/>
    <w:rsid w:val="00200374"/>
    <w:rsid w:val="0020053E"/>
    <w:rsid w:val="00200585"/>
    <w:rsid w:val="0020066A"/>
    <w:rsid w:val="00200805"/>
    <w:rsid w:val="00200807"/>
    <w:rsid w:val="0020096C"/>
    <w:rsid w:val="00200A6B"/>
    <w:rsid w:val="00200BDE"/>
    <w:rsid w:val="00200C4F"/>
    <w:rsid w:val="00200CAC"/>
    <w:rsid w:val="00200D5C"/>
    <w:rsid w:val="00200D92"/>
    <w:rsid w:val="00201025"/>
    <w:rsid w:val="00201447"/>
    <w:rsid w:val="002014E7"/>
    <w:rsid w:val="002019A6"/>
    <w:rsid w:val="00201B90"/>
    <w:rsid w:val="00202046"/>
    <w:rsid w:val="002024A8"/>
    <w:rsid w:val="002024BC"/>
    <w:rsid w:val="00202541"/>
    <w:rsid w:val="00202576"/>
    <w:rsid w:val="00202699"/>
    <w:rsid w:val="00202837"/>
    <w:rsid w:val="00202966"/>
    <w:rsid w:val="00202A9E"/>
    <w:rsid w:val="00202AA8"/>
    <w:rsid w:val="00202B93"/>
    <w:rsid w:val="00202C07"/>
    <w:rsid w:val="00202D81"/>
    <w:rsid w:val="00202DC0"/>
    <w:rsid w:val="00202E23"/>
    <w:rsid w:val="00202E80"/>
    <w:rsid w:val="00202EB6"/>
    <w:rsid w:val="00202ED0"/>
    <w:rsid w:val="0020323E"/>
    <w:rsid w:val="00203949"/>
    <w:rsid w:val="00203999"/>
    <w:rsid w:val="00203B02"/>
    <w:rsid w:val="00203BCC"/>
    <w:rsid w:val="00203BF5"/>
    <w:rsid w:val="00203F82"/>
    <w:rsid w:val="00204026"/>
    <w:rsid w:val="002044C2"/>
    <w:rsid w:val="0020469C"/>
    <w:rsid w:val="002048BC"/>
    <w:rsid w:val="00204AAE"/>
    <w:rsid w:val="00204B05"/>
    <w:rsid w:val="00204B1D"/>
    <w:rsid w:val="00204B9E"/>
    <w:rsid w:val="00204BB3"/>
    <w:rsid w:val="00204BBC"/>
    <w:rsid w:val="00204DCA"/>
    <w:rsid w:val="002051B6"/>
    <w:rsid w:val="002051EE"/>
    <w:rsid w:val="00205225"/>
    <w:rsid w:val="00205483"/>
    <w:rsid w:val="00205507"/>
    <w:rsid w:val="0020562D"/>
    <w:rsid w:val="00205642"/>
    <w:rsid w:val="00205644"/>
    <w:rsid w:val="00205A9F"/>
    <w:rsid w:val="00205B0E"/>
    <w:rsid w:val="00205B1F"/>
    <w:rsid w:val="00205B44"/>
    <w:rsid w:val="00205B5F"/>
    <w:rsid w:val="00205C12"/>
    <w:rsid w:val="00205C4D"/>
    <w:rsid w:val="00205DC7"/>
    <w:rsid w:val="00205FB6"/>
    <w:rsid w:val="00205FEA"/>
    <w:rsid w:val="0020600A"/>
    <w:rsid w:val="002061B1"/>
    <w:rsid w:val="002061CA"/>
    <w:rsid w:val="00206245"/>
    <w:rsid w:val="0020689C"/>
    <w:rsid w:val="00206929"/>
    <w:rsid w:val="002069BC"/>
    <w:rsid w:val="00206A6E"/>
    <w:rsid w:val="00206D70"/>
    <w:rsid w:val="00206E13"/>
    <w:rsid w:val="00206F7F"/>
    <w:rsid w:val="0020718C"/>
    <w:rsid w:val="00207205"/>
    <w:rsid w:val="00207223"/>
    <w:rsid w:val="00207408"/>
    <w:rsid w:val="002074B7"/>
    <w:rsid w:val="00207519"/>
    <w:rsid w:val="00207526"/>
    <w:rsid w:val="00207538"/>
    <w:rsid w:val="0020759D"/>
    <w:rsid w:val="002075C5"/>
    <w:rsid w:val="0020762E"/>
    <w:rsid w:val="0020765F"/>
    <w:rsid w:val="00207777"/>
    <w:rsid w:val="00207A9F"/>
    <w:rsid w:val="00207AB5"/>
    <w:rsid w:val="00207EAB"/>
    <w:rsid w:val="0020C32B"/>
    <w:rsid w:val="0021000D"/>
    <w:rsid w:val="00210010"/>
    <w:rsid w:val="0021033E"/>
    <w:rsid w:val="00210679"/>
    <w:rsid w:val="002106C4"/>
    <w:rsid w:val="002106F8"/>
    <w:rsid w:val="00210901"/>
    <w:rsid w:val="00210954"/>
    <w:rsid w:val="00210A22"/>
    <w:rsid w:val="00210B98"/>
    <w:rsid w:val="00210C7E"/>
    <w:rsid w:val="00210D6E"/>
    <w:rsid w:val="00210D9C"/>
    <w:rsid w:val="00210DCC"/>
    <w:rsid w:val="00210DCD"/>
    <w:rsid w:val="002111AB"/>
    <w:rsid w:val="002112AE"/>
    <w:rsid w:val="00211324"/>
    <w:rsid w:val="00211533"/>
    <w:rsid w:val="00211557"/>
    <w:rsid w:val="002115CA"/>
    <w:rsid w:val="0021191F"/>
    <w:rsid w:val="0021198D"/>
    <w:rsid w:val="002119BF"/>
    <w:rsid w:val="00211C24"/>
    <w:rsid w:val="00211C52"/>
    <w:rsid w:val="00211D3D"/>
    <w:rsid w:val="00211F34"/>
    <w:rsid w:val="00212016"/>
    <w:rsid w:val="0021224F"/>
    <w:rsid w:val="0021225B"/>
    <w:rsid w:val="002123C4"/>
    <w:rsid w:val="002124F3"/>
    <w:rsid w:val="002126B2"/>
    <w:rsid w:val="002127BB"/>
    <w:rsid w:val="0021280D"/>
    <w:rsid w:val="00212948"/>
    <w:rsid w:val="00212BFF"/>
    <w:rsid w:val="00212CFC"/>
    <w:rsid w:val="00212D11"/>
    <w:rsid w:val="00212EAD"/>
    <w:rsid w:val="00212F40"/>
    <w:rsid w:val="00212F56"/>
    <w:rsid w:val="00212FA8"/>
    <w:rsid w:val="002134A1"/>
    <w:rsid w:val="002137D0"/>
    <w:rsid w:val="002138C6"/>
    <w:rsid w:val="00213A03"/>
    <w:rsid w:val="00213A9B"/>
    <w:rsid w:val="00213B02"/>
    <w:rsid w:val="00213D7F"/>
    <w:rsid w:val="00213E70"/>
    <w:rsid w:val="00213E74"/>
    <w:rsid w:val="00214036"/>
    <w:rsid w:val="0021403C"/>
    <w:rsid w:val="002142EA"/>
    <w:rsid w:val="002143FB"/>
    <w:rsid w:val="002145B9"/>
    <w:rsid w:val="00214653"/>
    <w:rsid w:val="00214A83"/>
    <w:rsid w:val="00214BD4"/>
    <w:rsid w:val="00214FFF"/>
    <w:rsid w:val="0021501A"/>
    <w:rsid w:val="00215101"/>
    <w:rsid w:val="002151B6"/>
    <w:rsid w:val="002151CB"/>
    <w:rsid w:val="002152F8"/>
    <w:rsid w:val="002153F0"/>
    <w:rsid w:val="00215468"/>
    <w:rsid w:val="00215A8A"/>
    <w:rsid w:val="00215AAF"/>
    <w:rsid w:val="00215CE3"/>
    <w:rsid w:val="00215F9A"/>
    <w:rsid w:val="002160BB"/>
    <w:rsid w:val="00216238"/>
    <w:rsid w:val="002163C8"/>
    <w:rsid w:val="002164C5"/>
    <w:rsid w:val="002164DA"/>
    <w:rsid w:val="0021658A"/>
    <w:rsid w:val="002165D3"/>
    <w:rsid w:val="00216771"/>
    <w:rsid w:val="002167BA"/>
    <w:rsid w:val="002167C9"/>
    <w:rsid w:val="0021687C"/>
    <w:rsid w:val="0021697C"/>
    <w:rsid w:val="00216AAA"/>
    <w:rsid w:val="00216CE4"/>
    <w:rsid w:val="00216D19"/>
    <w:rsid w:val="00216F07"/>
    <w:rsid w:val="00217423"/>
    <w:rsid w:val="00217489"/>
    <w:rsid w:val="0021760E"/>
    <w:rsid w:val="00217839"/>
    <w:rsid w:val="002178E8"/>
    <w:rsid w:val="00217987"/>
    <w:rsid w:val="00217A05"/>
    <w:rsid w:val="00217BBD"/>
    <w:rsid w:val="00217F24"/>
    <w:rsid w:val="00217F29"/>
    <w:rsid w:val="002201D2"/>
    <w:rsid w:val="00220411"/>
    <w:rsid w:val="0022067E"/>
    <w:rsid w:val="002208DA"/>
    <w:rsid w:val="00220B10"/>
    <w:rsid w:val="00220BC7"/>
    <w:rsid w:val="00220D83"/>
    <w:rsid w:val="00220F39"/>
    <w:rsid w:val="0022104E"/>
    <w:rsid w:val="00221077"/>
    <w:rsid w:val="00221197"/>
    <w:rsid w:val="00221498"/>
    <w:rsid w:val="002214DF"/>
    <w:rsid w:val="00221517"/>
    <w:rsid w:val="00221674"/>
    <w:rsid w:val="0022195B"/>
    <w:rsid w:val="00221B1E"/>
    <w:rsid w:val="00221B3B"/>
    <w:rsid w:val="00221E6F"/>
    <w:rsid w:val="00221F2A"/>
    <w:rsid w:val="00222177"/>
    <w:rsid w:val="0022224C"/>
    <w:rsid w:val="00222279"/>
    <w:rsid w:val="002222E2"/>
    <w:rsid w:val="00222392"/>
    <w:rsid w:val="002223C1"/>
    <w:rsid w:val="002224B2"/>
    <w:rsid w:val="002224C1"/>
    <w:rsid w:val="00222633"/>
    <w:rsid w:val="00222792"/>
    <w:rsid w:val="002228DC"/>
    <w:rsid w:val="00222BC0"/>
    <w:rsid w:val="00222D4A"/>
    <w:rsid w:val="00222D5D"/>
    <w:rsid w:val="002230B2"/>
    <w:rsid w:val="00223235"/>
    <w:rsid w:val="0022334A"/>
    <w:rsid w:val="0022338C"/>
    <w:rsid w:val="00223411"/>
    <w:rsid w:val="00223657"/>
    <w:rsid w:val="002237BB"/>
    <w:rsid w:val="002237C3"/>
    <w:rsid w:val="00223832"/>
    <w:rsid w:val="00223864"/>
    <w:rsid w:val="0022389B"/>
    <w:rsid w:val="002238AB"/>
    <w:rsid w:val="00223A33"/>
    <w:rsid w:val="00223B0A"/>
    <w:rsid w:val="00223F5F"/>
    <w:rsid w:val="00223F94"/>
    <w:rsid w:val="00223FBD"/>
    <w:rsid w:val="002240C5"/>
    <w:rsid w:val="00224345"/>
    <w:rsid w:val="002244A6"/>
    <w:rsid w:val="002244D2"/>
    <w:rsid w:val="0022463E"/>
    <w:rsid w:val="0022465A"/>
    <w:rsid w:val="00224802"/>
    <w:rsid w:val="0022483E"/>
    <w:rsid w:val="00224885"/>
    <w:rsid w:val="00225089"/>
    <w:rsid w:val="002251F7"/>
    <w:rsid w:val="0022543D"/>
    <w:rsid w:val="00225574"/>
    <w:rsid w:val="002256E4"/>
    <w:rsid w:val="0022583B"/>
    <w:rsid w:val="00225A3B"/>
    <w:rsid w:val="00225A44"/>
    <w:rsid w:val="00225A74"/>
    <w:rsid w:val="00225A8C"/>
    <w:rsid w:val="00225B9F"/>
    <w:rsid w:val="00225BD8"/>
    <w:rsid w:val="00225CFE"/>
    <w:rsid w:val="00225E1E"/>
    <w:rsid w:val="00226081"/>
    <w:rsid w:val="002263A4"/>
    <w:rsid w:val="002263E1"/>
    <w:rsid w:val="002264CA"/>
    <w:rsid w:val="002264E2"/>
    <w:rsid w:val="0022656A"/>
    <w:rsid w:val="0022662B"/>
    <w:rsid w:val="00226710"/>
    <w:rsid w:val="0022689C"/>
    <w:rsid w:val="002269B6"/>
    <w:rsid w:val="00226AF7"/>
    <w:rsid w:val="00226CF3"/>
    <w:rsid w:val="002270EE"/>
    <w:rsid w:val="0022717C"/>
    <w:rsid w:val="002272E8"/>
    <w:rsid w:val="0022757A"/>
    <w:rsid w:val="0022766F"/>
    <w:rsid w:val="002276A5"/>
    <w:rsid w:val="0022777E"/>
    <w:rsid w:val="002277B0"/>
    <w:rsid w:val="00227851"/>
    <w:rsid w:val="00227B0B"/>
    <w:rsid w:val="00227B4A"/>
    <w:rsid w:val="00227B91"/>
    <w:rsid w:val="00227BF9"/>
    <w:rsid w:val="00227CDD"/>
    <w:rsid w:val="00227CDE"/>
    <w:rsid w:val="00227DCC"/>
    <w:rsid w:val="00227FDC"/>
    <w:rsid w:val="00230055"/>
    <w:rsid w:val="002300D9"/>
    <w:rsid w:val="002301BE"/>
    <w:rsid w:val="002303A7"/>
    <w:rsid w:val="002305CB"/>
    <w:rsid w:val="0023065E"/>
    <w:rsid w:val="00230817"/>
    <w:rsid w:val="0023081D"/>
    <w:rsid w:val="00230A3C"/>
    <w:rsid w:val="00230A87"/>
    <w:rsid w:val="00230A9B"/>
    <w:rsid w:val="00230C85"/>
    <w:rsid w:val="00230DCC"/>
    <w:rsid w:val="00230DF7"/>
    <w:rsid w:val="00230F31"/>
    <w:rsid w:val="00230FA0"/>
    <w:rsid w:val="00230FE7"/>
    <w:rsid w:val="002310EF"/>
    <w:rsid w:val="00231417"/>
    <w:rsid w:val="00231471"/>
    <w:rsid w:val="00231611"/>
    <w:rsid w:val="0023167C"/>
    <w:rsid w:val="0023171E"/>
    <w:rsid w:val="00231723"/>
    <w:rsid w:val="0023173F"/>
    <w:rsid w:val="002317CA"/>
    <w:rsid w:val="00231960"/>
    <w:rsid w:val="00231D25"/>
    <w:rsid w:val="00231D38"/>
    <w:rsid w:val="00231D87"/>
    <w:rsid w:val="00231E25"/>
    <w:rsid w:val="00231E84"/>
    <w:rsid w:val="00231F26"/>
    <w:rsid w:val="00231F31"/>
    <w:rsid w:val="0023240B"/>
    <w:rsid w:val="00232417"/>
    <w:rsid w:val="002324E3"/>
    <w:rsid w:val="002326C4"/>
    <w:rsid w:val="00232917"/>
    <w:rsid w:val="002329DD"/>
    <w:rsid w:val="002329E5"/>
    <w:rsid w:val="00232C23"/>
    <w:rsid w:val="00232E0C"/>
    <w:rsid w:val="00232F25"/>
    <w:rsid w:val="00232F3D"/>
    <w:rsid w:val="00232FEC"/>
    <w:rsid w:val="0023329C"/>
    <w:rsid w:val="00233340"/>
    <w:rsid w:val="00233355"/>
    <w:rsid w:val="002334D0"/>
    <w:rsid w:val="00233586"/>
    <w:rsid w:val="00233808"/>
    <w:rsid w:val="00233868"/>
    <w:rsid w:val="00233A90"/>
    <w:rsid w:val="00233AB5"/>
    <w:rsid w:val="00233BC0"/>
    <w:rsid w:val="00233D92"/>
    <w:rsid w:val="00233EDF"/>
    <w:rsid w:val="00233EFC"/>
    <w:rsid w:val="00233FBB"/>
    <w:rsid w:val="00233FF1"/>
    <w:rsid w:val="0023402F"/>
    <w:rsid w:val="0023412D"/>
    <w:rsid w:val="002341D2"/>
    <w:rsid w:val="0023451C"/>
    <w:rsid w:val="0023468A"/>
    <w:rsid w:val="002346D1"/>
    <w:rsid w:val="002346D2"/>
    <w:rsid w:val="002349AA"/>
    <w:rsid w:val="00234B4F"/>
    <w:rsid w:val="00234CAC"/>
    <w:rsid w:val="00234DC6"/>
    <w:rsid w:val="00234F16"/>
    <w:rsid w:val="00234F4F"/>
    <w:rsid w:val="0023505E"/>
    <w:rsid w:val="002350F8"/>
    <w:rsid w:val="0023511A"/>
    <w:rsid w:val="002351A9"/>
    <w:rsid w:val="00235412"/>
    <w:rsid w:val="00235463"/>
    <w:rsid w:val="002354E5"/>
    <w:rsid w:val="00235543"/>
    <w:rsid w:val="002355D2"/>
    <w:rsid w:val="002358F4"/>
    <w:rsid w:val="00235AAD"/>
    <w:rsid w:val="00235C74"/>
    <w:rsid w:val="00235DBE"/>
    <w:rsid w:val="00235F4B"/>
    <w:rsid w:val="00235F83"/>
    <w:rsid w:val="00236244"/>
    <w:rsid w:val="002365DD"/>
    <w:rsid w:val="00236656"/>
    <w:rsid w:val="0023669A"/>
    <w:rsid w:val="00236ACD"/>
    <w:rsid w:val="00236DC0"/>
    <w:rsid w:val="00236F4C"/>
    <w:rsid w:val="00236F78"/>
    <w:rsid w:val="002373A2"/>
    <w:rsid w:val="002377A9"/>
    <w:rsid w:val="00237821"/>
    <w:rsid w:val="00237A0A"/>
    <w:rsid w:val="00237B65"/>
    <w:rsid w:val="00237CEB"/>
    <w:rsid w:val="00237CEE"/>
    <w:rsid w:val="00237D0A"/>
    <w:rsid w:val="00237EAC"/>
    <w:rsid w:val="00237F8A"/>
    <w:rsid w:val="0024014C"/>
    <w:rsid w:val="0024019A"/>
    <w:rsid w:val="002402F3"/>
    <w:rsid w:val="00240451"/>
    <w:rsid w:val="00240461"/>
    <w:rsid w:val="0024073F"/>
    <w:rsid w:val="002407C5"/>
    <w:rsid w:val="002407CC"/>
    <w:rsid w:val="00240842"/>
    <w:rsid w:val="002409E3"/>
    <w:rsid w:val="00240D15"/>
    <w:rsid w:val="00240D3E"/>
    <w:rsid w:val="00241095"/>
    <w:rsid w:val="002410A3"/>
    <w:rsid w:val="002410C2"/>
    <w:rsid w:val="0024113D"/>
    <w:rsid w:val="002411C6"/>
    <w:rsid w:val="00241217"/>
    <w:rsid w:val="00241394"/>
    <w:rsid w:val="002413DD"/>
    <w:rsid w:val="00241419"/>
    <w:rsid w:val="0024158C"/>
    <w:rsid w:val="002415CE"/>
    <w:rsid w:val="002416DF"/>
    <w:rsid w:val="00241AD4"/>
    <w:rsid w:val="00241BC7"/>
    <w:rsid w:val="00241DDA"/>
    <w:rsid w:val="00241E20"/>
    <w:rsid w:val="0024200D"/>
    <w:rsid w:val="00242180"/>
    <w:rsid w:val="00242268"/>
    <w:rsid w:val="00242272"/>
    <w:rsid w:val="002422AE"/>
    <w:rsid w:val="0024232E"/>
    <w:rsid w:val="00242517"/>
    <w:rsid w:val="0024253C"/>
    <w:rsid w:val="0024259E"/>
    <w:rsid w:val="0024260B"/>
    <w:rsid w:val="00242658"/>
    <w:rsid w:val="002427DD"/>
    <w:rsid w:val="00242C7E"/>
    <w:rsid w:val="00242DA5"/>
    <w:rsid w:val="00243007"/>
    <w:rsid w:val="00243154"/>
    <w:rsid w:val="002431CE"/>
    <w:rsid w:val="00243202"/>
    <w:rsid w:val="00243446"/>
    <w:rsid w:val="00243853"/>
    <w:rsid w:val="00243950"/>
    <w:rsid w:val="0024398C"/>
    <w:rsid w:val="002439B0"/>
    <w:rsid w:val="00243A09"/>
    <w:rsid w:val="00243BD2"/>
    <w:rsid w:val="00243C2A"/>
    <w:rsid w:val="00243D63"/>
    <w:rsid w:val="00243FE0"/>
    <w:rsid w:val="0024401F"/>
    <w:rsid w:val="00244050"/>
    <w:rsid w:val="0024423E"/>
    <w:rsid w:val="00244685"/>
    <w:rsid w:val="002447BE"/>
    <w:rsid w:val="002447E9"/>
    <w:rsid w:val="002447FC"/>
    <w:rsid w:val="00244A56"/>
    <w:rsid w:val="00244B18"/>
    <w:rsid w:val="00244BF7"/>
    <w:rsid w:val="00244CB8"/>
    <w:rsid w:val="00244D0D"/>
    <w:rsid w:val="00244DF9"/>
    <w:rsid w:val="00244EE7"/>
    <w:rsid w:val="002450C4"/>
    <w:rsid w:val="002453BE"/>
    <w:rsid w:val="002455C3"/>
    <w:rsid w:val="0024569B"/>
    <w:rsid w:val="00245980"/>
    <w:rsid w:val="002459B0"/>
    <w:rsid w:val="00245A3F"/>
    <w:rsid w:val="00245B0D"/>
    <w:rsid w:val="00245D07"/>
    <w:rsid w:val="00245F5D"/>
    <w:rsid w:val="00245FE1"/>
    <w:rsid w:val="00246245"/>
    <w:rsid w:val="00246686"/>
    <w:rsid w:val="00246748"/>
    <w:rsid w:val="00246942"/>
    <w:rsid w:val="00246967"/>
    <w:rsid w:val="002469DC"/>
    <w:rsid w:val="00246A15"/>
    <w:rsid w:val="00246A48"/>
    <w:rsid w:val="00246AEF"/>
    <w:rsid w:val="00246CBE"/>
    <w:rsid w:val="00246E16"/>
    <w:rsid w:val="00247154"/>
    <w:rsid w:val="00247177"/>
    <w:rsid w:val="0024736E"/>
    <w:rsid w:val="002473AB"/>
    <w:rsid w:val="002473CE"/>
    <w:rsid w:val="002478F2"/>
    <w:rsid w:val="0024799C"/>
    <w:rsid w:val="00247B4D"/>
    <w:rsid w:val="0025008B"/>
    <w:rsid w:val="00250386"/>
    <w:rsid w:val="00250476"/>
    <w:rsid w:val="00250A38"/>
    <w:rsid w:val="00250ACD"/>
    <w:rsid w:val="00250BFD"/>
    <w:rsid w:val="00250C60"/>
    <w:rsid w:val="0025106D"/>
    <w:rsid w:val="002513AE"/>
    <w:rsid w:val="002513B0"/>
    <w:rsid w:val="00251551"/>
    <w:rsid w:val="002515A2"/>
    <w:rsid w:val="002516B7"/>
    <w:rsid w:val="002516FE"/>
    <w:rsid w:val="002517F2"/>
    <w:rsid w:val="002518C4"/>
    <w:rsid w:val="0025195C"/>
    <w:rsid w:val="00251CAD"/>
    <w:rsid w:val="00251CFF"/>
    <w:rsid w:val="00251FB0"/>
    <w:rsid w:val="00252046"/>
    <w:rsid w:val="002521E1"/>
    <w:rsid w:val="002526C9"/>
    <w:rsid w:val="002527A2"/>
    <w:rsid w:val="002527F9"/>
    <w:rsid w:val="00252806"/>
    <w:rsid w:val="00252851"/>
    <w:rsid w:val="00252902"/>
    <w:rsid w:val="00252A1C"/>
    <w:rsid w:val="00252E14"/>
    <w:rsid w:val="0025309F"/>
    <w:rsid w:val="002530F3"/>
    <w:rsid w:val="00253295"/>
    <w:rsid w:val="00253311"/>
    <w:rsid w:val="00253322"/>
    <w:rsid w:val="00253590"/>
    <w:rsid w:val="002535CE"/>
    <w:rsid w:val="00253724"/>
    <w:rsid w:val="0025382E"/>
    <w:rsid w:val="002538AA"/>
    <w:rsid w:val="002539A7"/>
    <w:rsid w:val="00253A17"/>
    <w:rsid w:val="00253C74"/>
    <w:rsid w:val="00253C7C"/>
    <w:rsid w:val="00254114"/>
    <w:rsid w:val="00254247"/>
    <w:rsid w:val="002542B2"/>
    <w:rsid w:val="0025447C"/>
    <w:rsid w:val="00254681"/>
    <w:rsid w:val="00254991"/>
    <w:rsid w:val="00254A9E"/>
    <w:rsid w:val="00254B08"/>
    <w:rsid w:val="00254B81"/>
    <w:rsid w:val="00254C96"/>
    <w:rsid w:val="00254D86"/>
    <w:rsid w:val="0025503E"/>
    <w:rsid w:val="00255075"/>
    <w:rsid w:val="00255399"/>
    <w:rsid w:val="00255738"/>
    <w:rsid w:val="002559B3"/>
    <w:rsid w:val="00255A05"/>
    <w:rsid w:val="00255A84"/>
    <w:rsid w:val="00255B5A"/>
    <w:rsid w:val="00255BAF"/>
    <w:rsid w:val="00255D86"/>
    <w:rsid w:val="00255F51"/>
    <w:rsid w:val="00255F7F"/>
    <w:rsid w:val="002566CA"/>
    <w:rsid w:val="00256777"/>
    <w:rsid w:val="00256795"/>
    <w:rsid w:val="0025684E"/>
    <w:rsid w:val="0025698E"/>
    <w:rsid w:val="00256AE4"/>
    <w:rsid w:val="00256C32"/>
    <w:rsid w:val="00256D89"/>
    <w:rsid w:val="00256DCB"/>
    <w:rsid w:val="00256F09"/>
    <w:rsid w:val="0025703F"/>
    <w:rsid w:val="00257215"/>
    <w:rsid w:val="002573FE"/>
    <w:rsid w:val="00257403"/>
    <w:rsid w:val="002574AF"/>
    <w:rsid w:val="002574C2"/>
    <w:rsid w:val="00257AAA"/>
    <w:rsid w:val="00257C41"/>
    <w:rsid w:val="00257CC6"/>
    <w:rsid w:val="00257FE0"/>
    <w:rsid w:val="00260101"/>
    <w:rsid w:val="002602FA"/>
    <w:rsid w:val="00260448"/>
    <w:rsid w:val="0026082A"/>
    <w:rsid w:val="00260975"/>
    <w:rsid w:val="00260977"/>
    <w:rsid w:val="00260985"/>
    <w:rsid w:val="00260A9B"/>
    <w:rsid w:val="00260B04"/>
    <w:rsid w:val="00260B6B"/>
    <w:rsid w:val="00260BA6"/>
    <w:rsid w:val="00260C35"/>
    <w:rsid w:val="00260E0D"/>
    <w:rsid w:val="00261035"/>
    <w:rsid w:val="0026114B"/>
    <w:rsid w:val="0026115B"/>
    <w:rsid w:val="002611DE"/>
    <w:rsid w:val="0026123A"/>
    <w:rsid w:val="00261391"/>
    <w:rsid w:val="002614B6"/>
    <w:rsid w:val="00261530"/>
    <w:rsid w:val="0026169D"/>
    <w:rsid w:val="002616DC"/>
    <w:rsid w:val="0026184A"/>
    <w:rsid w:val="002618D6"/>
    <w:rsid w:val="00261972"/>
    <w:rsid w:val="00261CF1"/>
    <w:rsid w:val="00261DA5"/>
    <w:rsid w:val="00261E2E"/>
    <w:rsid w:val="00261E5E"/>
    <w:rsid w:val="002620DE"/>
    <w:rsid w:val="0026216E"/>
    <w:rsid w:val="0026229E"/>
    <w:rsid w:val="002625DB"/>
    <w:rsid w:val="00262740"/>
    <w:rsid w:val="00262869"/>
    <w:rsid w:val="002628F6"/>
    <w:rsid w:val="002629A0"/>
    <w:rsid w:val="00262AC2"/>
    <w:rsid w:val="00262AF9"/>
    <w:rsid w:val="00262DCF"/>
    <w:rsid w:val="002632CC"/>
    <w:rsid w:val="0026335B"/>
    <w:rsid w:val="002633DB"/>
    <w:rsid w:val="002634EA"/>
    <w:rsid w:val="002637CF"/>
    <w:rsid w:val="00263900"/>
    <w:rsid w:val="002639E1"/>
    <w:rsid w:val="00263AD6"/>
    <w:rsid w:val="00263AF8"/>
    <w:rsid w:val="00263C01"/>
    <w:rsid w:val="00263CD1"/>
    <w:rsid w:val="00263CEE"/>
    <w:rsid w:val="00263EA5"/>
    <w:rsid w:val="00263FF1"/>
    <w:rsid w:val="0026402C"/>
    <w:rsid w:val="00264149"/>
    <w:rsid w:val="00264497"/>
    <w:rsid w:val="002644E4"/>
    <w:rsid w:val="002645C7"/>
    <w:rsid w:val="002646FE"/>
    <w:rsid w:val="002648EE"/>
    <w:rsid w:val="00264910"/>
    <w:rsid w:val="00264993"/>
    <w:rsid w:val="00264AD8"/>
    <w:rsid w:val="00264B3D"/>
    <w:rsid w:val="00264C1F"/>
    <w:rsid w:val="00264D4C"/>
    <w:rsid w:val="00264FD6"/>
    <w:rsid w:val="002652C4"/>
    <w:rsid w:val="002655D1"/>
    <w:rsid w:val="002656C7"/>
    <w:rsid w:val="002657CE"/>
    <w:rsid w:val="00265A1F"/>
    <w:rsid w:val="00265AC3"/>
    <w:rsid w:val="00265B89"/>
    <w:rsid w:val="00265BFC"/>
    <w:rsid w:val="00265D3C"/>
    <w:rsid w:val="00265EF8"/>
    <w:rsid w:val="00265F92"/>
    <w:rsid w:val="00265FDB"/>
    <w:rsid w:val="002660C7"/>
    <w:rsid w:val="002662A2"/>
    <w:rsid w:val="002662C2"/>
    <w:rsid w:val="002663D9"/>
    <w:rsid w:val="00266461"/>
    <w:rsid w:val="002664C3"/>
    <w:rsid w:val="002665FD"/>
    <w:rsid w:val="0026663F"/>
    <w:rsid w:val="0026680B"/>
    <w:rsid w:val="00266B3E"/>
    <w:rsid w:val="00266B83"/>
    <w:rsid w:val="00266D29"/>
    <w:rsid w:val="00266E9A"/>
    <w:rsid w:val="00266F67"/>
    <w:rsid w:val="00266F7A"/>
    <w:rsid w:val="00266FB0"/>
    <w:rsid w:val="00266FDB"/>
    <w:rsid w:val="002671A2"/>
    <w:rsid w:val="0026722A"/>
    <w:rsid w:val="00267496"/>
    <w:rsid w:val="00267615"/>
    <w:rsid w:val="00267755"/>
    <w:rsid w:val="00267A04"/>
    <w:rsid w:val="00267A28"/>
    <w:rsid w:val="00267A7C"/>
    <w:rsid w:val="00267B24"/>
    <w:rsid w:val="00267B57"/>
    <w:rsid w:val="00267F66"/>
    <w:rsid w:val="00270169"/>
    <w:rsid w:val="002702D2"/>
    <w:rsid w:val="00270370"/>
    <w:rsid w:val="002703D2"/>
    <w:rsid w:val="0027085B"/>
    <w:rsid w:val="002708A2"/>
    <w:rsid w:val="00270A67"/>
    <w:rsid w:val="00270BAE"/>
    <w:rsid w:val="00270E19"/>
    <w:rsid w:val="00271266"/>
    <w:rsid w:val="002712C6"/>
    <w:rsid w:val="0027138C"/>
    <w:rsid w:val="00271416"/>
    <w:rsid w:val="0027170E"/>
    <w:rsid w:val="00271720"/>
    <w:rsid w:val="0027178B"/>
    <w:rsid w:val="00271B4D"/>
    <w:rsid w:val="00271E77"/>
    <w:rsid w:val="00271F20"/>
    <w:rsid w:val="00272164"/>
    <w:rsid w:val="00272499"/>
    <w:rsid w:val="0027255E"/>
    <w:rsid w:val="002725DD"/>
    <w:rsid w:val="00272623"/>
    <w:rsid w:val="00272654"/>
    <w:rsid w:val="0027294B"/>
    <w:rsid w:val="00272960"/>
    <w:rsid w:val="00272A65"/>
    <w:rsid w:val="00272CB1"/>
    <w:rsid w:val="00272DBE"/>
    <w:rsid w:val="0027304A"/>
    <w:rsid w:val="0027304D"/>
    <w:rsid w:val="00273102"/>
    <w:rsid w:val="00273170"/>
    <w:rsid w:val="0027349A"/>
    <w:rsid w:val="002736C2"/>
    <w:rsid w:val="002737D9"/>
    <w:rsid w:val="00273CB2"/>
    <w:rsid w:val="00273DAB"/>
    <w:rsid w:val="00273F61"/>
    <w:rsid w:val="002742C3"/>
    <w:rsid w:val="002742FE"/>
    <w:rsid w:val="002745E7"/>
    <w:rsid w:val="00274744"/>
    <w:rsid w:val="00274977"/>
    <w:rsid w:val="00274B28"/>
    <w:rsid w:val="00274C4D"/>
    <w:rsid w:val="00274EFA"/>
    <w:rsid w:val="00275025"/>
    <w:rsid w:val="00275054"/>
    <w:rsid w:val="002751E6"/>
    <w:rsid w:val="0027529C"/>
    <w:rsid w:val="00275410"/>
    <w:rsid w:val="002757B7"/>
    <w:rsid w:val="0027596A"/>
    <w:rsid w:val="002759C0"/>
    <w:rsid w:val="00275B68"/>
    <w:rsid w:val="00275C43"/>
    <w:rsid w:val="00275D7A"/>
    <w:rsid w:val="00275EC1"/>
    <w:rsid w:val="00275F9E"/>
    <w:rsid w:val="002761BD"/>
    <w:rsid w:val="002762D2"/>
    <w:rsid w:val="002762F9"/>
    <w:rsid w:val="00276339"/>
    <w:rsid w:val="00276493"/>
    <w:rsid w:val="0027652E"/>
    <w:rsid w:val="0027656C"/>
    <w:rsid w:val="0027683A"/>
    <w:rsid w:val="00276884"/>
    <w:rsid w:val="0027688D"/>
    <w:rsid w:val="002768EF"/>
    <w:rsid w:val="00276CB0"/>
    <w:rsid w:val="00277216"/>
    <w:rsid w:val="00277230"/>
    <w:rsid w:val="002772AF"/>
    <w:rsid w:val="00277636"/>
    <w:rsid w:val="0027780B"/>
    <w:rsid w:val="002779F5"/>
    <w:rsid w:val="00277A86"/>
    <w:rsid w:val="00277C60"/>
    <w:rsid w:val="002802F9"/>
    <w:rsid w:val="00280387"/>
    <w:rsid w:val="0028045C"/>
    <w:rsid w:val="00280B6C"/>
    <w:rsid w:val="00280CBA"/>
    <w:rsid w:val="00280D5B"/>
    <w:rsid w:val="00280D7D"/>
    <w:rsid w:val="00280EA4"/>
    <w:rsid w:val="00281007"/>
    <w:rsid w:val="0028106B"/>
    <w:rsid w:val="002811B7"/>
    <w:rsid w:val="00281364"/>
    <w:rsid w:val="00281815"/>
    <w:rsid w:val="00281819"/>
    <w:rsid w:val="00281922"/>
    <w:rsid w:val="00281A01"/>
    <w:rsid w:val="00281DA0"/>
    <w:rsid w:val="00281F29"/>
    <w:rsid w:val="00281F6A"/>
    <w:rsid w:val="002822C7"/>
    <w:rsid w:val="002822FD"/>
    <w:rsid w:val="00282372"/>
    <w:rsid w:val="00282398"/>
    <w:rsid w:val="002825DC"/>
    <w:rsid w:val="002827F9"/>
    <w:rsid w:val="00282824"/>
    <w:rsid w:val="00282836"/>
    <w:rsid w:val="00282BAE"/>
    <w:rsid w:val="00282D05"/>
    <w:rsid w:val="00282D59"/>
    <w:rsid w:val="00282DAC"/>
    <w:rsid w:val="00282EE5"/>
    <w:rsid w:val="0028338E"/>
    <w:rsid w:val="002834C9"/>
    <w:rsid w:val="002835A6"/>
    <w:rsid w:val="002837C2"/>
    <w:rsid w:val="002838D0"/>
    <w:rsid w:val="0028399A"/>
    <w:rsid w:val="002839FB"/>
    <w:rsid w:val="00283B89"/>
    <w:rsid w:val="00283BB4"/>
    <w:rsid w:val="00283D4E"/>
    <w:rsid w:val="00283EF3"/>
    <w:rsid w:val="00284036"/>
    <w:rsid w:val="00284057"/>
    <w:rsid w:val="00284162"/>
    <w:rsid w:val="00284458"/>
    <w:rsid w:val="002844AC"/>
    <w:rsid w:val="0028453A"/>
    <w:rsid w:val="002845EA"/>
    <w:rsid w:val="002847B5"/>
    <w:rsid w:val="002848C8"/>
    <w:rsid w:val="00284B22"/>
    <w:rsid w:val="00284C97"/>
    <w:rsid w:val="002850CB"/>
    <w:rsid w:val="00285146"/>
    <w:rsid w:val="0028523A"/>
    <w:rsid w:val="00285309"/>
    <w:rsid w:val="0028551B"/>
    <w:rsid w:val="002856AF"/>
    <w:rsid w:val="00285756"/>
    <w:rsid w:val="00285A8C"/>
    <w:rsid w:val="00285B2D"/>
    <w:rsid w:val="00285DF6"/>
    <w:rsid w:val="00286154"/>
    <w:rsid w:val="00286279"/>
    <w:rsid w:val="002862B2"/>
    <w:rsid w:val="002865C9"/>
    <w:rsid w:val="0028669A"/>
    <w:rsid w:val="0028670B"/>
    <w:rsid w:val="00286894"/>
    <w:rsid w:val="00286B1C"/>
    <w:rsid w:val="00286B56"/>
    <w:rsid w:val="00286D45"/>
    <w:rsid w:val="00286DCB"/>
    <w:rsid w:val="00286E8E"/>
    <w:rsid w:val="00286EBE"/>
    <w:rsid w:val="00286FB0"/>
    <w:rsid w:val="00287060"/>
    <w:rsid w:val="0028709C"/>
    <w:rsid w:val="0028718B"/>
    <w:rsid w:val="00287331"/>
    <w:rsid w:val="002874D2"/>
    <w:rsid w:val="00287699"/>
    <w:rsid w:val="0028783E"/>
    <w:rsid w:val="00287986"/>
    <w:rsid w:val="00287B58"/>
    <w:rsid w:val="00287E35"/>
    <w:rsid w:val="00287EB8"/>
    <w:rsid w:val="00287F49"/>
    <w:rsid w:val="00290015"/>
    <w:rsid w:val="0029008E"/>
    <w:rsid w:val="0029026D"/>
    <w:rsid w:val="0029049F"/>
    <w:rsid w:val="00290588"/>
    <w:rsid w:val="0029059A"/>
    <w:rsid w:val="002907BC"/>
    <w:rsid w:val="00290946"/>
    <w:rsid w:val="00290BA8"/>
    <w:rsid w:val="00290BD4"/>
    <w:rsid w:val="00290C6B"/>
    <w:rsid w:val="00290EA5"/>
    <w:rsid w:val="00290F3B"/>
    <w:rsid w:val="00290F8B"/>
    <w:rsid w:val="0029128F"/>
    <w:rsid w:val="0029149D"/>
    <w:rsid w:val="002915B9"/>
    <w:rsid w:val="002919DB"/>
    <w:rsid w:val="00291A41"/>
    <w:rsid w:val="00291BA0"/>
    <w:rsid w:val="00291CDB"/>
    <w:rsid w:val="00291CFB"/>
    <w:rsid w:val="00291DCD"/>
    <w:rsid w:val="00291E4C"/>
    <w:rsid w:val="00291EF9"/>
    <w:rsid w:val="002920A4"/>
    <w:rsid w:val="002920C7"/>
    <w:rsid w:val="00292228"/>
    <w:rsid w:val="002922DD"/>
    <w:rsid w:val="00292777"/>
    <w:rsid w:val="002929D8"/>
    <w:rsid w:val="00292B9F"/>
    <w:rsid w:val="00292DDE"/>
    <w:rsid w:val="00293109"/>
    <w:rsid w:val="0029316E"/>
    <w:rsid w:val="00293470"/>
    <w:rsid w:val="00293920"/>
    <w:rsid w:val="002939B1"/>
    <w:rsid w:val="002939C0"/>
    <w:rsid w:val="00293C63"/>
    <w:rsid w:val="00293CF0"/>
    <w:rsid w:val="00293F23"/>
    <w:rsid w:val="00293F3D"/>
    <w:rsid w:val="0029407E"/>
    <w:rsid w:val="002942D2"/>
    <w:rsid w:val="002943C3"/>
    <w:rsid w:val="002945A9"/>
    <w:rsid w:val="00294603"/>
    <w:rsid w:val="002948F5"/>
    <w:rsid w:val="00294A58"/>
    <w:rsid w:val="00294B49"/>
    <w:rsid w:val="00294B5A"/>
    <w:rsid w:val="00294CD6"/>
    <w:rsid w:val="00294D2F"/>
    <w:rsid w:val="00294DAA"/>
    <w:rsid w:val="00294E9F"/>
    <w:rsid w:val="00294EE4"/>
    <w:rsid w:val="00294F65"/>
    <w:rsid w:val="0029517B"/>
    <w:rsid w:val="00295274"/>
    <w:rsid w:val="002955D3"/>
    <w:rsid w:val="00295601"/>
    <w:rsid w:val="002958DE"/>
    <w:rsid w:val="00295B4E"/>
    <w:rsid w:val="00295B70"/>
    <w:rsid w:val="00295EEF"/>
    <w:rsid w:val="00295EF1"/>
    <w:rsid w:val="0029603D"/>
    <w:rsid w:val="002961F3"/>
    <w:rsid w:val="002963DD"/>
    <w:rsid w:val="0029648D"/>
    <w:rsid w:val="00296743"/>
    <w:rsid w:val="0029678D"/>
    <w:rsid w:val="00296B8A"/>
    <w:rsid w:val="00296F47"/>
    <w:rsid w:val="00296F72"/>
    <w:rsid w:val="00297289"/>
    <w:rsid w:val="00297514"/>
    <w:rsid w:val="00297613"/>
    <w:rsid w:val="00297635"/>
    <w:rsid w:val="00297703"/>
    <w:rsid w:val="00297886"/>
    <w:rsid w:val="0029799C"/>
    <w:rsid w:val="00297D33"/>
    <w:rsid w:val="00297ECD"/>
    <w:rsid w:val="002A0230"/>
    <w:rsid w:val="002A038F"/>
    <w:rsid w:val="002A04E2"/>
    <w:rsid w:val="002A06E7"/>
    <w:rsid w:val="002A09C6"/>
    <w:rsid w:val="002A0A67"/>
    <w:rsid w:val="002A0C14"/>
    <w:rsid w:val="002A0C68"/>
    <w:rsid w:val="002A0DDB"/>
    <w:rsid w:val="002A0E02"/>
    <w:rsid w:val="002A0E79"/>
    <w:rsid w:val="002A0E94"/>
    <w:rsid w:val="002A0FE2"/>
    <w:rsid w:val="002A104D"/>
    <w:rsid w:val="002A1263"/>
    <w:rsid w:val="002A141B"/>
    <w:rsid w:val="002A156B"/>
    <w:rsid w:val="002A1654"/>
    <w:rsid w:val="002A1769"/>
    <w:rsid w:val="002A18CD"/>
    <w:rsid w:val="002A18EC"/>
    <w:rsid w:val="002A18FE"/>
    <w:rsid w:val="002A190F"/>
    <w:rsid w:val="002A19F7"/>
    <w:rsid w:val="002A1EA5"/>
    <w:rsid w:val="002A1EF1"/>
    <w:rsid w:val="002A1FB9"/>
    <w:rsid w:val="002A2364"/>
    <w:rsid w:val="002A269F"/>
    <w:rsid w:val="002A283D"/>
    <w:rsid w:val="002A2A08"/>
    <w:rsid w:val="002A2A83"/>
    <w:rsid w:val="002A2B37"/>
    <w:rsid w:val="002A2BC4"/>
    <w:rsid w:val="002A2D62"/>
    <w:rsid w:val="002A2D93"/>
    <w:rsid w:val="002A2E0A"/>
    <w:rsid w:val="002A31FA"/>
    <w:rsid w:val="002A32BE"/>
    <w:rsid w:val="002A339E"/>
    <w:rsid w:val="002A33FC"/>
    <w:rsid w:val="002A3418"/>
    <w:rsid w:val="002A35A5"/>
    <w:rsid w:val="002A38B2"/>
    <w:rsid w:val="002A3997"/>
    <w:rsid w:val="002A3AB1"/>
    <w:rsid w:val="002A3D89"/>
    <w:rsid w:val="002A3FF6"/>
    <w:rsid w:val="002A4113"/>
    <w:rsid w:val="002A4266"/>
    <w:rsid w:val="002A42B9"/>
    <w:rsid w:val="002A42FB"/>
    <w:rsid w:val="002A4382"/>
    <w:rsid w:val="002A448C"/>
    <w:rsid w:val="002A449A"/>
    <w:rsid w:val="002A44A0"/>
    <w:rsid w:val="002A45B1"/>
    <w:rsid w:val="002A46C8"/>
    <w:rsid w:val="002A47DB"/>
    <w:rsid w:val="002A47DF"/>
    <w:rsid w:val="002A484B"/>
    <w:rsid w:val="002A496E"/>
    <w:rsid w:val="002A4BE4"/>
    <w:rsid w:val="002A4DBA"/>
    <w:rsid w:val="002A4E42"/>
    <w:rsid w:val="002A4E43"/>
    <w:rsid w:val="002A4E46"/>
    <w:rsid w:val="002A4E82"/>
    <w:rsid w:val="002A4F84"/>
    <w:rsid w:val="002A4F98"/>
    <w:rsid w:val="002A5008"/>
    <w:rsid w:val="002A501D"/>
    <w:rsid w:val="002A5379"/>
    <w:rsid w:val="002A556F"/>
    <w:rsid w:val="002A5781"/>
    <w:rsid w:val="002A57A6"/>
    <w:rsid w:val="002A58B2"/>
    <w:rsid w:val="002A58D5"/>
    <w:rsid w:val="002A598E"/>
    <w:rsid w:val="002A5B3A"/>
    <w:rsid w:val="002A5D61"/>
    <w:rsid w:val="002A5E60"/>
    <w:rsid w:val="002A610F"/>
    <w:rsid w:val="002A61A5"/>
    <w:rsid w:val="002A61B1"/>
    <w:rsid w:val="002A648D"/>
    <w:rsid w:val="002A6700"/>
    <w:rsid w:val="002A68E0"/>
    <w:rsid w:val="002A6947"/>
    <w:rsid w:val="002A6AB3"/>
    <w:rsid w:val="002A6BD2"/>
    <w:rsid w:val="002A6DC6"/>
    <w:rsid w:val="002A6F83"/>
    <w:rsid w:val="002A6F9D"/>
    <w:rsid w:val="002A7199"/>
    <w:rsid w:val="002A72EB"/>
    <w:rsid w:val="002A7323"/>
    <w:rsid w:val="002A7586"/>
    <w:rsid w:val="002A7726"/>
    <w:rsid w:val="002A77C3"/>
    <w:rsid w:val="002A79D9"/>
    <w:rsid w:val="002A7BAF"/>
    <w:rsid w:val="002A7BBD"/>
    <w:rsid w:val="002A7D28"/>
    <w:rsid w:val="002B0120"/>
    <w:rsid w:val="002B05A8"/>
    <w:rsid w:val="002B0875"/>
    <w:rsid w:val="002B0B33"/>
    <w:rsid w:val="002B0BB9"/>
    <w:rsid w:val="002B0C73"/>
    <w:rsid w:val="002B0D6E"/>
    <w:rsid w:val="002B0F57"/>
    <w:rsid w:val="002B0FE9"/>
    <w:rsid w:val="002B1025"/>
    <w:rsid w:val="002B10B0"/>
    <w:rsid w:val="002B1225"/>
    <w:rsid w:val="002B134A"/>
    <w:rsid w:val="002B13CD"/>
    <w:rsid w:val="002B1437"/>
    <w:rsid w:val="002B14DB"/>
    <w:rsid w:val="002B1505"/>
    <w:rsid w:val="002B15E6"/>
    <w:rsid w:val="002B169C"/>
    <w:rsid w:val="002B16ED"/>
    <w:rsid w:val="002B180B"/>
    <w:rsid w:val="002B1838"/>
    <w:rsid w:val="002B1845"/>
    <w:rsid w:val="002B19BE"/>
    <w:rsid w:val="002B1DB6"/>
    <w:rsid w:val="002B1F89"/>
    <w:rsid w:val="002B204D"/>
    <w:rsid w:val="002B21BB"/>
    <w:rsid w:val="002B22F5"/>
    <w:rsid w:val="002B25B9"/>
    <w:rsid w:val="002B274C"/>
    <w:rsid w:val="002B2789"/>
    <w:rsid w:val="002B2868"/>
    <w:rsid w:val="002B29B9"/>
    <w:rsid w:val="002B2B82"/>
    <w:rsid w:val="002B2DCA"/>
    <w:rsid w:val="002B2E9F"/>
    <w:rsid w:val="002B2F77"/>
    <w:rsid w:val="002B2F8A"/>
    <w:rsid w:val="002B3222"/>
    <w:rsid w:val="002B3253"/>
    <w:rsid w:val="002B3270"/>
    <w:rsid w:val="002B3275"/>
    <w:rsid w:val="002B3315"/>
    <w:rsid w:val="002B3529"/>
    <w:rsid w:val="002B3596"/>
    <w:rsid w:val="002B364D"/>
    <w:rsid w:val="002B373C"/>
    <w:rsid w:val="002B37D3"/>
    <w:rsid w:val="002B3887"/>
    <w:rsid w:val="002B39A0"/>
    <w:rsid w:val="002B3A4E"/>
    <w:rsid w:val="002B3CB3"/>
    <w:rsid w:val="002B407D"/>
    <w:rsid w:val="002B4185"/>
    <w:rsid w:val="002B43B3"/>
    <w:rsid w:val="002B4414"/>
    <w:rsid w:val="002B4755"/>
    <w:rsid w:val="002B4BC7"/>
    <w:rsid w:val="002B4C63"/>
    <w:rsid w:val="002B4CEA"/>
    <w:rsid w:val="002B4DBA"/>
    <w:rsid w:val="002B4F03"/>
    <w:rsid w:val="002B4FAD"/>
    <w:rsid w:val="002B5175"/>
    <w:rsid w:val="002B5378"/>
    <w:rsid w:val="002B538D"/>
    <w:rsid w:val="002B5750"/>
    <w:rsid w:val="002B5899"/>
    <w:rsid w:val="002B5A2C"/>
    <w:rsid w:val="002B5A4C"/>
    <w:rsid w:val="002B5B61"/>
    <w:rsid w:val="002B5C07"/>
    <w:rsid w:val="002B5CA1"/>
    <w:rsid w:val="002B6031"/>
    <w:rsid w:val="002B62B0"/>
    <w:rsid w:val="002B62C0"/>
    <w:rsid w:val="002B63DB"/>
    <w:rsid w:val="002B6523"/>
    <w:rsid w:val="002B6612"/>
    <w:rsid w:val="002B6699"/>
    <w:rsid w:val="002B6716"/>
    <w:rsid w:val="002B682E"/>
    <w:rsid w:val="002B6C37"/>
    <w:rsid w:val="002B6D2E"/>
    <w:rsid w:val="002B6EFD"/>
    <w:rsid w:val="002B6F33"/>
    <w:rsid w:val="002B7208"/>
    <w:rsid w:val="002B72EA"/>
    <w:rsid w:val="002B73D2"/>
    <w:rsid w:val="002B74A7"/>
    <w:rsid w:val="002B79F0"/>
    <w:rsid w:val="002B7B8A"/>
    <w:rsid w:val="002B7C0D"/>
    <w:rsid w:val="002B7C96"/>
    <w:rsid w:val="002B7F3E"/>
    <w:rsid w:val="002C00F5"/>
    <w:rsid w:val="002C0166"/>
    <w:rsid w:val="002C059A"/>
    <w:rsid w:val="002C05D9"/>
    <w:rsid w:val="002C0628"/>
    <w:rsid w:val="002C06B5"/>
    <w:rsid w:val="002C0C7A"/>
    <w:rsid w:val="002C0CCC"/>
    <w:rsid w:val="002C0CD7"/>
    <w:rsid w:val="002C0D7B"/>
    <w:rsid w:val="002C0D98"/>
    <w:rsid w:val="002C0D99"/>
    <w:rsid w:val="002C0E50"/>
    <w:rsid w:val="002C1028"/>
    <w:rsid w:val="002C10C3"/>
    <w:rsid w:val="002C11BC"/>
    <w:rsid w:val="002C11D6"/>
    <w:rsid w:val="002C12AF"/>
    <w:rsid w:val="002C143E"/>
    <w:rsid w:val="002C1443"/>
    <w:rsid w:val="002C1590"/>
    <w:rsid w:val="002C15BA"/>
    <w:rsid w:val="002C1716"/>
    <w:rsid w:val="002C1878"/>
    <w:rsid w:val="002C195F"/>
    <w:rsid w:val="002C19AC"/>
    <w:rsid w:val="002C19F6"/>
    <w:rsid w:val="002C1CBF"/>
    <w:rsid w:val="002C1D9C"/>
    <w:rsid w:val="002C1EFA"/>
    <w:rsid w:val="002C1F0C"/>
    <w:rsid w:val="002C1F3B"/>
    <w:rsid w:val="002C2254"/>
    <w:rsid w:val="002C22C5"/>
    <w:rsid w:val="002C2418"/>
    <w:rsid w:val="002C27A6"/>
    <w:rsid w:val="002C2806"/>
    <w:rsid w:val="002C28AD"/>
    <w:rsid w:val="002C2A25"/>
    <w:rsid w:val="002C2BD3"/>
    <w:rsid w:val="002C2BEB"/>
    <w:rsid w:val="002C2BFD"/>
    <w:rsid w:val="002C2D3B"/>
    <w:rsid w:val="002C2DF8"/>
    <w:rsid w:val="002C30A4"/>
    <w:rsid w:val="002C34B2"/>
    <w:rsid w:val="002C34D5"/>
    <w:rsid w:val="002C366F"/>
    <w:rsid w:val="002C3674"/>
    <w:rsid w:val="002C368F"/>
    <w:rsid w:val="002C36B9"/>
    <w:rsid w:val="002C3894"/>
    <w:rsid w:val="002C3914"/>
    <w:rsid w:val="002C3B8D"/>
    <w:rsid w:val="002C3C6A"/>
    <w:rsid w:val="002C3D9B"/>
    <w:rsid w:val="002C3E6A"/>
    <w:rsid w:val="002C40EF"/>
    <w:rsid w:val="002C4323"/>
    <w:rsid w:val="002C488D"/>
    <w:rsid w:val="002C4A81"/>
    <w:rsid w:val="002C4B78"/>
    <w:rsid w:val="002C4B93"/>
    <w:rsid w:val="002C4CA9"/>
    <w:rsid w:val="002C4CB2"/>
    <w:rsid w:val="002C50D6"/>
    <w:rsid w:val="002C5453"/>
    <w:rsid w:val="002C5566"/>
    <w:rsid w:val="002C57AD"/>
    <w:rsid w:val="002C57BD"/>
    <w:rsid w:val="002C5A5C"/>
    <w:rsid w:val="002C5B2F"/>
    <w:rsid w:val="002C5BFE"/>
    <w:rsid w:val="002C5C7F"/>
    <w:rsid w:val="002C64F8"/>
    <w:rsid w:val="002C6586"/>
    <w:rsid w:val="002C6686"/>
    <w:rsid w:val="002C670A"/>
    <w:rsid w:val="002C6765"/>
    <w:rsid w:val="002C68E5"/>
    <w:rsid w:val="002C6B2E"/>
    <w:rsid w:val="002C6BEB"/>
    <w:rsid w:val="002C6C8F"/>
    <w:rsid w:val="002C6CD7"/>
    <w:rsid w:val="002C6CE4"/>
    <w:rsid w:val="002C6D77"/>
    <w:rsid w:val="002C6DAE"/>
    <w:rsid w:val="002C6F03"/>
    <w:rsid w:val="002C6FC1"/>
    <w:rsid w:val="002C7016"/>
    <w:rsid w:val="002C70A3"/>
    <w:rsid w:val="002C7301"/>
    <w:rsid w:val="002C7549"/>
    <w:rsid w:val="002C75E6"/>
    <w:rsid w:val="002C7853"/>
    <w:rsid w:val="002C791D"/>
    <w:rsid w:val="002C7983"/>
    <w:rsid w:val="002C7A17"/>
    <w:rsid w:val="002C7BC2"/>
    <w:rsid w:val="002C7C0A"/>
    <w:rsid w:val="002C7C9C"/>
    <w:rsid w:val="002C7F28"/>
    <w:rsid w:val="002C7FF4"/>
    <w:rsid w:val="002D0026"/>
    <w:rsid w:val="002D006A"/>
    <w:rsid w:val="002D017B"/>
    <w:rsid w:val="002D0220"/>
    <w:rsid w:val="002D04C5"/>
    <w:rsid w:val="002D0548"/>
    <w:rsid w:val="002D059D"/>
    <w:rsid w:val="002D0632"/>
    <w:rsid w:val="002D068E"/>
    <w:rsid w:val="002D06CD"/>
    <w:rsid w:val="002D0727"/>
    <w:rsid w:val="002D0747"/>
    <w:rsid w:val="002D0B89"/>
    <w:rsid w:val="002D0CEB"/>
    <w:rsid w:val="002D0D9F"/>
    <w:rsid w:val="002D0DF9"/>
    <w:rsid w:val="002D100C"/>
    <w:rsid w:val="002D1200"/>
    <w:rsid w:val="002D13C9"/>
    <w:rsid w:val="002D1467"/>
    <w:rsid w:val="002D1B36"/>
    <w:rsid w:val="002D1B96"/>
    <w:rsid w:val="002D1CA4"/>
    <w:rsid w:val="002D2248"/>
    <w:rsid w:val="002D2270"/>
    <w:rsid w:val="002D22D4"/>
    <w:rsid w:val="002D23D9"/>
    <w:rsid w:val="002D2681"/>
    <w:rsid w:val="002D2723"/>
    <w:rsid w:val="002D2757"/>
    <w:rsid w:val="002D2859"/>
    <w:rsid w:val="002D28A5"/>
    <w:rsid w:val="002D2B0F"/>
    <w:rsid w:val="002D2BFB"/>
    <w:rsid w:val="002D2C51"/>
    <w:rsid w:val="002D2E4C"/>
    <w:rsid w:val="002D2EC4"/>
    <w:rsid w:val="002D30EB"/>
    <w:rsid w:val="002D30F9"/>
    <w:rsid w:val="002D319A"/>
    <w:rsid w:val="002D32AF"/>
    <w:rsid w:val="002D3306"/>
    <w:rsid w:val="002D34C8"/>
    <w:rsid w:val="002D3568"/>
    <w:rsid w:val="002D37C1"/>
    <w:rsid w:val="002D3B71"/>
    <w:rsid w:val="002D3B98"/>
    <w:rsid w:val="002D3C6D"/>
    <w:rsid w:val="002D3E02"/>
    <w:rsid w:val="002D3E11"/>
    <w:rsid w:val="002D3E55"/>
    <w:rsid w:val="002D3ECA"/>
    <w:rsid w:val="002D3FF7"/>
    <w:rsid w:val="002D4074"/>
    <w:rsid w:val="002D41E6"/>
    <w:rsid w:val="002D427D"/>
    <w:rsid w:val="002D42F1"/>
    <w:rsid w:val="002D4487"/>
    <w:rsid w:val="002D4830"/>
    <w:rsid w:val="002D483B"/>
    <w:rsid w:val="002D4856"/>
    <w:rsid w:val="002D4960"/>
    <w:rsid w:val="002D4A0A"/>
    <w:rsid w:val="002D4A17"/>
    <w:rsid w:val="002D4A43"/>
    <w:rsid w:val="002D4A48"/>
    <w:rsid w:val="002D4D72"/>
    <w:rsid w:val="002D4DDD"/>
    <w:rsid w:val="002D5024"/>
    <w:rsid w:val="002D5041"/>
    <w:rsid w:val="002D5098"/>
    <w:rsid w:val="002D52BF"/>
    <w:rsid w:val="002D54FE"/>
    <w:rsid w:val="002D5562"/>
    <w:rsid w:val="002D5A35"/>
    <w:rsid w:val="002D5A3C"/>
    <w:rsid w:val="002D5D97"/>
    <w:rsid w:val="002D6056"/>
    <w:rsid w:val="002D607F"/>
    <w:rsid w:val="002D60C9"/>
    <w:rsid w:val="002D651C"/>
    <w:rsid w:val="002D6598"/>
    <w:rsid w:val="002D65B4"/>
    <w:rsid w:val="002D686E"/>
    <w:rsid w:val="002D68CE"/>
    <w:rsid w:val="002D69CA"/>
    <w:rsid w:val="002D6BC9"/>
    <w:rsid w:val="002D6C23"/>
    <w:rsid w:val="002D6D06"/>
    <w:rsid w:val="002D6FB9"/>
    <w:rsid w:val="002D708E"/>
    <w:rsid w:val="002D74E2"/>
    <w:rsid w:val="002D7693"/>
    <w:rsid w:val="002D7729"/>
    <w:rsid w:val="002D7D96"/>
    <w:rsid w:val="002D7F35"/>
    <w:rsid w:val="002E0145"/>
    <w:rsid w:val="002E016A"/>
    <w:rsid w:val="002E01CD"/>
    <w:rsid w:val="002E023C"/>
    <w:rsid w:val="002E0315"/>
    <w:rsid w:val="002E0403"/>
    <w:rsid w:val="002E0793"/>
    <w:rsid w:val="002E0895"/>
    <w:rsid w:val="002E08B7"/>
    <w:rsid w:val="002E0903"/>
    <w:rsid w:val="002E0C71"/>
    <w:rsid w:val="002E0D26"/>
    <w:rsid w:val="002E0D8B"/>
    <w:rsid w:val="002E0EA5"/>
    <w:rsid w:val="002E0F23"/>
    <w:rsid w:val="002E10FA"/>
    <w:rsid w:val="002E12E1"/>
    <w:rsid w:val="002E13A7"/>
    <w:rsid w:val="002E15C5"/>
    <w:rsid w:val="002E15D9"/>
    <w:rsid w:val="002E17C1"/>
    <w:rsid w:val="002E197E"/>
    <w:rsid w:val="002E19C3"/>
    <w:rsid w:val="002E19D7"/>
    <w:rsid w:val="002E19F9"/>
    <w:rsid w:val="002E19FA"/>
    <w:rsid w:val="002E1DDE"/>
    <w:rsid w:val="002E210D"/>
    <w:rsid w:val="002E2189"/>
    <w:rsid w:val="002E21D1"/>
    <w:rsid w:val="002E229D"/>
    <w:rsid w:val="002E234D"/>
    <w:rsid w:val="002E2443"/>
    <w:rsid w:val="002E24B4"/>
    <w:rsid w:val="002E2569"/>
    <w:rsid w:val="002E25A8"/>
    <w:rsid w:val="002E25AA"/>
    <w:rsid w:val="002E271A"/>
    <w:rsid w:val="002E2755"/>
    <w:rsid w:val="002E279A"/>
    <w:rsid w:val="002E27E4"/>
    <w:rsid w:val="002E29E0"/>
    <w:rsid w:val="002E2A9B"/>
    <w:rsid w:val="002E2B0C"/>
    <w:rsid w:val="002E2BDF"/>
    <w:rsid w:val="002E2BE7"/>
    <w:rsid w:val="002E2E05"/>
    <w:rsid w:val="002E323E"/>
    <w:rsid w:val="002E33DF"/>
    <w:rsid w:val="002E34CF"/>
    <w:rsid w:val="002E368B"/>
    <w:rsid w:val="002E370C"/>
    <w:rsid w:val="002E3832"/>
    <w:rsid w:val="002E3979"/>
    <w:rsid w:val="002E398A"/>
    <w:rsid w:val="002E399E"/>
    <w:rsid w:val="002E3B08"/>
    <w:rsid w:val="002E3CC7"/>
    <w:rsid w:val="002E3CE5"/>
    <w:rsid w:val="002E3D16"/>
    <w:rsid w:val="002E3D9A"/>
    <w:rsid w:val="002E3E1B"/>
    <w:rsid w:val="002E3E45"/>
    <w:rsid w:val="002E4118"/>
    <w:rsid w:val="002E41F3"/>
    <w:rsid w:val="002E424B"/>
    <w:rsid w:val="002E43E3"/>
    <w:rsid w:val="002E4505"/>
    <w:rsid w:val="002E4516"/>
    <w:rsid w:val="002E4519"/>
    <w:rsid w:val="002E454C"/>
    <w:rsid w:val="002E4661"/>
    <w:rsid w:val="002E47C4"/>
    <w:rsid w:val="002E4867"/>
    <w:rsid w:val="002E4C70"/>
    <w:rsid w:val="002E5038"/>
    <w:rsid w:val="002E5058"/>
    <w:rsid w:val="002E5301"/>
    <w:rsid w:val="002E533C"/>
    <w:rsid w:val="002E53A7"/>
    <w:rsid w:val="002E543D"/>
    <w:rsid w:val="002E5450"/>
    <w:rsid w:val="002E5576"/>
    <w:rsid w:val="002E557C"/>
    <w:rsid w:val="002E5638"/>
    <w:rsid w:val="002E5795"/>
    <w:rsid w:val="002E5BB9"/>
    <w:rsid w:val="002E5BCC"/>
    <w:rsid w:val="002E5BF4"/>
    <w:rsid w:val="002E5C98"/>
    <w:rsid w:val="002E5D16"/>
    <w:rsid w:val="002E6116"/>
    <w:rsid w:val="002E67E6"/>
    <w:rsid w:val="002E689A"/>
    <w:rsid w:val="002E69B3"/>
    <w:rsid w:val="002E6A09"/>
    <w:rsid w:val="002E6BA7"/>
    <w:rsid w:val="002E6C83"/>
    <w:rsid w:val="002E6C97"/>
    <w:rsid w:val="002E6DB2"/>
    <w:rsid w:val="002E6DBB"/>
    <w:rsid w:val="002E6E7C"/>
    <w:rsid w:val="002E6EED"/>
    <w:rsid w:val="002E6F72"/>
    <w:rsid w:val="002E6FFA"/>
    <w:rsid w:val="002E77FB"/>
    <w:rsid w:val="002E7A15"/>
    <w:rsid w:val="002E7AFD"/>
    <w:rsid w:val="002E7B0D"/>
    <w:rsid w:val="002E7B36"/>
    <w:rsid w:val="002E7B91"/>
    <w:rsid w:val="002E7D63"/>
    <w:rsid w:val="002F004C"/>
    <w:rsid w:val="002F04DE"/>
    <w:rsid w:val="002F07E8"/>
    <w:rsid w:val="002F089E"/>
    <w:rsid w:val="002F094D"/>
    <w:rsid w:val="002F0A2B"/>
    <w:rsid w:val="002F0B9F"/>
    <w:rsid w:val="002F0BDA"/>
    <w:rsid w:val="002F0D1B"/>
    <w:rsid w:val="002F0F46"/>
    <w:rsid w:val="002F0F71"/>
    <w:rsid w:val="002F108B"/>
    <w:rsid w:val="002F121E"/>
    <w:rsid w:val="002F139E"/>
    <w:rsid w:val="002F14D0"/>
    <w:rsid w:val="002F1524"/>
    <w:rsid w:val="002F164A"/>
    <w:rsid w:val="002F16E0"/>
    <w:rsid w:val="002F190D"/>
    <w:rsid w:val="002F196B"/>
    <w:rsid w:val="002F1A3E"/>
    <w:rsid w:val="002F1B32"/>
    <w:rsid w:val="002F1CD3"/>
    <w:rsid w:val="002F1D51"/>
    <w:rsid w:val="002F1DC6"/>
    <w:rsid w:val="002F1E10"/>
    <w:rsid w:val="002F1E43"/>
    <w:rsid w:val="002F1E7D"/>
    <w:rsid w:val="002F1EA4"/>
    <w:rsid w:val="002F2043"/>
    <w:rsid w:val="002F2106"/>
    <w:rsid w:val="002F23A3"/>
    <w:rsid w:val="002F242F"/>
    <w:rsid w:val="002F24B0"/>
    <w:rsid w:val="002F279C"/>
    <w:rsid w:val="002F283F"/>
    <w:rsid w:val="002F2A8A"/>
    <w:rsid w:val="002F2B94"/>
    <w:rsid w:val="002F2BA6"/>
    <w:rsid w:val="002F2BB2"/>
    <w:rsid w:val="002F2EFE"/>
    <w:rsid w:val="002F2FB9"/>
    <w:rsid w:val="002F305B"/>
    <w:rsid w:val="002F32CF"/>
    <w:rsid w:val="002F35A5"/>
    <w:rsid w:val="002F3778"/>
    <w:rsid w:val="002F3A93"/>
    <w:rsid w:val="002F3AFA"/>
    <w:rsid w:val="002F3B24"/>
    <w:rsid w:val="002F3DA5"/>
    <w:rsid w:val="002F3EC2"/>
    <w:rsid w:val="002F4033"/>
    <w:rsid w:val="002F40D0"/>
    <w:rsid w:val="002F4355"/>
    <w:rsid w:val="002F4444"/>
    <w:rsid w:val="002F45F4"/>
    <w:rsid w:val="002F4777"/>
    <w:rsid w:val="002F4820"/>
    <w:rsid w:val="002F4A17"/>
    <w:rsid w:val="002F4A45"/>
    <w:rsid w:val="002F4A7F"/>
    <w:rsid w:val="002F4AE0"/>
    <w:rsid w:val="002F4BEA"/>
    <w:rsid w:val="002F4C4D"/>
    <w:rsid w:val="002F5036"/>
    <w:rsid w:val="002F515A"/>
    <w:rsid w:val="002F54B6"/>
    <w:rsid w:val="002F5629"/>
    <w:rsid w:val="002F5674"/>
    <w:rsid w:val="002F56D8"/>
    <w:rsid w:val="002F5889"/>
    <w:rsid w:val="002F5FB3"/>
    <w:rsid w:val="002F602C"/>
    <w:rsid w:val="002F640A"/>
    <w:rsid w:val="002F65E5"/>
    <w:rsid w:val="002F66F0"/>
    <w:rsid w:val="002F677E"/>
    <w:rsid w:val="002F6A6F"/>
    <w:rsid w:val="002F6AA1"/>
    <w:rsid w:val="002F6B24"/>
    <w:rsid w:val="002F6CCA"/>
    <w:rsid w:val="002F6E28"/>
    <w:rsid w:val="002F6FEA"/>
    <w:rsid w:val="002F7011"/>
    <w:rsid w:val="002F70BA"/>
    <w:rsid w:val="002F71FD"/>
    <w:rsid w:val="002F725D"/>
    <w:rsid w:val="002F725F"/>
    <w:rsid w:val="002F72E7"/>
    <w:rsid w:val="002F7323"/>
    <w:rsid w:val="002F78C0"/>
    <w:rsid w:val="002F7A88"/>
    <w:rsid w:val="002F7A99"/>
    <w:rsid w:val="002F7C08"/>
    <w:rsid w:val="002F7C31"/>
    <w:rsid w:val="002F7E68"/>
    <w:rsid w:val="002F7F86"/>
    <w:rsid w:val="00300560"/>
    <w:rsid w:val="003006EC"/>
    <w:rsid w:val="003007DE"/>
    <w:rsid w:val="0030084B"/>
    <w:rsid w:val="0030091F"/>
    <w:rsid w:val="00300951"/>
    <w:rsid w:val="00300A82"/>
    <w:rsid w:val="00300A84"/>
    <w:rsid w:val="00300AAF"/>
    <w:rsid w:val="00300BC2"/>
    <w:rsid w:val="00300C59"/>
    <w:rsid w:val="00300C9E"/>
    <w:rsid w:val="00300CB2"/>
    <w:rsid w:val="00300E39"/>
    <w:rsid w:val="00300E40"/>
    <w:rsid w:val="00300EDC"/>
    <w:rsid w:val="00300F3E"/>
    <w:rsid w:val="00300F95"/>
    <w:rsid w:val="0030101C"/>
    <w:rsid w:val="0030107F"/>
    <w:rsid w:val="003010C2"/>
    <w:rsid w:val="003011A6"/>
    <w:rsid w:val="00301205"/>
    <w:rsid w:val="00301209"/>
    <w:rsid w:val="00301217"/>
    <w:rsid w:val="003013EF"/>
    <w:rsid w:val="00301711"/>
    <w:rsid w:val="00301D04"/>
    <w:rsid w:val="00302041"/>
    <w:rsid w:val="003020D8"/>
    <w:rsid w:val="00302128"/>
    <w:rsid w:val="00302129"/>
    <w:rsid w:val="003022C6"/>
    <w:rsid w:val="00302306"/>
    <w:rsid w:val="003023C2"/>
    <w:rsid w:val="003024FE"/>
    <w:rsid w:val="003026E8"/>
    <w:rsid w:val="00302853"/>
    <w:rsid w:val="0030294F"/>
    <w:rsid w:val="003029C6"/>
    <w:rsid w:val="00302D9A"/>
    <w:rsid w:val="00302E5E"/>
    <w:rsid w:val="00302EA1"/>
    <w:rsid w:val="00302FBB"/>
    <w:rsid w:val="0030309C"/>
    <w:rsid w:val="003031AA"/>
    <w:rsid w:val="00303249"/>
    <w:rsid w:val="003034CE"/>
    <w:rsid w:val="003038DB"/>
    <w:rsid w:val="00303BC0"/>
    <w:rsid w:val="00303BC3"/>
    <w:rsid w:val="00303BED"/>
    <w:rsid w:val="00303D58"/>
    <w:rsid w:val="00303D69"/>
    <w:rsid w:val="00303F5D"/>
    <w:rsid w:val="00303FA3"/>
    <w:rsid w:val="0030415A"/>
    <w:rsid w:val="00304264"/>
    <w:rsid w:val="003042C2"/>
    <w:rsid w:val="00304433"/>
    <w:rsid w:val="0030458D"/>
    <w:rsid w:val="003048C9"/>
    <w:rsid w:val="00304942"/>
    <w:rsid w:val="00304C01"/>
    <w:rsid w:val="00304C27"/>
    <w:rsid w:val="00304C8F"/>
    <w:rsid w:val="00304D19"/>
    <w:rsid w:val="00304D26"/>
    <w:rsid w:val="00304D4E"/>
    <w:rsid w:val="00304F3C"/>
    <w:rsid w:val="00304FF8"/>
    <w:rsid w:val="00305048"/>
    <w:rsid w:val="00305098"/>
    <w:rsid w:val="00305119"/>
    <w:rsid w:val="0030511E"/>
    <w:rsid w:val="00305159"/>
    <w:rsid w:val="003053C8"/>
    <w:rsid w:val="003055D7"/>
    <w:rsid w:val="00305950"/>
    <w:rsid w:val="00305B79"/>
    <w:rsid w:val="00305BCF"/>
    <w:rsid w:val="00305D78"/>
    <w:rsid w:val="00305E6F"/>
    <w:rsid w:val="00305F35"/>
    <w:rsid w:val="0030614C"/>
    <w:rsid w:val="0030615E"/>
    <w:rsid w:val="003065C0"/>
    <w:rsid w:val="00306680"/>
    <w:rsid w:val="003066E9"/>
    <w:rsid w:val="00306805"/>
    <w:rsid w:val="003068E5"/>
    <w:rsid w:val="00306A56"/>
    <w:rsid w:val="00306B86"/>
    <w:rsid w:val="00306D6D"/>
    <w:rsid w:val="00306D77"/>
    <w:rsid w:val="00306DE2"/>
    <w:rsid w:val="00307003"/>
    <w:rsid w:val="0030701D"/>
    <w:rsid w:val="0030710E"/>
    <w:rsid w:val="00307114"/>
    <w:rsid w:val="00307448"/>
    <w:rsid w:val="003074C5"/>
    <w:rsid w:val="00307678"/>
    <w:rsid w:val="00307929"/>
    <w:rsid w:val="003079B4"/>
    <w:rsid w:val="00307B2A"/>
    <w:rsid w:val="00307B86"/>
    <w:rsid w:val="00307C05"/>
    <w:rsid w:val="00307C55"/>
    <w:rsid w:val="00307D09"/>
    <w:rsid w:val="00307DEF"/>
    <w:rsid w:val="00307F5C"/>
    <w:rsid w:val="00307FBF"/>
    <w:rsid w:val="00310138"/>
    <w:rsid w:val="0031027B"/>
    <w:rsid w:val="003105A3"/>
    <w:rsid w:val="003106E8"/>
    <w:rsid w:val="003107E5"/>
    <w:rsid w:val="00310978"/>
    <w:rsid w:val="00310B5E"/>
    <w:rsid w:val="00310BD6"/>
    <w:rsid w:val="00310DE6"/>
    <w:rsid w:val="00310EA5"/>
    <w:rsid w:val="0031115B"/>
    <w:rsid w:val="00311572"/>
    <w:rsid w:val="003115AC"/>
    <w:rsid w:val="0031172F"/>
    <w:rsid w:val="003119A7"/>
    <w:rsid w:val="00311B79"/>
    <w:rsid w:val="00311BC8"/>
    <w:rsid w:val="00311D33"/>
    <w:rsid w:val="00311EE1"/>
    <w:rsid w:val="0031200F"/>
    <w:rsid w:val="0031208A"/>
    <w:rsid w:val="00312118"/>
    <w:rsid w:val="00312383"/>
    <w:rsid w:val="003123F3"/>
    <w:rsid w:val="003126CA"/>
    <w:rsid w:val="003127C5"/>
    <w:rsid w:val="00312856"/>
    <w:rsid w:val="00312A84"/>
    <w:rsid w:val="00312F56"/>
    <w:rsid w:val="0031322F"/>
    <w:rsid w:val="00313277"/>
    <w:rsid w:val="00313444"/>
    <w:rsid w:val="003134D0"/>
    <w:rsid w:val="00313664"/>
    <w:rsid w:val="0031374F"/>
    <w:rsid w:val="00313754"/>
    <w:rsid w:val="003137BF"/>
    <w:rsid w:val="0031380E"/>
    <w:rsid w:val="003138A6"/>
    <w:rsid w:val="00313910"/>
    <w:rsid w:val="00313958"/>
    <w:rsid w:val="00313B78"/>
    <w:rsid w:val="00313C9A"/>
    <w:rsid w:val="00313CF8"/>
    <w:rsid w:val="00313D65"/>
    <w:rsid w:val="00313DD4"/>
    <w:rsid w:val="00313FC8"/>
    <w:rsid w:val="00313FFC"/>
    <w:rsid w:val="003142E9"/>
    <w:rsid w:val="00314361"/>
    <w:rsid w:val="003143BF"/>
    <w:rsid w:val="00314412"/>
    <w:rsid w:val="00314475"/>
    <w:rsid w:val="003146DB"/>
    <w:rsid w:val="0031486F"/>
    <w:rsid w:val="003148B7"/>
    <w:rsid w:val="0031492C"/>
    <w:rsid w:val="00314A3D"/>
    <w:rsid w:val="00314AAE"/>
    <w:rsid w:val="00314F90"/>
    <w:rsid w:val="003151AC"/>
    <w:rsid w:val="00315238"/>
    <w:rsid w:val="00315247"/>
    <w:rsid w:val="003153B1"/>
    <w:rsid w:val="003156F5"/>
    <w:rsid w:val="00315731"/>
    <w:rsid w:val="00315754"/>
    <w:rsid w:val="0031585E"/>
    <w:rsid w:val="003158D9"/>
    <w:rsid w:val="003159A1"/>
    <w:rsid w:val="00315C6A"/>
    <w:rsid w:val="00315D4B"/>
    <w:rsid w:val="00315DA5"/>
    <w:rsid w:val="00315DB4"/>
    <w:rsid w:val="00315E8E"/>
    <w:rsid w:val="00315F85"/>
    <w:rsid w:val="00316007"/>
    <w:rsid w:val="0031617F"/>
    <w:rsid w:val="003161BC"/>
    <w:rsid w:val="003161CD"/>
    <w:rsid w:val="003164B5"/>
    <w:rsid w:val="00316769"/>
    <w:rsid w:val="00316C01"/>
    <w:rsid w:val="00317101"/>
    <w:rsid w:val="00317584"/>
    <w:rsid w:val="003175A5"/>
    <w:rsid w:val="003179B0"/>
    <w:rsid w:val="00317A6A"/>
    <w:rsid w:val="00317D45"/>
    <w:rsid w:val="00317F47"/>
    <w:rsid w:val="0032004A"/>
    <w:rsid w:val="0032006F"/>
    <w:rsid w:val="0032015E"/>
    <w:rsid w:val="003201A1"/>
    <w:rsid w:val="003202BF"/>
    <w:rsid w:val="00320349"/>
    <w:rsid w:val="00320367"/>
    <w:rsid w:val="003203B1"/>
    <w:rsid w:val="00320610"/>
    <w:rsid w:val="00320747"/>
    <w:rsid w:val="00320832"/>
    <w:rsid w:val="0032086A"/>
    <w:rsid w:val="00320887"/>
    <w:rsid w:val="00320A7C"/>
    <w:rsid w:val="00320B28"/>
    <w:rsid w:val="00320FD1"/>
    <w:rsid w:val="00320FDD"/>
    <w:rsid w:val="00321062"/>
    <w:rsid w:val="00321109"/>
    <w:rsid w:val="0032124F"/>
    <w:rsid w:val="00321254"/>
    <w:rsid w:val="00321560"/>
    <w:rsid w:val="00321626"/>
    <w:rsid w:val="00321690"/>
    <w:rsid w:val="00321758"/>
    <w:rsid w:val="00321823"/>
    <w:rsid w:val="00321948"/>
    <w:rsid w:val="00321B46"/>
    <w:rsid w:val="00321B71"/>
    <w:rsid w:val="00321BDA"/>
    <w:rsid w:val="00321BF4"/>
    <w:rsid w:val="003220E1"/>
    <w:rsid w:val="00322100"/>
    <w:rsid w:val="00322225"/>
    <w:rsid w:val="003226B9"/>
    <w:rsid w:val="00322717"/>
    <w:rsid w:val="003227C3"/>
    <w:rsid w:val="00322A8D"/>
    <w:rsid w:val="00322AB7"/>
    <w:rsid w:val="00322B91"/>
    <w:rsid w:val="00322E12"/>
    <w:rsid w:val="00322EBA"/>
    <w:rsid w:val="0032304D"/>
    <w:rsid w:val="00323144"/>
    <w:rsid w:val="003233CC"/>
    <w:rsid w:val="0032358B"/>
    <w:rsid w:val="0032374F"/>
    <w:rsid w:val="003238F4"/>
    <w:rsid w:val="00323A30"/>
    <w:rsid w:val="00323A31"/>
    <w:rsid w:val="00323B3D"/>
    <w:rsid w:val="00323C7A"/>
    <w:rsid w:val="00323D94"/>
    <w:rsid w:val="00323E8F"/>
    <w:rsid w:val="00323E94"/>
    <w:rsid w:val="00323FC4"/>
    <w:rsid w:val="0032400B"/>
    <w:rsid w:val="00324053"/>
    <w:rsid w:val="003240C6"/>
    <w:rsid w:val="0032422A"/>
    <w:rsid w:val="003242BA"/>
    <w:rsid w:val="0032433D"/>
    <w:rsid w:val="00324397"/>
    <w:rsid w:val="003243D1"/>
    <w:rsid w:val="00324508"/>
    <w:rsid w:val="00324653"/>
    <w:rsid w:val="00324A1B"/>
    <w:rsid w:val="00324D77"/>
    <w:rsid w:val="00324D85"/>
    <w:rsid w:val="00324DFD"/>
    <w:rsid w:val="00324EDF"/>
    <w:rsid w:val="00325305"/>
    <w:rsid w:val="0032547A"/>
    <w:rsid w:val="00325692"/>
    <w:rsid w:val="003257A7"/>
    <w:rsid w:val="00325820"/>
    <w:rsid w:val="00325841"/>
    <w:rsid w:val="003259D7"/>
    <w:rsid w:val="00325A2A"/>
    <w:rsid w:val="00325B44"/>
    <w:rsid w:val="00325BCC"/>
    <w:rsid w:val="00325BF6"/>
    <w:rsid w:val="00325D44"/>
    <w:rsid w:val="00325FB1"/>
    <w:rsid w:val="00326200"/>
    <w:rsid w:val="0032621F"/>
    <w:rsid w:val="00326451"/>
    <w:rsid w:val="003264CC"/>
    <w:rsid w:val="0032676E"/>
    <w:rsid w:val="003268C7"/>
    <w:rsid w:val="00326914"/>
    <w:rsid w:val="00326B2D"/>
    <w:rsid w:val="00326B3B"/>
    <w:rsid w:val="00326B5C"/>
    <w:rsid w:val="00326BF9"/>
    <w:rsid w:val="00326F12"/>
    <w:rsid w:val="00326F99"/>
    <w:rsid w:val="0032704C"/>
    <w:rsid w:val="0032709A"/>
    <w:rsid w:val="00327384"/>
    <w:rsid w:val="00327426"/>
    <w:rsid w:val="0032742D"/>
    <w:rsid w:val="00327438"/>
    <w:rsid w:val="003277AE"/>
    <w:rsid w:val="003279F4"/>
    <w:rsid w:val="00327B7C"/>
    <w:rsid w:val="00327B80"/>
    <w:rsid w:val="00327BD3"/>
    <w:rsid w:val="00327CAA"/>
    <w:rsid w:val="00327D2E"/>
    <w:rsid w:val="00327DE9"/>
    <w:rsid w:val="00327E0A"/>
    <w:rsid w:val="00327EB4"/>
    <w:rsid w:val="00327F5E"/>
    <w:rsid w:val="003301B3"/>
    <w:rsid w:val="0033032A"/>
    <w:rsid w:val="0033033D"/>
    <w:rsid w:val="00330372"/>
    <w:rsid w:val="00330385"/>
    <w:rsid w:val="003303CC"/>
    <w:rsid w:val="00330454"/>
    <w:rsid w:val="003308D8"/>
    <w:rsid w:val="00330A02"/>
    <w:rsid w:val="00330A10"/>
    <w:rsid w:val="00330C56"/>
    <w:rsid w:val="00330E58"/>
    <w:rsid w:val="00330EB3"/>
    <w:rsid w:val="00330EE1"/>
    <w:rsid w:val="00330F2E"/>
    <w:rsid w:val="00330FF2"/>
    <w:rsid w:val="0033102E"/>
    <w:rsid w:val="0033137B"/>
    <w:rsid w:val="00331401"/>
    <w:rsid w:val="003315F7"/>
    <w:rsid w:val="00331738"/>
    <w:rsid w:val="00331816"/>
    <w:rsid w:val="00331858"/>
    <w:rsid w:val="003318E8"/>
    <w:rsid w:val="00331AC3"/>
    <w:rsid w:val="00331B37"/>
    <w:rsid w:val="00331B6C"/>
    <w:rsid w:val="00331CEE"/>
    <w:rsid w:val="00331EDF"/>
    <w:rsid w:val="00331F91"/>
    <w:rsid w:val="003322F1"/>
    <w:rsid w:val="00332344"/>
    <w:rsid w:val="00332372"/>
    <w:rsid w:val="003327C8"/>
    <w:rsid w:val="0033289C"/>
    <w:rsid w:val="00332AB6"/>
    <w:rsid w:val="00332AFB"/>
    <w:rsid w:val="00332B47"/>
    <w:rsid w:val="00332CC3"/>
    <w:rsid w:val="00332CF5"/>
    <w:rsid w:val="00332E46"/>
    <w:rsid w:val="00332F67"/>
    <w:rsid w:val="0033312E"/>
    <w:rsid w:val="00333157"/>
    <w:rsid w:val="00333234"/>
    <w:rsid w:val="00333822"/>
    <w:rsid w:val="00333823"/>
    <w:rsid w:val="0033384F"/>
    <w:rsid w:val="003339EC"/>
    <w:rsid w:val="00333A07"/>
    <w:rsid w:val="00333B1F"/>
    <w:rsid w:val="00333C2D"/>
    <w:rsid w:val="00333C6F"/>
    <w:rsid w:val="00333CC8"/>
    <w:rsid w:val="003340BC"/>
    <w:rsid w:val="0033414E"/>
    <w:rsid w:val="00334316"/>
    <w:rsid w:val="0033436E"/>
    <w:rsid w:val="003343B5"/>
    <w:rsid w:val="003343B7"/>
    <w:rsid w:val="0033452A"/>
    <w:rsid w:val="003345F8"/>
    <w:rsid w:val="00334806"/>
    <w:rsid w:val="00334947"/>
    <w:rsid w:val="0033498F"/>
    <w:rsid w:val="00334A9A"/>
    <w:rsid w:val="00334DC9"/>
    <w:rsid w:val="003351AE"/>
    <w:rsid w:val="00335370"/>
    <w:rsid w:val="003353FE"/>
    <w:rsid w:val="003355B1"/>
    <w:rsid w:val="003355D3"/>
    <w:rsid w:val="003356B3"/>
    <w:rsid w:val="0033572C"/>
    <w:rsid w:val="0033577C"/>
    <w:rsid w:val="0033583D"/>
    <w:rsid w:val="00335C05"/>
    <w:rsid w:val="00335C10"/>
    <w:rsid w:val="00335CE6"/>
    <w:rsid w:val="00335D80"/>
    <w:rsid w:val="00335EB9"/>
    <w:rsid w:val="00335ED1"/>
    <w:rsid w:val="00335FC6"/>
    <w:rsid w:val="00336327"/>
    <w:rsid w:val="00336438"/>
    <w:rsid w:val="00336483"/>
    <w:rsid w:val="00336498"/>
    <w:rsid w:val="0033662E"/>
    <w:rsid w:val="00336661"/>
    <w:rsid w:val="00336895"/>
    <w:rsid w:val="003369D7"/>
    <w:rsid w:val="00336C06"/>
    <w:rsid w:val="00336CA2"/>
    <w:rsid w:val="00336D04"/>
    <w:rsid w:val="00336D88"/>
    <w:rsid w:val="00336FBD"/>
    <w:rsid w:val="00337245"/>
    <w:rsid w:val="0033737E"/>
    <w:rsid w:val="00337808"/>
    <w:rsid w:val="00337905"/>
    <w:rsid w:val="00337955"/>
    <w:rsid w:val="003379B5"/>
    <w:rsid w:val="00337BD3"/>
    <w:rsid w:val="00337C19"/>
    <w:rsid w:val="00337E47"/>
    <w:rsid w:val="00337EF8"/>
    <w:rsid w:val="00340174"/>
    <w:rsid w:val="0034024A"/>
    <w:rsid w:val="003402AB"/>
    <w:rsid w:val="00340727"/>
    <w:rsid w:val="003407E4"/>
    <w:rsid w:val="0034081B"/>
    <w:rsid w:val="00340A39"/>
    <w:rsid w:val="00340C0A"/>
    <w:rsid w:val="00341296"/>
    <w:rsid w:val="0034148E"/>
    <w:rsid w:val="00341557"/>
    <w:rsid w:val="003416A0"/>
    <w:rsid w:val="00341833"/>
    <w:rsid w:val="0034185E"/>
    <w:rsid w:val="00341A29"/>
    <w:rsid w:val="003422B3"/>
    <w:rsid w:val="003422BE"/>
    <w:rsid w:val="003423C7"/>
    <w:rsid w:val="003423FA"/>
    <w:rsid w:val="0034244C"/>
    <w:rsid w:val="003424A0"/>
    <w:rsid w:val="003425DF"/>
    <w:rsid w:val="00342740"/>
    <w:rsid w:val="00342803"/>
    <w:rsid w:val="00342841"/>
    <w:rsid w:val="003428B0"/>
    <w:rsid w:val="003428BA"/>
    <w:rsid w:val="003428F1"/>
    <w:rsid w:val="003429B2"/>
    <w:rsid w:val="00342A4B"/>
    <w:rsid w:val="00342A60"/>
    <w:rsid w:val="00342AEC"/>
    <w:rsid w:val="00342CBB"/>
    <w:rsid w:val="00342D83"/>
    <w:rsid w:val="00342DDC"/>
    <w:rsid w:val="00342F72"/>
    <w:rsid w:val="00342FBC"/>
    <w:rsid w:val="0034300F"/>
    <w:rsid w:val="003430E2"/>
    <w:rsid w:val="00343126"/>
    <w:rsid w:val="0034331F"/>
    <w:rsid w:val="0034341B"/>
    <w:rsid w:val="003436ED"/>
    <w:rsid w:val="0034375A"/>
    <w:rsid w:val="0034379D"/>
    <w:rsid w:val="0034384C"/>
    <w:rsid w:val="00343972"/>
    <w:rsid w:val="003439F6"/>
    <w:rsid w:val="00343BD4"/>
    <w:rsid w:val="00343CB0"/>
    <w:rsid w:val="00343D16"/>
    <w:rsid w:val="00343DED"/>
    <w:rsid w:val="00343E5D"/>
    <w:rsid w:val="00343E69"/>
    <w:rsid w:val="00344073"/>
    <w:rsid w:val="0034410F"/>
    <w:rsid w:val="00344121"/>
    <w:rsid w:val="00344182"/>
    <w:rsid w:val="00344359"/>
    <w:rsid w:val="0034443D"/>
    <w:rsid w:val="0034444B"/>
    <w:rsid w:val="003444C8"/>
    <w:rsid w:val="003445D5"/>
    <w:rsid w:val="00344774"/>
    <w:rsid w:val="00344806"/>
    <w:rsid w:val="003448BC"/>
    <w:rsid w:val="00344908"/>
    <w:rsid w:val="00344983"/>
    <w:rsid w:val="00344A10"/>
    <w:rsid w:val="00344A29"/>
    <w:rsid w:val="0034519B"/>
    <w:rsid w:val="00345553"/>
    <w:rsid w:val="003456E6"/>
    <w:rsid w:val="00345895"/>
    <w:rsid w:val="00345E27"/>
    <w:rsid w:val="00345EB8"/>
    <w:rsid w:val="00345ED9"/>
    <w:rsid w:val="00346192"/>
    <w:rsid w:val="003463D1"/>
    <w:rsid w:val="003463D8"/>
    <w:rsid w:val="0034646D"/>
    <w:rsid w:val="003464D6"/>
    <w:rsid w:val="003469CE"/>
    <w:rsid w:val="00346AB0"/>
    <w:rsid w:val="00346C66"/>
    <w:rsid w:val="0034714F"/>
    <w:rsid w:val="00347152"/>
    <w:rsid w:val="003477AD"/>
    <w:rsid w:val="0034797B"/>
    <w:rsid w:val="00347AD4"/>
    <w:rsid w:val="00347BE5"/>
    <w:rsid w:val="00347D85"/>
    <w:rsid w:val="00347E31"/>
    <w:rsid w:val="0035002F"/>
    <w:rsid w:val="00350211"/>
    <w:rsid w:val="003502A0"/>
    <w:rsid w:val="003506FC"/>
    <w:rsid w:val="003507DD"/>
    <w:rsid w:val="003507F6"/>
    <w:rsid w:val="00350A8F"/>
    <w:rsid w:val="00350B03"/>
    <w:rsid w:val="00350B1D"/>
    <w:rsid w:val="00350C0E"/>
    <w:rsid w:val="00350C95"/>
    <w:rsid w:val="00350E45"/>
    <w:rsid w:val="00351124"/>
    <w:rsid w:val="003512DE"/>
    <w:rsid w:val="00351347"/>
    <w:rsid w:val="003513AD"/>
    <w:rsid w:val="00351453"/>
    <w:rsid w:val="0035151F"/>
    <w:rsid w:val="00351632"/>
    <w:rsid w:val="00351666"/>
    <w:rsid w:val="0035167A"/>
    <w:rsid w:val="003516B1"/>
    <w:rsid w:val="00351831"/>
    <w:rsid w:val="00351856"/>
    <w:rsid w:val="00351D51"/>
    <w:rsid w:val="003520AE"/>
    <w:rsid w:val="003520D7"/>
    <w:rsid w:val="00352185"/>
    <w:rsid w:val="00352207"/>
    <w:rsid w:val="003522E0"/>
    <w:rsid w:val="003522F5"/>
    <w:rsid w:val="00352429"/>
    <w:rsid w:val="003525AA"/>
    <w:rsid w:val="0035267F"/>
    <w:rsid w:val="00352751"/>
    <w:rsid w:val="0035284A"/>
    <w:rsid w:val="003528B8"/>
    <w:rsid w:val="00352B39"/>
    <w:rsid w:val="00352B55"/>
    <w:rsid w:val="00352CFB"/>
    <w:rsid w:val="00352F2B"/>
    <w:rsid w:val="00352FBE"/>
    <w:rsid w:val="00353076"/>
    <w:rsid w:val="003530FE"/>
    <w:rsid w:val="003531A5"/>
    <w:rsid w:val="003532EE"/>
    <w:rsid w:val="003538F9"/>
    <w:rsid w:val="00353A17"/>
    <w:rsid w:val="00353DEF"/>
    <w:rsid w:val="00353F7B"/>
    <w:rsid w:val="00353F9B"/>
    <w:rsid w:val="00354193"/>
    <w:rsid w:val="003541A6"/>
    <w:rsid w:val="003541C7"/>
    <w:rsid w:val="0035466B"/>
    <w:rsid w:val="0035469B"/>
    <w:rsid w:val="0035476E"/>
    <w:rsid w:val="003547F2"/>
    <w:rsid w:val="003547FA"/>
    <w:rsid w:val="003548FE"/>
    <w:rsid w:val="00354A3A"/>
    <w:rsid w:val="00354B90"/>
    <w:rsid w:val="00354BB4"/>
    <w:rsid w:val="00354F0A"/>
    <w:rsid w:val="00355091"/>
    <w:rsid w:val="003550A4"/>
    <w:rsid w:val="003550BA"/>
    <w:rsid w:val="003550BB"/>
    <w:rsid w:val="00355171"/>
    <w:rsid w:val="00355319"/>
    <w:rsid w:val="0035531A"/>
    <w:rsid w:val="00355338"/>
    <w:rsid w:val="0035537A"/>
    <w:rsid w:val="003554D2"/>
    <w:rsid w:val="0035580D"/>
    <w:rsid w:val="0035588D"/>
    <w:rsid w:val="00355985"/>
    <w:rsid w:val="00355C05"/>
    <w:rsid w:val="00355C1B"/>
    <w:rsid w:val="00355C6C"/>
    <w:rsid w:val="00355D0B"/>
    <w:rsid w:val="00355E78"/>
    <w:rsid w:val="00355FA3"/>
    <w:rsid w:val="00356151"/>
    <w:rsid w:val="00356170"/>
    <w:rsid w:val="003561CD"/>
    <w:rsid w:val="003563B8"/>
    <w:rsid w:val="00356454"/>
    <w:rsid w:val="003565E0"/>
    <w:rsid w:val="00356887"/>
    <w:rsid w:val="00356915"/>
    <w:rsid w:val="0035691A"/>
    <w:rsid w:val="00356C49"/>
    <w:rsid w:val="00356E75"/>
    <w:rsid w:val="00356E95"/>
    <w:rsid w:val="00356F02"/>
    <w:rsid w:val="003570E5"/>
    <w:rsid w:val="00357172"/>
    <w:rsid w:val="003572BF"/>
    <w:rsid w:val="00357534"/>
    <w:rsid w:val="0035766F"/>
    <w:rsid w:val="0035781A"/>
    <w:rsid w:val="0035797B"/>
    <w:rsid w:val="00357B39"/>
    <w:rsid w:val="00357B92"/>
    <w:rsid w:val="00357CB5"/>
    <w:rsid w:val="00357E8C"/>
    <w:rsid w:val="00357EB4"/>
    <w:rsid w:val="00357F13"/>
    <w:rsid w:val="00360026"/>
    <w:rsid w:val="003600B2"/>
    <w:rsid w:val="00360229"/>
    <w:rsid w:val="003602DC"/>
    <w:rsid w:val="0036040E"/>
    <w:rsid w:val="00360517"/>
    <w:rsid w:val="00360532"/>
    <w:rsid w:val="0036075B"/>
    <w:rsid w:val="003609B9"/>
    <w:rsid w:val="003609F9"/>
    <w:rsid w:val="00360A27"/>
    <w:rsid w:val="00360AA5"/>
    <w:rsid w:val="00360B57"/>
    <w:rsid w:val="00360BB0"/>
    <w:rsid w:val="00360CBD"/>
    <w:rsid w:val="00360EB5"/>
    <w:rsid w:val="00360F43"/>
    <w:rsid w:val="00360FBE"/>
    <w:rsid w:val="00361A0A"/>
    <w:rsid w:val="00361B9E"/>
    <w:rsid w:val="00361BDA"/>
    <w:rsid w:val="00361D06"/>
    <w:rsid w:val="00361D3F"/>
    <w:rsid w:val="00361F15"/>
    <w:rsid w:val="0036214E"/>
    <w:rsid w:val="0036219C"/>
    <w:rsid w:val="003622B3"/>
    <w:rsid w:val="00362660"/>
    <w:rsid w:val="003627EC"/>
    <w:rsid w:val="0036286A"/>
    <w:rsid w:val="0036287B"/>
    <w:rsid w:val="0036296E"/>
    <w:rsid w:val="003629CC"/>
    <w:rsid w:val="00362A4C"/>
    <w:rsid w:val="00362BD5"/>
    <w:rsid w:val="00362C15"/>
    <w:rsid w:val="00362F1C"/>
    <w:rsid w:val="00362FD3"/>
    <w:rsid w:val="00363042"/>
    <w:rsid w:val="00363538"/>
    <w:rsid w:val="00363964"/>
    <w:rsid w:val="003639FB"/>
    <w:rsid w:val="00363A15"/>
    <w:rsid w:val="00363A9A"/>
    <w:rsid w:val="00363B71"/>
    <w:rsid w:val="00363BF7"/>
    <w:rsid w:val="00363F4D"/>
    <w:rsid w:val="00363FB2"/>
    <w:rsid w:val="00363FBF"/>
    <w:rsid w:val="0036417B"/>
    <w:rsid w:val="00364264"/>
    <w:rsid w:val="0036454F"/>
    <w:rsid w:val="00364AF6"/>
    <w:rsid w:val="00364D9D"/>
    <w:rsid w:val="00364EB4"/>
    <w:rsid w:val="00364F73"/>
    <w:rsid w:val="003650BA"/>
    <w:rsid w:val="003650F3"/>
    <w:rsid w:val="00365136"/>
    <w:rsid w:val="00365184"/>
    <w:rsid w:val="003652B9"/>
    <w:rsid w:val="00365588"/>
    <w:rsid w:val="003655EE"/>
    <w:rsid w:val="0036586B"/>
    <w:rsid w:val="003658F3"/>
    <w:rsid w:val="0036591F"/>
    <w:rsid w:val="00365A12"/>
    <w:rsid w:val="00365A26"/>
    <w:rsid w:val="00365B0A"/>
    <w:rsid w:val="00365DDD"/>
    <w:rsid w:val="00365F32"/>
    <w:rsid w:val="0036601F"/>
    <w:rsid w:val="0036633A"/>
    <w:rsid w:val="00366366"/>
    <w:rsid w:val="00366541"/>
    <w:rsid w:val="003665C7"/>
    <w:rsid w:val="003668C9"/>
    <w:rsid w:val="00366905"/>
    <w:rsid w:val="0036695B"/>
    <w:rsid w:val="00366FCF"/>
    <w:rsid w:val="00367046"/>
    <w:rsid w:val="0036712A"/>
    <w:rsid w:val="003671BF"/>
    <w:rsid w:val="00367523"/>
    <w:rsid w:val="0036782E"/>
    <w:rsid w:val="003678EB"/>
    <w:rsid w:val="00367B88"/>
    <w:rsid w:val="00367CBE"/>
    <w:rsid w:val="00367CCB"/>
    <w:rsid w:val="00367E9A"/>
    <w:rsid w:val="00370040"/>
    <w:rsid w:val="00370097"/>
    <w:rsid w:val="003700CD"/>
    <w:rsid w:val="0037022C"/>
    <w:rsid w:val="00370307"/>
    <w:rsid w:val="0037035D"/>
    <w:rsid w:val="00370460"/>
    <w:rsid w:val="00370726"/>
    <w:rsid w:val="003707DB"/>
    <w:rsid w:val="00370821"/>
    <w:rsid w:val="0037082C"/>
    <w:rsid w:val="003708A1"/>
    <w:rsid w:val="003709A2"/>
    <w:rsid w:val="003709D1"/>
    <w:rsid w:val="00370A18"/>
    <w:rsid w:val="00370A62"/>
    <w:rsid w:val="00370AA1"/>
    <w:rsid w:val="003710ED"/>
    <w:rsid w:val="00371166"/>
    <w:rsid w:val="00371362"/>
    <w:rsid w:val="003713E5"/>
    <w:rsid w:val="00371482"/>
    <w:rsid w:val="003716B7"/>
    <w:rsid w:val="003716E1"/>
    <w:rsid w:val="003717D0"/>
    <w:rsid w:val="00371B79"/>
    <w:rsid w:val="00371B84"/>
    <w:rsid w:val="00371CA5"/>
    <w:rsid w:val="00371D3A"/>
    <w:rsid w:val="00371D7E"/>
    <w:rsid w:val="00371FB2"/>
    <w:rsid w:val="0037203E"/>
    <w:rsid w:val="0037204C"/>
    <w:rsid w:val="003720EE"/>
    <w:rsid w:val="00372263"/>
    <w:rsid w:val="003725AA"/>
    <w:rsid w:val="003726B9"/>
    <w:rsid w:val="00372780"/>
    <w:rsid w:val="003728BF"/>
    <w:rsid w:val="00372A5B"/>
    <w:rsid w:val="00372B53"/>
    <w:rsid w:val="00372CC9"/>
    <w:rsid w:val="00372D9C"/>
    <w:rsid w:val="00372F1E"/>
    <w:rsid w:val="003731A1"/>
    <w:rsid w:val="00373491"/>
    <w:rsid w:val="00373733"/>
    <w:rsid w:val="00373766"/>
    <w:rsid w:val="003739DD"/>
    <w:rsid w:val="00373A16"/>
    <w:rsid w:val="00373A9E"/>
    <w:rsid w:val="00373CEA"/>
    <w:rsid w:val="00373CF8"/>
    <w:rsid w:val="00373D76"/>
    <w:rsid w:val="00373E94"/>
    <w:rsid w:val="0037416A"/>
    <w:rsid w:val="003741A2"/>
    <w:rsid w:val="00374419"/>
    <w:rsid w:val="00374452"/>
    <w:rsid w:val="00374669"/>
    <w:rsid w:val="0037467D"/>
    <w:rsid w:val="003746D5"/>
    <w:rsid w:val="003747D5"/>
    <w:rsid w:val="00374AC8"/>
    <w:rsid w:val="00374C44"/>
    <w:rsid w:val="00374D75"/>
    <w:rsid w:val="00374DC6"/>
    <w:rsid w:val="00374F64"/>
    <w:rsid w:val="0037526B"/>
    <w:rsid w:val="003752CB"/>
    <w:rsid w:val="00375301"/>
    <w:rsid w:val="003753CE"/>
    <w:rsid w:val="003753FA"/>
    <w:rsid w:val="00375473"/>
    <w:rsid w:val="003755BC"/>
    <w:rsid w:val="0037579E"/>
    <w:rsid w:val="00375A73"/>
    <w:rsid w:val="00375B3A"/>
    <w:rsid w:val="00375CE9"/>
    <w:rsid w:val="00375E08"/>
    <w:rsid w:val="00375EA8"/>
    <w:rsid w:val="00376186"/>
    <w:rsid w:val="003762EE"/>
    <w:rsid w:val="0037638B"/>
    <w:rsid w:val="00376396"/>
    <w:rsid w:val="0037645E"/>
    <w:rsid w:val="0037669F"/>
    <w:rsid w:val="00376859"/>
    <w:rsid w:val="00376B03"/>
    <w:rsid w:val="00376C75"/>
    <w:rsid w:val="00376F2E"/>
    <w:rsid w:val="0037703A"/>
    <w:rsid w:val="0037706C"/>
    <w:rsid w:val="003770DF"/>
    <w:rsid w:val="0037738C"/>
    <w:rsid w:val="003773D1"/>
    <w:rsid w:val="00377555"/>
    <w:rsid w:val="0037768A"/>
    <w:rsid w:val="003777C3"/>
    <w:rsid w:val="00377BAD"/>
    <w:rsid w:val="00377CAD"/>
    <w:rsid w:val="00377D1A"/>
    <w:rsid w:val="00377D73"/>
    <w:rsid w:val="00377D9A"/>
    <w:rsid w:val="00377E4F"/>
    <w:rsid w:val="00377F68"/>
    <w:rsid w:val="0038016E"/>
    <w:rsid w:val="00380265"/>
    <w:rsid w:val="003802F3"/>
    <w:rsid w:val="00380364"/>
    <w:rsid w:val="0038047C"/>
    <w:rsid w:val="00380746"/>
    <w:rsid w:val="003808C0"/>
    <w:rsid w:val="003809D7"/>
    <w:rsid w:val="00380A8D"/>
    <w:rsid w:val="00380B0B"/>
    <w:rsid w:val="00380BB9"/>
    <w:rsid w:val="00380C33"/>
    <w:rsid w:val="00380C98"/>
    <w:rsid w:val="00380D7D"/>
    <w:rsid w:val="00380E94"/>
    <w:rsid w:val="00380FE5"/>
    <w:rsid w:val="003810E0"/>
    <w:rsid w:val="0038114D"/>
    <w:rsid w:val="00381256"/>
    <w:rsid w:val="0038126C"/>
    <w:rsid w:val="003813B0"/>
    <w:rsid w:val="0038147F"/>
    <w:rsid w:val="003814B9"/>
    <w:rsid w:val="003814BB"/>
    <w:rsid w:val="00381562"/>
    <w:rsid w:val="00381750"/>
    <w:rsid w:val="00381F58"/>
    <w:rsid w:val="00382266"/>
    <w:rsid w:val="0038235E"/>
    <w:rsid w:val="00382535"/>
    <w:rsid w:val="00382571"/>
    <w:rsid w:val="003826ED"/>
    <w:rsid w:val="003829F2"/>
    <w:rsid w:val="00382A53"/>
    <w:rsid w:val="00382AE5"/>
    <w:rsid w:val="00382B0C"/>
    <w:rsid w:val="00382CE6"/>
    <w:rsid w:val="00382FE3"/>
    <w:rsid w:val="003830B6"/>
    <w:rsid w:val="00383170"/>
    <w:rsid w:val="003831ED"/>
    <w:rsid w:val="003833B5"/>
    <w:rsid w:val="0038351F"/>
    <w:rsid w:val="0038352D"/>
    <w:rsid w:val="003835FF"/>
    <w:rsid w:val="0038372B"/>
    <w:rsid w:val="00383782"/>
    <w:rsid w:val="00383BF4"/>
    <w:rsid w:val="00383FDF"/>
    <w:rsid w:val="0038405C"/>
    <w:rsid w:val="003841FC"/>
    <w:rsid w:val="00384269"/>
    <w:rsid w:val="00384388"/>
    <w:rsid w:val="003844A3"/>
    <w:rsid w:val="003844CC"/>
    <w:rsid w:val="00384584"/>
    <w:rsid w:val="00384684"/>
    <w:rsid w:val="003847ED"/>
    <w:rsid w:val="003848DA"/>
    <w:rsid w:val="00384ADE"/>
    <w:rsid w:val="00384DB4"/>
    <w:rsid w:val="00384DB9"/>
    <w:rsid w:val="003851C5"/>
    <w:rsid w:val="00385367"/>
    <w:rsid w:val="003856BD"/>
    <w:rsid w:val="003856E8"/>
    <w:rsid w:val="0038587A"/>
    <w:rsid w:val="00385A8F"/>
    <w:rsid w:val="00385C3E"/>
    <w:rsid w:val="00385D4B"/>
    <w:rsid w:val="00385E06"/>
    <w:rsid w:val="00386059"/>
    <w:rsid w:val="003860E3"/>
    <w:rsid w:val="003861E6"/>
    <w:rsid w:val="00386227"/>
    <w:rsid w:val="00386961"/>
    <w:rsid w:val="00386B1E"/>
    <w:rsid w:val="00386DCC"/>
    <w:rsid w:val="00386DDB"/>
    <w:rsid w:val="00386F4D"/>
    <w:rsid w:val="00386FC5"/>
    <w:rsid w:val="00387108"/>
    <w:rsid w:val="0038724E"/>
    <w:rsid w:val="003874E6"/>
    <w:rsid w:val="00387553"/>
    <w:rsid w:val="00387596"/>
    <w:rsid w:val="0038766D"/>
    <w:rsid w:val="0038792E"/>
    <w:rsid w:val="0038797A"/>
    <w:rsid w:val="00387A4A"/>
    <w:rsid w:val="00387D6E"/>
    <w:rsid w:val="0039053F"/>
    <w:rsid w:val="00390690"/>
    <w:rsid w:val="0039074F"/>
    <w:rsid w:val="0039080B"/>
    <w:rsid w:val="00390A04"/>
    <w:rsid w:val="00390D1F"/>
    <w:rsid w:val="00390FB5"/>
    <w:rsid w:val="00391023"/>
    <w:rsid w:val="00391078"/>
    <w:rsid w:val="0039121A"/>
    <w:rsid w:val="003912D6"/>
    <w:rsid w:val="00391661"/>
    <w:rsid w:val="00391719"/>
    <w:rsid w:val="003917BD"/>
    <w:rsid w:val="00391967"/>
    <w:rsid w:val="00391B14"/>
    <w:rsid w:val="00391B39"/>
    <w:rsid w:val="00391DFC"/>
    <w:rsid w:val="00391F20"/>
    <w:rsid w:val="00392125"/>
    <w:rsid w:val="003921CD"/>
    <w:rsid w:val="00392268"/>
    <w:rsid w:val="00392270"/>
    <w:rsid w:val="0039245E"/>
    <w:rsid w:val="00392724"/>
    <w:rsid w:val="003929D1"/>
    <w:rsid w:val="003929D2"/>
    <w:rsid w:val="00392A6D"/>
    <w:rsid w:val="00392BC2"/>
    <w:rsid w:val="00392CCA"/>
    <w:rsid w:val="00392E14"/>
    <w:rsid w:val="00393029"/>
    <w:rsid w:val="00393077"/>
    <w:rsid w:val="0039313E"/>
    <w:rsid w:val="003932B5"/>
    <w:rsid w:val="003933CB"/>
    <w:rsid w:val="00393578"/>
    <w:rsid w:val="00393645"/>
    <w:rsid w:val="003938FA"/>
    <w:rsid w:val="00393AD7"/>
    <w:rsid w:val="00393BE1"/>
    <w:rsid w:val="00393E3E"/>
    <w:rsid w:val="00393F81"/>
    <w:rsid w:val="00393FA5"/>
    <w:rsid w:val="0039406E"/>
    <w:rsid w:val="0039411F"/>
    <w:rsid w:val="0039413F"/>
    <w:rsid w:val="0039420F"/>
    <w:rsid w:val="003943C3"/>
    <w:rsid w:val="00394432"/>
    <w:rsid w:val="003944A3"/>
    <w:rsid w:val="003946B9"/>
    <w:rsid w:val="0039476E"/>
    <w:rsid w:val="0039480C"/>
    <w:rsid w:val="0039489D"/>
    <w:rsid w:val="0039499E"/>
    <w:rsid w:val="00394B51"/>
    <w:rsid w:val="00394C3A"/>
    <w:rsid w:val="00394D60"/>
    <w:rsid w:val="0039504C"/>
    <w:rsid w:val="0039514E"/>
    <w:rsid w:val="0039519E"/>
    <w:rsid w:val="0039534C"/>
    <w:rsid w:val="003953BE"/>
    <w:rsid w:val="0039558B"/>
    <w:rsid w:val="003957A1"/>
    <w:rsid w:val="003957BB"/>
    <w:rsid w:val="003957D7"/>
    <w:rsid w:val="003958B0"/>
    <w:rsid w:val="003958FF"/>
    <w:rsid w:val="003959E5"/>
    <w:rsid w:val="00395B13"/>
    <w:rsid w:val="00395B5E"/>
    <w:rsid w:val="0039622E"/>
    <w:rsid w:val="003962CD"/>
    <w:rsid w:val="00396383"/>
    <w:rsid w:val="003963F4"/>
    <w:rsid w:val="003963FF"/>
    <w:rsid w:val="00396405"/>
    <w:rsid w:val="00396452"/>
    <w:rsid w:val="003965C0"/>
    <w:rsid w:val="003966D5"/>
    <w:rsid w:val="00396894"/>
    <w:rsid w:val="00396935"/>
    <w:rsid w:val="00396997"/>
    <w:rsid w:val="00396A4C"/>
    <w:rsid w:val="00396ABC"/>
    <w:rsid w:val="00396BE3"/>
    <w:rsid w:val="00397072"/>
    <w:rsid w:val="0039729D"/>
    <w:rsid w:val="0039743E"/>
    <w:rsid w:val="0039749B"/>
    <w:rsid w:val="0039758D"/>
    <w:rsid w:val="0039759C"/>
    <w:rsid w:val="00397971"/>
    <w:rsid w:val="003979FB"/>
    <w:rsid w:val="00397A67"/>
    <w:rsid w:val="00397A8D"/>
    <w:rsid w:val="00397AEC"/>
    <w:rsid w:val="00397CAC"/>
    <w:rsid w:val="00397D16"/>
    <w:rsid w:val="00397D58"/>
    <w:rsid w:val="00397DBB"/>
    <w:rsid w:val="00397E93"/>
    <w:rsid w:val="00397FB3"/>
    <w:rsid w:val="003A022B"/>
    <w:rsid w:val="003A0403"/>
    <w:rsid w:val="003A0861"/>
    <w:rsid w:val="003A091A"/>
    <w:rsid w:val="003A0D0B"/>
    <w:rsid w:val="003A0F0D"/>
    <w:rsid w:val="003A0F69"/>
    <w:rsid w:val="003A1301"/>
    <w:rsid w:val="003A1360"/>
    <w:rsid w:val="003A148F"/>
    <w:rsid w:val="003A16A4"/>
    <w:rsid w:val="003A1709"/>
    <w:rsid w:val="003A17FC"/>
    <w:rsid w:val="003A185F"/>
    <w:rsid w:val="003A1912"/>
    <w:rsid w:val="003A191E"/>
    <w:rsid w:val="003A196D"/>
    <w:rsid w:val="003A1A74"/>
    <w:rsid w:val="003A1A8D"/>
    <w:rsid w:val="003A1EE5"/>
    <w:rsid w:val="003A1F55"/>
    <w:rsid w:val="003A20E3"/>
    <w:rsid w:val="003A21C6"/>
    <w:rsid w:val="003A278E"/>
    <w:rsid w:val="003A27BB"/>
    <w:rsid w:val="003A280A"/>
    <w:rsid w:val="003A2951"/>
    <w:rsid w:val="003A297C"/>
    <w:rsid w:val="003A2AA8"/>
    <w:rsid w:val="003A2C5E"/>
    <w:rsid w:val="003A2FE5"/>
    <w:rsid w:val="003A31F5"/>
    <w:rsid w:val="003A337A"/>
    <w:rsid w:val="003A33A5"/>
    <w:rsid w:val="003A34C6"/>
    <w:rsid w:val="003A35C2"/>
    <w:rsid w:val="003A35D6"/>
    <w:rsid w:val="003A390D"/>
    <w:rsid w:val="003A39F0"/>
    <w:rsid w:val="003A3A69"/>
    <w:rsid w:val="003A3AE2"/>
    <w:rsid w:val="003A3C38"/>
    <w:rsid w:val="003A3C8B"/>
    <w:rsid w:val="003A3D4B"/>
    <w:rsid w:val="003A3D8A"/>
    <w:rsid w:val="003A3FF6"/>
    <w:rsid w:val="003A4234"/>
    <w:rsid w:val="003A43CA"/>
    <w:rsid w:val="003A43FF"/>
    <w:rsid w:val="003A4473"/>
    <w:rsid w:val="003A44CF"/>
    <w:rsid w:val="003A460B"/>
    <w:rsid w:val="003A4780"/>
    <w:rsid w:val="003A47B1"/>
    <w:rsid w:val="003A4E2F"/>
    <w:rsid w:val="003A4E51"/>
    <w:rsid w:val="003A4F64"/>
    <w:rsid w:val="003A5076"/>
    <w:rsid w:val="003A5077"/>
    <w:rsid w:val="003A5224"/>
    <w:rsid w:val="003A5271"/>
    <w:rsid w:val="003A557B"/>
    <w:rsid w:val="003A5614"/>
    <w:rsid w:val="003A56A1"/>
    <w:rsid w:val="003A56EA"/>
    <w:rsid w:val="003A5A1D"/>
    <w:rsid w:val="003A5AF3"/>
    <w:rsid w:val="003A5BC5"/>
    <w:rsid w:val="003A5C82"/>
    <w:rsid w:val="003A5C90"/>
    <w:rsid w:val="003A5CF2"/>
    <w:rsid w:val="003A5D19"/>
    <w:rsid w:val="003A5E4A"/>
    <w:rsid w:val="003A5F4E"/>
    <w:rsid w:val="003A5FF7"/>
    <w:rsid w:val="003A602C"/>
    <w:rsid w:val="003A6464"/>
    <w:rsid w:val="003A64F2"/>
    <w:rsid w:val="003A650B"/>
    <w:rsid w:val="003A68A9"/>
    <w:rsid w:val="003A6A4E"/>
    <w:rsid w:val="003A6CC9"/>
    <w:rsid w:val="003A6DDA"/>
    <w:rsid w:val="003A6EE5"/>
    <w:rsid w:val="003A6F45"/>
    <w:rsid w:val="003A709D"/>
    <w:rsid w:val="003A70CB"/>
    <w:rsid w:val="003A728A"/>
    <w:rsid w:val="003A72FF"/>
    <w:rsid w:val="003A7348"/>
    <w:rsid w:val="003A73DB"/>
    <w:rsid w:val="003A782B"/>
    <w:rsid w:val="003A78AD"/>
    <w:rsid w:val="003A7D34"/>
    <w:rsid w:val="003A7D96"/>
    <w:rsid w:val="003A7E12"/>
    <w:rsid w:val="003B026D"/>
    <w:rsid w:val="003B03BF"/>
    <w:rsid w:val="003B0542"/>
    <w:rsid w:val="003B0665"/>
    <w:rsid w:val="003B0684"/>
    <w:rsid w:val="003B0713"/>
    <w:rsid w:val="003B081F"/>
    <w:rsid w:val="003B0BB8"/>
    <w:rsid w:val="003B0CA1"/>
    <w:rsid w:val="003B0CCE"/>
    <w:rsid w:val="003B0E81"/>
    <w:rsid w:val="003B0E9B"/>
    <w:rsid w:val="003B0EAB"/>
    <w:rsid w:val="003B1119"/>
    <w:rsid w:val="003B13CE"/>
    <w:rsid w:val="003B157E"/>
    <w:rsid w:val="003B1620"/>
    <w:rsid w:val="003B1661"/>
    <w:rsid w:val="003B17F6"/>
    <w:rsid w:val="003B18CF"/>
    <w:rsid w:val="003B1919"/>
    <w:rsid w:val="003B1DBF"/>
    <w:rsid w:val="003B20CA"/>
    <w:rsid w:val="003B21F4"/>
    <w:rsid w:val="003B2327"/>
    <w:rsid w:val="003B2354"/>
    <w:rsid w:val="003B236C"/>
    <w:rsid w:val="003B246D"/>
    <w:rsid w:val="003B2A09"/>
    <w:rsid w:val="003B2E43"/>
    <w:rsid w:val="003B2F01"/>
    <w:rsid w:val="003B2FCF"/>
    <w:rsid w:val="003B317B"/>
    <w:rsid w:val="003B31FF"/>
    <w:rsid w:val="003B34C0"/>
    <w:rsid w:val="003B35CA"/>
    <w:rsid w:val="003B36A6"/>
    <w:rsid w:val="003B382B"/>
    <w:rsid w:val="003B3E28"/>
    <w:rsid w:val="003B3EC4"/>
    <w:rsid w:val="003B3FD2"/>
    <w:rsid w:val="003B4057"/>
    <w:rsid w:val="003B4059"/>
    <w:rsid w:val="003B420C"/>
    <w:rsid w:val="003B434D"/>
    <w:rsid w:val="003B4407"/>
    <w:rsid w:val="003B440E"/>
    <w:rsid w:val="003B453B"/>
    <w:rsid w:val="003B46C7"/>
    <w:rsid w:val="003B4767"/>
    <w:rsid w:val="003B4B52"/>
    <w:rsid w:val="003B4BB9"/>
    <w:rsid w:val="003B4C31"/>
    <w:rsid w:val="003B4D35"/>
    <w:rsid w:val="003B5049"/>
    <w:rsid w:val="003B51D0"/>
    <w:rsid w:val="003B5254"/>
    <w:rsid w:val="003B533E"/>
    <w:rsid w:val="003B553C"/>
    <w:rsid w:val="003B55D1"/>
    <w:rsid w:val="003B56ED"/>
    <w:rsid w:val="003B5747"/>
    <w:rsid w:val="003B580F"/>
    <w:rsid w:val="003B5C63"/>
    <w:rsid w:val="003B5CF5"/>
    <w:rsid w:val="003B5E65"/>
    <w:rsid w:val="003B5EC2"/>
    <w:rsid w:val="003B6230"/>
    <w:rsid w:val="003B63DD"/>
    <w:rsid w:val="003B642F"/>
    <w:rsid w:val="003B64CE"/>
    <w:rsid w:val="003B64E1"/>
    <w:rsid w:val="003B673D"/>
    <w:rsid w:val="003B68F9"/>
    <w:rsid w:val="003B6914"/>
    <w:rsid w:val="003B6A7F"/>
    <w:rsid w:val="003B6B54"/>
    <w:rsid w:val="003B6B84"/>
    <w:rsid w:val="003B6FE2"/>
    <w:rsid w:val="003B70AF"/>
    <w:rsid w:val="003B730A"/>
    <w:rsid w:val="003B7674"/>
    <w:rsid w:val="003B76F2"/>
    <w:rsid w:val="003B7840"/>
    <w:rsid w:val="003B7AF0"/>
    <w:rsid w:val="003B7CC3"/>
    <w:rsid w:val="003B7EAD"/>
    <w:rsid w:val="003B7EB5"/>
    <w:rsid w:val="003B7EEB"/>
    <w:rsid w:val="003B7F41"/>
    <w:rsid w:val="003C0183"/>
    <w:rsid w:val="003C0246"/>
    <w:rsid w:val="003C078B"/>
    <w:rsid w:val="003C0B0E"/>
    <w:rsid w:val="003C0C0D"/>
    <w:rsid w:val="003C0CD3"/>
    <w:rsid w:val="003C0EB4"/>
    <w:rsid w:val="003C1054"/>
    <w:rsid w:val="003C13C9"/>
    <w:rsid w:val="003C175D"/>
    <w:rsid w:val="003C179B"/>
    <w:rsid w:val="003C17A8"/>
    <w:rsid w:val="003C1917"/>
    <w:rsid w:val="003C1A52"/>
    <w:rsid w:val="003C1B35"/>
    <w:rsid w:val="003C1C89"/>
    <w:rsid w:val="003C1CFB"/>
    <w:rsid w:val="003C1D17"/>
    <w:rsid w:val="003C2272"/>
    <w:rsid w:val="003C2293"/>
    <w:rsid w:val="003C23CF"/>
    <w:rsid w:val="003C248C"/>
    <w:rsid w:val="003C2577"/>
    <w:rsid w:val="003C25B8"/>
    <w:rsid w:val="003C2788"/>
    <w:rsid w:val="003C2812"/>
    <w:rsid w:val="003C2AD0"/>
    <w:rsid w:val="003C2BBD"/>
    <w:rsid w:val="003C2D08"/>
    <w:rsid w:val="003C2D3B"/>
    <w:rsid w:val="003C2F96"/>
    <w:rsid w:val="003C2F98"/>
    <w:rsid w:val="003C329E"/>
    <w:rsid w:val="003C32A6"/>
    <w:rsid w:val="003C3346"/>
    <w:rsid w:val="003C3379"/>
    <w:rsid w:val="003C34FE"/>
    <w:rsid w:val="003C366A"/>
    <w:rsid w:val="003C371D"/>
    <w:rsid w:val="003C3A93"/>
    <w:rsid w:val="003C3AE8"/>
    <w:rsid w:val="003C3B52"/>
    <w:rsid w:val="003C3BB5"/>
    <w:rsid w:val="003C3BD0"/>
    <w:rsid w:val="003C3E77"/>
    <w:rsid w:val="003C3E86"/>
    <w:rsid w:val="003C3EB7"/>
    <w:rsid w:val="003C4066"/>
    <w:rsid w:val="003C4075"/>
    <w:rsid w:val="003C415F"/>
    <w:rsid w:val="003C4264"/>
    <w:rsid w:val="003C43EC"/>
    <w:rsid w:val="003C4448"/>
    <w:rsid w:val="003C4633"/>
    <w:rsid w:val="003C4673"/>
    <w:rsid w:val="003C46AD"/>
    <w:rsid w:val="003C4A4F"/>
    <w:rsid w:val="003C4B29"/>
    <w:rsid w:val="003C4C03"/>
    <w:rsid w:val="003C4D1E"/>
    <w:rsid w:val="003C4DA1"/>
    <w:rsid w:val="003C4E99"/>
    <w:rsid w:val="003C4EAB"/>
    <w:rsid w:val="003C529F"/>
    <w:rsid w:val="003C55B8"/>
    <w:rsid w:val="003C57C8"/>
    <w:rsid w:val="003C5B9A"/>
    <w:rsid w:val="003C5C85"/>
    <w:rsid w:val="003C5F00"/>
    <w:rsid w:val="003C5FC9"/>
    <w:rsid w:val="003C6184"/>
    <w:rsid w:val="003C61C4"/>
    <w:rsid w:val="003C63D3"/>
    <w:rsid w:val="003C6407"/>
    <w:rsid w:val="003C68F5"/>
    <w:rsid w:val="003C6950"/>
    <w:rsid w:val="003C69BD"/>
    <w:rsid w:val="003C6B62"/>
    <w:rsid w:val="003C6BC7"/>
    <w:rsid w:val="003C6BE6"/>
    <w:rsid w:val="003C6C73"/>
    <w:rsid w:val="003C6C9E"/>
    <w:rsid w:val="003C6DE9"/>
    <w:rsid w:val="003C6DFB"/>
    <w:rsid w:val="003C6F11"/>
    <w:rsid w:val="003C7449"/>
    <w:rsid w:val="003C754F"/>
    <w:rsid w:val="003C758E"/>
    <w:rsid w:val="003C762E"/>
    <w:rsid w:val="003C79ED"/>
    <w:rsid w:val="003C7AF1"/>
    <w:rsid w:val="003C7B18"/>
    <w:rsid w:val="003C7B75"/>
    <w:rsid w:val="003C7BE5"/>
    <w:rsid w:val="003C7BFF"/>
    <w:rsid w:val="003C7D02"/>
    <w:rsid w:val="003D0022"/>
    <w:rsid w:val="003D01E6"/>
    <w:rsid w:val="003D01E8"/>
    <w:rsid w:val="003D022F"/>
    <w:rsid w:val="003D02CA"/>
    <w:rsid w:val="003D0614"/>
    <w:rsid w:val="003D0782"/>
    <w:rsid w:val="003D0B52"/>
    <w:rsid w:val="003D0B60"/>
    <w:rsid w:val="003D0B6C"/>
    <w:rsid w:val="003D0C73"/>
    <w:rsid w:val="003D0D37"/>
    <w:rsid w:val="003D0D56"/>
    <w:rsid w:val="003D0FB3"/>
    <w:rsid w:val="003D1093"/>
    <w:rsid w:val="003D1448"/>
    <w:rsid w:val="003D1505"/>
    <w:rsid w:val="003D15B6"/>
    <w:rsid w:val="003D1621"/>
    <w:rsid w:val="003D1AC3"/>
    <w:rsid w:val="003D1ADC"/>
    <w:rsid w:val="003D1AF7"/>
    <w:rsid w:val="003D1BB5"/>
    <w:rsid w:val="003D1C07"/>
    <w:rsid w:val="003D1D95"/>
    <w:rsid w:val="003D1E24"/>
    <w:rsid w:val="003D1E6C"/>
    <w:rsid w:val="003D1EEC"/>
    <w:rsid w:val="003D1EF2"/>
    <w:rsid w:val="003D1F44"/>
    <w:rsid w:val="003D22D2"/>
    <w:rsid w:val="003D245B"/>
    <w:rsid w:val="003D274A"/>
    <w:rsid w:val="003D2A10"/>
    <w:rsid w:val="003D2A7D"/>
    <w:rsid w:val="003D2C04"/>
    <w:rsid w:val="003D2DC9"/>
    <w:rsid w:val="003D2F4F"/>
    <w:rsid w:val="003D2F7E"/>
    <w:rsid w:val="003D3000"/>
    <w:rsid w:val="003D33E2"/>
    <w:rsid w:val="003D3537"/>
    <w:rsid w:val="003D35E6"/>
    <w:rsid w:val="003D3887"/>
    <w:rsid w:val="003D3902"/>
    <w:rsid w:val="003D3955"/>
    <w:rsid w:val="003D399B"/>
    <w:rsid w:val="003D3A06"/>
    <w:rsid w:val="003D3C16"/>
    <w:rsid w:val="003D3CB2"/>
    <w:rsid w:val="003D3D91"/>
    <w:rsid w:val="003D3DDC"/>
    <w:rsid w:val="003D3EC2"/>
    <w:rsid w:val="003D3F12"/>
    <w:rsid w:val="003D403F"/>
    <w:rsid w:val="003D409B"/>
    <w:rsid w:val="003D42EE"/>
    <w:rsid w:val="003D4372"/>
    <w:rsid w:val="003D4475"/>
    <w:rsid w:val="003D4484"/>
    <w:rsid w:val="003D4708"/>
    <w:rsid w:val="003D472C"/>
    <w:rsid w:val="003D4751"/>
    <w:rsid w:val="003D477A"/>
    <w:rsid w:val="003D48EF"/>
    <w:rsid w:val="003D4D86"/>
    <w:rsid w:val="003D507B"/>
    <w:rsid w:val="003D5469"/>
    <w:rsid w:val="003D54C9"/>
    <w:rsid w:val="003D55C7"/>
    <w:rsid w:val="003D5847"/>
    <w:rsid w:val="003D59FA"/>
    <w:rsid w:val="003D5A93"/>
    <w:rsid w:val="003D5D16"/>
    <w:rsid w:val="003D5F19"/>
    <w:rsid w:val="003D601F"/>
    <w:rsid w:val="003D614C"/>
    <w:rsid w:val="003D619A"/>
    <w:rsid w:val="003D620B"/>
    <w:rsid w:val="003D62EE"/>
    <w:rsid w:val="003D63DF"/>
    <w:rsid w:val="003D6478"/>
    <w:rsid w:val="003D6548"/>
    <w:rsid w:val="003D6556"/>
    <w:rsid w:val="003D67EE"/>
    <w:rsid w:val="003D68CD"/>
    <w:rsid w:val="003D6A3D"/>
    <w:rsid w:val="003D6B12"/>
    <w:rsid w:val="003D7077"/>
    <w:rsid w:val="003D7078"/>
    <w:rsid w:val="003D70A9"/>
    <w:rsid w:val="003D73C6"/>
    <w:rsid w:val="003D746A"/>
    <w:rsid w:val="003D758E"/>
    <w:rsid w:val="003D7903"/>
    <w:rsid w:val="003D7952"/>
    <w:rsid w:val="003D7A09"/>
    <w:rsid w:val="003D7A7C"/>
    <w:rsid w:val="003D7C86"/>
    <w:rsid w:val="003D7C91"/>
    <w:rsid w:val="003D7CF9"/>
    <w:rsid w:val="003D7D4F"/>
    <w:rsid w:val="003E0032"/>
    <w:rsid w:val="003E01B9"/>
    <w:rsid w:val="003E0212"/>
    <w:rsid w:val="003E0352"/>
    <w:rsid w:val="003E0533"/>
    <w:rsid w:val="003E05BD"/>
    <w:rsid w:val="003E05CD"/>
    <w:rsid w:val="003E08FB"/>
    <w:rsid w:val="003E0976"/>
    <w:rsid w:val="003E0A15"/>
    <w:rsid w:val="003E0A1F"/>
    <w:rsid w:val="003E0AE5"/>
    <w:rsid w:val="003E0C71"/>
    <w:rsid w:val="003E0C99"/>
    <w:rsid w:val="003E0D37"/>
    <w:rsid w:val="003E0DEF"/>
    <w:rsid w:val="003E1211"/>
    <w:rsid w:val="003E1371"/>
    <w:rsid w:val="003E14BE"/>
    <w:rsid w:val="003E1629"/>
    <w:rsid w:val="003E182D"/>
    <w:rsid w:val="003E1937"/>
    <w:rsid w:val="003E1A8F"/>
    <w:rsid w:val="003E1AFB"/>
    <w:rsid w:val="003E1BF0"/>
    <w:rsid w:val="003E208B"/>
    <w:rsid w:val="003E213F"/>
    <w:rsid w:val="003E24C3"/>
    <w:rsid w:val="003E25BE"/>
    <w:rsid w:val="003E2609"/>
    <w:rsid w:val="003E262B"/>
    <w:rsid w:val="003E26B2"/>
    <w:rsid w:val="003E278D"/>
    <w:rsid w:val="003E28C8"/>
    <w:rsid w:val="003E2904"/>
    <w:rsid w:val="003E2B86"/>
    <w:rsid w:val="003E2F07"/>
    <w:rsid w:val="003E3046"/>
    <w:rsid w:val="003E31C1"/>
    <w:rsid w:val="003E3205"/>
    <w:rsid w:val="003E3259"/>
    <w:rsid w:val="003E32E1"/>
    <w:rsid w:val="003E32FE"/>
    <w:rsid w:val="003E345A"/>
    <w:rsid w:val="003E345C"/>
    <w:rsid w:val="003E34D8"/>
    <w:rsid w:val="003E3615"/>
    <w:rsid w:val="003E3647"/>
    <w:rsid w:val="003E3A01"/>
    <w:rsid w:val="003E3A43"/>
    <w:rsid w:val="003E3A94"/>
    <w:rsid w:val="003E3BB7"/>
    <w:rsid w:val="003E3CB3"/>
    <w:rsid w:val="003E3D0C"/>
    <w:rsid w:val="003E3F41"/>
    <w:rsid w:val="003E411A"/>
    <w:rsid w:val="003E41A4"/>
    <w:rsid w:val="003E422D"/>
    <w:rsid w:val="003E4268"/>
    <w:rsid w:val="003E4637"/>
    <w:rsid w:val="003E4B6B"/>
    <w:rsid w:val="003E4F8C"/>
    <w:rsid w:val="003E50A1"/>
    <w:rsid w:val="003E50C5"/>
    <w:rsid w:val="003E5127"/>
    <w:rsid w:val="003E5365"/>
    <w:rsid w:val="003E536E"/>
    <w:rsid w:val="003E542F"/>
    <w:rsid w:val="003E5473"/>
    <w:rsid w:val="003E5699"/>
    <w:rsid w:val="003E569A"/>
    <w:rsid w:val="003E592F"/>
    <w:rsid w:val="003E5C4C"/>
    <w:rsid w:val="003E5F33"/>
    <w:rsid w:val="003E6049"/>
    <w:rsid w:val="003E62E1"/>
    <w:rsid w:val="003E6313"/>
    <w:rsid w:val="003E6615"/>
    <w:rsid w:val="003E694D"/>
    <w:rsid w:val="003E6CD0"/>
    <w:rsid w:val="003E6DDF"/>
    <w:rsid w:val="003E6FA9"/>
    <w:rsid w:val="003E73C1"/>
    <w:rsid w:val="003E74C3"/>
    <w:rsid w:val="003E74DF"/>
    <w:rsid w:val="003E77F5"/>
    <w:rsid w:val="003E7902"/>
    <w:rsid w:val="003E79F9"/>
    <w:rsid w:val="003E7AD5"/>
    <w:rsid w:val="003E7C34"/>
    <w:rsid w:val="003E7C3D"/>
    <w:rsid w:val="003E7C4E"/>
    <w:rsid w:val="003F002D"/>
    <w:rsid w:val="003F00EF"/>
    <w:rsid w:val="003F036D"/>
    <w:rsid w:val="003F06E0"/>
    <w:rsid w:val="003F0714"/>
    <w:rsid w:val="003F076E"/>
    <w:rsid w:val="003F0829"/>
    <w:rsid w:val="003F083C"/>
    <w:rsid w:val="003F0854"/>
    <w:rsid w:val="003F08C4"/>
    <w:rsid w:val="003F0949"/>
    <w:rsid w:val="003F0967"/>
    <w:rsid w:val="003F0C38"/>
    <w:rsid w:val="003F0D7C"/>
    <w:rsid w:val="003F0E54"/>
    <w:rsid w:val="003F0F11"/>
    <w:rsid w:val="003F11E0"/>
    <w:rsid w:val="003F1223"/>
    <w:rsid w:val="003F12AC"/>
    <w:rsid w:val="003F12E9"/>
    <w:rsid w:val="003F177A"/>
    <w:rsid w:val="003F183E"/>
    <w:rsid w:val="003F1A02"/>
    <w:rsid w:val="003F1A9B"/>
    <w:rsid w:val="003F1AB9"/>
    <w:rsid w:val="003F1BBE"/>
    <w:rsid w:val="003F1C13"/>
    <w:rsid w:val="003F1CBA"/>
    <w:rsid w:val="003F1F75"/>
    <w:rsid w:val="003F1FD6"/>
    <w:rsid w:val="003F2402"/>
    <w:rsid w:val="003F2416"/>
    <w:rsid w:val="003F26FE"/>
    <w:rsid w:val="003F2909"/>
    <w:rsid w:val="003F2A44"/>
    <w:rsid w:val="003F2A7C"/>
    <w:rsid w:val="003F2A86"/>
    <w:rsid w:val="003F2ABB"/>
    <w:rsid w:val="003F2C11"/>
    <w:rsid w:val="003F2D40"/>
    <w:rsid w:val="003F301F"/>
    <w:rsid w:val="003F32B5"/>
    <w:rsid w:val="003F3377"/>
    <w:rsid w:val="003F33B7"/>
    <w:rsid w:val="003F35D5"/>
    <w:rsid w:val="003F3678"/>
    <w:rsid w:val="003F375B"/>
    <w:rsid w:val="003F3780"/>
    <w:rsid w:val="003F37FD"/>
    <w:rsid w:val="003F3854"/>
    <w:rsid w:val="003F39AE"/>
    <w:rsid w:val="003F3A52"/>
    <w:rsid w:val="003F3CE3"/>
    <w:rsid w:val="003F3E43"/>
    <w:rsid w:val="003F3EF1"/>
    <w:rsid w:val="003F403C"/>
    <w:rsid w:val="003F4097"/>
    <w:rsid w:val="003F4131"/>
    <w:rsid w:val="003F4146"/>
    <w:rsid w:val="003F44C7"/>
    <w:rsid w:val="003F4503"/>
    <w:rsid w:val="003F45B2"/>
    <w:rsid w:val="003F4679"/>
    <w:rsid w:val="003F47D4"/>
    <w:rsid w:val="003F47F9"/>
    <w:rsid w:val="003F49EC"/>
    <w:rsid w:val="003F4A24"/>
    <w:rsid w:val="003F4AE1"/>
    <w:rsid w:val="003F4B62"/>
    <w:rsid w:val="003F4CEF"/>
    <w:rsid w:val="003F4E50"/>
    <w:rsid w:val="003F4E8D"/>
    <w:rsid w:val="003F5428"/>
    <w:rsid w:val="003F5470"/>
    <w:rsid w:val="003F574D"/>
    <w:rsid w:val="003F57FE"/>
    <w:rsid w:val="003F5918"/>
    <w:rsid w:val="003F591D"/>
    <w:rsid w:val="003F59F4"/>
    <w:rsid w:val="003F5A66"/>
    <w:rsid w:val="003F5B16"/>
    <w:rsid w:val="003F5CD7"/>
    <w:rsid w:val="003F5CD8"/>
    <w:rsid w:val="003F5F14"/>
    <w:rsid w:val="003F5F67"/>
    <w:rsid w:val="003F5FB5"/>
    <w:rsid w:val="003F5FDD"/>
    <w:rsid w:val="003F6086"/>
    <w:rsid w:val="003F60E1"/>
    <w:rsid w:val="003F62DD"/>
    <w:rsid w:val="003F63C3"/>
    <w:rsid w:val="003F648C"/>
    <w:rsid w:val="003F64D6"/>
    <w:rsid w:val="003F64EA"/>
    <w:rsid w:val="003F6633"/>
    <w:rsid w:val="003F66FD"/>
    <w:rsid w:val="003F672A"/>
    <w:rsid w:val="003F67C1"/>
    <w:rsid w:val="003F68F5"/>
    <w:rsid w:val="003F6C49"/>
    <w:rsid w:val="003F7000"/>
    <w:rsid w:val="003F71EE"/>
    <w:rsid w:val="003F7568"/>
    <w:rsid w:val="003F757E"/>
    <w:rsid w:val="003F75DE"/>
    <w:rsid w:val="003F75F4"/>
    <w:rsid w:val="003F7622"/>
    <w:rsid w:val="003F764A"/>
    <w:rsid w:val="003F7B45"/>
    <w:rsid w:val="003F7D47"/>
    <w:rsid w:val="003F7E22"/>
    <w:rsid w:val="003F7F49"/>
    <w:rsid w:val="00400121"/>
    <w:rsid w:val="004002CD"/>
    <w:rsid w:val="004002DC"/>
    <w:rsid w:val="0040032A"/>
    <w:rsid w:val="0040033C"/>
    <w:rsid w:val="004003AD"/>
    <w:rsid w:val="00400494"/>
    <w:rsid w:val="004004F6"/>
    <w:rsid w:val="0040060E"/>
    <w:rsid w:val="004006DB"/>
    <w:rsid w:val="0040074A"/>
    <w:rsid w:val="0040078F"/>
    <w:rsid w:val="00400936"/>
    <w:rsid w:val="00400949"/>
    <w:rsid w:val="0040098A"/>
    <w:rsid w:val="00400CA9"/>
    <w:rsid w:val="00400FE3"/>
    <w:rsid w:val="004010AA"/>
    <w:rsid w:val="004010BF"/>
    <w:rsid w:val="00401177"/>
    <w:rsid w:val="00401355"/>
    <w:rsid w:val="00401752"/>
    <w:rsid w:val="004017B3"/>
    <w:rsid w:val="004017DF"/>
    <w:rsid w:val="0040197A"/>
    <w:rsid w:val="00401A68"/>
    <w:rsid w:val="00401B26"/>
    <w:rsid w:val="00401B69"/>
    <w:rsid w:val="00401CDF"/>
    <w:rsid w:val="00401F2D"/>
    <w:rsid w:val="004020F4"/>
    <w:rsid w:val="0040214B"/>
    <w:rsid w:val="004021FF"/>
    <w:rsid w:val="00402280"/>
    <w:rsid w:val="00402849"/>
    <w:rsid w:val="00402B37"/>
    <w:rsid w:val="00402BA1"/>
    <w:rsid w:val="00402DC6"/>
    <w:rsid w:val="0040313C"/>
    <w:rsid w:val="00403242"/>
    <w:rsid w:val="004032FB"/>
    <w:rsid w:val="004033F3"/>
    <w:rsid w:val="0040351E"/>
    <w:rsid w:val="00403882"/>
    <w:rsid w:val="00403895"/>
    <w:rsid w:val="00403A03"/>
    <w:rsid w:val="00403ADB"/>
    <w:rsid w:val="00403B38"/>
    <w:rsid w:val="0040450A"/>
    <w:rsid w:val="00404689"/>
    <w:rsid w:val="00404A1C"/>
    <w:rsid w:val="00404A68"/>
    <w:rsid w:val="00404CA8"/>
    <w:rsid w:val="00404D94"/>
    <w:rsid w:val="00404DCD"/>
    <w:rsid w:val="00404E22"/>
    <w:rsid w:val="0040548B"/>
    <w:rsid w:val="004054A8"/>
    <w:rsid w:val="004055FB"/>
    <w:rsid w:val="00405AE6"/>
    <w:rsid w:val="00405BD1"/>
    <w:rsid w:val="00405E0D"/>
    <w:rsid w:val="00405EA9"/>
    <w:rsid w:val="00406010"/>
    <w:rsid w:val="00406145"/>
    <w:rsid w:val="0040646D"/>
    <w:rsid w:val="00406500"/>
    <w:rsid w:val="0040667E"/>
    <w:rsid w:val="00406A86"/>
    <w:rsid w:val="00406AC1"/>
    <w:rsid w:val="00406C7A"/>
    <w:rsid w:val="00406FA4"/>
    <w:rsid w:val="00406FFC"/>
    <w:rsid w:val="00407369"/>
    <w:rsid w:val="00407441"/>
    <w:rsid w:val="004076F3"/>
    <w:rsid w:val="004077D6"/>
    <w:rsid w:val="0040780E"/>
    <w:rsid w:val="00407867"/>
    <w:rsid w:val="00407962"/>
    <w:rsid w:val="004079A2"/>
    <w:rsid w:val="00407A2B"/>
    <w:rsid w:val="00407AAE"/>
    <w:rsid w:val="00407BB2"/>
    <w:rsid w:val="00407C0D"/>
    <w:rsid w:val="00407C53"/>
    <w:rsid w:val="004102B5"/>
    <w:rsid w:val="004104BE"/>
    <w:rsid w:val="00410883"/>
    <w:rsid w:val="004108AD"/>
    <w:rsid w:val="00410922"/>
    <w:rsid w:val="00410A5C"/>
    <w:rsid w:val="00410BE5"/>
    <w:rsid w:val="00410C3D"/>
    <w:rsid w:val="00410C9B"/>
    <w:rsid w:val="00411033"/>
    <w:rsid w:val="00411085"/>
    <w:rsid w:val="004110F7"/>
    <w:rsid w:val="00411167"/>
    <w:rsid w:val="00411317"/>
    <w:rsid w:val="004115E1"/>
    <w:rsid w:val="00411677"/>
    <w:rsid w:val="004116F3"/>
    <w:rsid w:val="004117A8"/>
    <w:rsid w:val="00411A45"/>
    <w:rsid w:val="00411A53"/>
    <w:rsid w:val="00411BEF"/>
    <w:rsid w:val="00411DA2"/>
    <w:rsid w:val="00411F5D"/>
    <w:rsid w:val="00412181"/>
    <w:rsid w:val="004121E7"/>
    <w:rsid w:val="004122BE"/>
    <w:rsid w:val="004122D5"/>
    <w:rsid w:val="00412AF1"/>
    <w:rsid w:val="00412CED"/>
    <w:rsid w:val="00412F20"/>
    <w:rsid w:val="00412F2C"/>
    <w:rsid w:val="00412F37"/>
    <w:rsid w:val="00412F48"/>
    <w:rsid w:val="00412F88"/>
    <w:rsid w:val="0041312D"/>
    <w:rsid w:val="0041340C"/>
    <w:rsid w:val="00413776"/>
    <w:rsid w:val="004138B1"/>
    <w:rsid w:val="00413B58"/>
    <w:rsid w:val="00413BB2"/>
    <w:rsid w:val="00413C37"/>
    <w:rsid w:val="00413F21"/>
    <w:rsid w:val="00414217"/>
    <w:rsid w:val="00414334"/>
    <w:rsid w:val="004144F3"/>
    <w:rsid w:val="00414567"/>
    <w:rsid w:val="004145E8"/>
    <w:rsid w:val="00414665"/>
    <w:rsid w:val="00414673"/>
    <w:rsid w:val="0041470C"/>
    <w:rsid w:val="0041471E"/>
    <w:rsid w:val="0041473B"/>
    <w:rsid w:val="00414753"/>
    <w:rsid w:val="0041478B"/>
    <w:rsid w:val="004148B5"/>
    <w:rsid w:val="00414B30"/>
    <w:rsid w:val="00414BA6"/>
    <w:rsid w:val="00414C6B"/>
    <w:rsid w:val="00414E41"/>
    <w:rsid w:val="00414E51"/>
    <w:rsid w:val="00414E5C"/>
    <w:rsid w:val="0041517D"/>
    <w:rsid w:val="004151EC"/>
    <w:rsid w:val="004152E6"/>
    <w:rsid w:val="0041556E"/>
    <w:rsid w:val="004159CF"/>
    <w:rsid w:val="004159D7"/>
    <w:rsid w:val="00415D9B"/>
    <w:rsid w:val="00415E54"/>
    <w:rsid w:val="00415EE6"/>
    <w:rsid w:val="00416080"/>
    <w:rsid w:val="00416093"/>
    <w:rsid w:val="0041610C"/>
    <w:rsid w:val="00416141"/>
    <w:rsid w:val="004162D3"/>
    <w:rsid w:val="004164AF"/>
    <w:rsid w:val="00416512"/>
    <w:rsid w:val="004167A2"/>
    <w:rsid w:val="004167C7"/>
    <w:rsid w:val="004167DB"/>
    <w:rsid w:val="00416AD8"/>
    <w:rsid w:val="00416C1D"/>
    <w:rsid w:val="00416CA7"/>
    <w:rsid w:val="00416CC7"/>
    <w:rsid w:val="00416D3C"/>
    <w:rsid w:val="00416E45"/>
    <w:rsid w:val="00416E86"/>
    <w:rsid w:val="0041705A"/>
    <w:rsid w:val="00417347"/>
    <w:rsid w:val="004173A0"/>
    <w:rsid w:val="0041747D"/>
    <w:rsid w:val="00417597"/>
    <w:rsid w:val="004175D0"/>
    <w:rsid w:val="004175FD"/>
    <w:rsid w:val="0041760B"/>
    <w:rsid w:val="00417775"/>
    <w:rsid w:val="004177AF"/>
    <w:rsid w:val="00417963"/>
    <w:rsid w:val="004179E2"/>
    <w:rsid w:val="00417AF6"/>
    <w:rsid w:val="00417B13"/>
    <w:rsid w:val="00417DAD"/>
    <w:rsid w:val="00417E60"/>
    <w:rsid w:val="00417F34"/>
    <w:rsid w:val="0042027A"/>
    <w:rsid w:val="004202E1"/>
    <w:rsid w:val="004203EF"/>
    <w:rsid w:val="00420435"/>
    <w:rsid w:val="0042094B"/>
    <w:rsid w:val="00420F04"/>
    <w:rsid w:val="00420F97"/>
    <w:rsid w:val="0042105B"/>
    <w:rsid w:val="004210BA"/>
    <w:rsid w:val="004210EC"/>
    <w:rsid w:val="004213A2"/>
    <w:rsid w:val="004213A6"/>
    <w:rsid w:val="00421409"/>
    <w:rsid w:val="004214FC"/>
    <w:rsid w:val="00421573"/>
    <w:rsid w:val="00421824"/>
    <w:rsid w:val="00421870"/>
    <w:rsid w:val="00421A53"/>
    <w:rsid w:val="00421C47"/>
    <w:rsid w:val="00421FEF"/>
    <w:rsid w:val="00422200"/>
    <w:rsid w:val="004224EF"/>
    <w:rsid w:val="00422553"/>
    <w:rsid w:val="004228C6"/>
    <w:rsid w:val="0042297B"/>
    <w:rsid w:val="00422B56"/>
    <w:rsid w:val="00422CB8"/>
    <w:rsid w:val="00422D03"/>
    <w:rsid w:val="00422E69"/>
    <w:rsid w:val="00422EF0"/>
    <w:rsid w:val="00423099"/>
    <w:rsid w:val="0042347C"/>
    <w:rsid w:val="00423CBD"/>
    <w:rsid w:val="00423D45"/>
    <w:rsid w:val="00423E02"/>
    <w:rsid w:val="00423E7B"/>
    <w:rsid w:val="00423ECD"/>
    <w:rsid w:val="00423F45"/>
    <w:rsid w:val="004240A9"/>
    <w:rsid w:val="004241CE"/>
    <w:rsid w:val="00424200"/>
    <w:rsid w:val="00424564"/>
    <w:rsid w:val="00424B16"/>
    <w:rsid w:val="00424D0A"/>
    <w:rsid w:val="00424E79"/>
    <w:rsid w:val="00424F1B"/>
    <w:rsid w:val="00424FA9"/>
    <w:rsid w:val="004250C7"/>
    <w:rsid w:val="00425576"/>
    <w:rsid w:val="0042558E"/>
    <w:rsid w:val="00425925"/>
    <w:rsid w:val="00425928"/>
    <w:rsid w:val="00425BA1"/>
    <w:rsid w:val="00425CDC"/>
    <w:rsid w:val="00425CEC"/>
    <w:rsid w:val="00425D97"/>
    <w:rsid w:val="00425E7E"/>
    <w:rsid w:val="004260E1"/>
    <w:rsid w:val="00426178"/>
    <w:rsid w:val="004262FE"/>
    <w:rsid w:val="00426462"/>
    <w:rsid w:val="0042661C"/>
    <w:rsid w:val="004267D7"/>
    <w:rsid w:val="00426F1D"/>
    <w:rsid w:val="00426F48"/>
    <w:rsid w:val="00426FC0"/>
    <w:rsid w:val="0042718E"/>
    <w:rsid w:val="004271AA"/>
    <w:rsid w:val="004271DE"/>
    <w:rsid w:val="00427271"/>
    <w:rsid w:val="00427375"/>
    <w:rsid w:val="004274B3"/>
    <w:rsid w:val="00427688"/>
    <w:rsid w:val="00427808"/>
    <w:rsid w:val="00427B9A"/>
    <w:rsid w:val="00427EBF"/>
    <w:rsid w:val="00427EF5"/>
    <w:rsid w:val="00427F27"/>
    <w:rsid w:val="00430067"/>
    <w:rsid w:val="0043009C"/>
    <w:rsid w:val="00430294"/>
    <w:rsid w:val="004303AB"/>
    <w:rsid w:val="004303DC"/>
    <w:rsid w:val="0043044F"/>
    <w:rsid w:val="00430487"/>
    <w:rsid w:val="0043062E"/>
    <w:rsid w:val="00430734"/>
    <w:rsid w:val="0043076A"/>
    <w:rsid w:val="00430882"/>
    <w:rsid w:val="004308B3"/>
    <w:rsid w:val="00430ABE"/>
    <w:rsid w:val="00430BDD"/>
    <w:rsid w:val="00430C35"/>
    <w:rsid w:val="00430DF4"/>
    <w:rsid w:val="0043113F"/>
    <w:rsid w:val="004313A1"/>
    <w:rsid w:val="004313D3"/>
    <w:rsid w:val="00431785"/>
    <w:rsid w:val="004317A9"/>
    <w:rsid w:val="00431B17"/>
    <w:rsid w:val="00431C9B"/>
    <w:rsid w:val="00431F8A"/>
    <w:rsid w:val="00432048"/>
    <w:rsid w:val="004320D2"/>
    <w:rsid w:val="00432136"/>
    <w:rsid w:val="004321BD"/>
    <w:rsid w:val="00432227"/>
    <w:rsid w:val="004322B5"/>
    <w:rsid w:val="004323EB"/>
    <w:rsid w:val="004324F9"/>
    <w:rsid w:val="00432540"/>
    <w:rsid w:val="004325C6"/>
    <w:rsid w:val="00432782"/>
    <w:rsid w:val="00432D78"/>
    <w:rsid w:val="00432E48"/>
    <w:rsid w:val="00432EB0"/>
    <w:rsid w:val="00432ED2"/>
    <w:rsid w:val="0043314B"/>
    <w:rsid w:val="004331C2"/>
    <w:rsid w:val="004332B3"/>
    <w:rsid w:val="00433469"/>
    <w:rsid w:val="00433529"/>
    <w:rsid w:val="0043362C"/>
    <w:rsid w:val="004336F0"/>
    <w:rsid w:val="00433C2A"/>
    <w:rsid w:val="00433E6E"/>
    <w:rsid w:val="00433F36"/>
    <w:rsid w:val="00433FEE"/>
    <w:rsid w:val="004340ED"/>
    <w:rsid w:val="004341B3"/>
    <w:rsid w:val="004341D2"/>
    <w:rsid w:val="00434253"/>
    <w:rsid w:val="004344BF"/>
    <w:rsid w:val="0043452F"/>
    <w:rsid w:val="004345DB"/>
    <w:rsid w:val="00434660"/>
    <w:rsid w:val="00434B15"/>
    <w:rsid w:val="00434B64"/>
    <w:rsid w:val="00434CFF"/>
    <w:rsid w:val="00434D84"/>
    <w:rsid w:val="00435024"/>
    <w:rsid w:val="00435156"/>
    <w:rsid w:val="0043544D"/>
    <w:rsid w:val="00435610"/>
    <w:rsid w:val="004357DD"/>
    <w:rsid w:val="00435A02"/>
    <w:rsid w:val="00435A21"/>
    <w:rsid w:val="00435A59"/>
    <w:rsid w:val="00435CB8"/>
    <w:rsid w:val="00436217"/>
    <w:rsid w:val="00436227"/>
    <w:rsid w:val="0043632B"/>
    <w:rsid w:val="00436624"/>
    <w:rsid w:val="0043668D"/>
    <w:rsid w:val="004367EA"/>
    <w:rsid w:val="00436878"/>
    <w:rsid w:val="004369F2"/>
    <w:rsid w:val="00436A5C"/>
    <w:rsid w:val="00436E6C"/>
    <w:rsid w:val="00436FDF"/>
    <w:rsid w:val="00436FE4"/>
    <w:rsid w:val="00437057"/>
    <w:rsid w:val="00437135"/>
    <w:rsid w:val="0043732C"/>
    <w:rsid w:val="004374AF"/>
    <w:rsid w:val="004375B3"/>
    <w:rsid w:val="00437651"/>
    <w:rsid w:val="00437943"/>
    <w:rsid w:val="00437949"/>
    <w:rsid w:val="00437970"/>
    <w:rsid w:val="00437B99"/>
    <w:rsid w:val="0044019E"/>
    <w:rsid w:val="00440360"/>
    <w:rsid w:val="004403F7"/>
    <w:rsid w:val="00440679"/>
    <w:rsid w:val="004406F7"/>
    <w:rsid w:val="0044098F"/>
    <w:rsid w:val="004409E6"/>
    <w:rsid w:val="00440B33"/>
    <w:rsid w:val="00440B7C"/>
    <w:rsid w:val="00440C8C"/>
    <w:rsid w:val="004412A3"/>
    <w:rsid w:val="004412FA"/>
    <w:rsid w:val="004415C8"/>
    <w:rsid w:val="0044167F"/>
    <w:rsid w:val="004416E9"/>
    <w:rsid w:val="004418E1"/>
    <w:rsid w:val="00441984"/>
    <w:rsid w:val="00441CBC"/>
    <w:rsid w:val="00441F98"/>
    <w:rsid w:val="00442057"/>
    <w:rsid w:val="0044207C"/>
    <w:rsid w:val="0044224B"/>
    <w:rsid w:val="004423B1"/>
    <w:rsid w:val="004424B6"/>
    <w:rsid w:val="00442AC2"/>
    <w:rsid w:val="00442AF7"/>
    <w:rsid w:val="00442C9D"/>
    <w:rsid w:val="00442E47"/>
    <w:rsid w:val="00442E9B"/>
    <w:rsid w:val="004433F5"/>
    <w:rsid w:val="004436BB"/>
    <w:rsid w:val="004438E4"/>
    <w:rsid w:val="00443A10"/>
    <w:rsid w:val="00443B94"/>
    <w:rsid w:val="00443C28"/>
    <w:rsid w:val="00443C75"/>
    <w:rsid w:val="00443D4D"/>
    <w:rsid w:val="00443E1F"/>
    <w:rsid w:val="00443EC1"/>
    <w:rsid w:val="0044403E"/>
    <w:rsid w:val="00444089"/>
    <w:rsid w:val="0044409C"/>
    <w:rsid w:val="004441D6"/>
    <w:rsid w:val="00444240"/>
    <w:rsid w:val="00444297"/>
    <w:rsid w:val="004442FC"/>
    <w:rsid w:val="004443E1"/>
    <w:rsid w:val="00444649"/>
    <w:rsid w:val="0044485C"/>
    <w:rsid w:val="0044493D"/>
    <w:rsid w:val="00444B20"/>
    <w:rsid w:val="00444E62"/>
    <w:rsid w:val="00444ED3"/>
    <w:rsid w:val="00444EE8"/>
    <w:rsid w:val="00444F52"/>
    <w:rsid w:val="004453E9"/>
    <w:rsid w:val="0044549C"/>
    <w:rsid w:val="0044566E"/>
    <w:rsid w:val="0044569D"/>
    <w:rsid w:val="0044577B"/>
    <w:rsid w:val="004458A3"/>
    <w:rsid w:val="00445918"/>
    <w:rsid w:val="00445BCC"/>
    <w:rsid w:val="00445CA8"/>
    <w:rsid w:val="00445D96"/>
    <w:rsid w:val="00446009"/>
    <w:rsid w:val="0044603C"/>
    <w:rsid w:val="004465B3"/>
    <w:rsid w:val="00446A18"/>
    <w:rsid w:val="00446A4C"/>
    <w:rsid w:val="00446A96"/>
    <w:rsid w:val="00446C68"/>
    <w:rsid w:val="00446D05"/>
    <w:rsid w:val="00446D0B"/>
    <w:rsid w:val="00446E06"/>
    <w:rsid w:val="00446F26"/>
    <w:rsid w:val="0044708B"/>
    <w:rsid w:val="00447131"/>
    <w:rsid w:val="00447253"/>
    <w:rsid w:val="0044742C"/>
    <w:rsid w:val="004474F9"/>
    <w:rsid w:val="0044756C"/>
    <w:rsid w:val="00447666"/>
    <w:rsid w:val="004476CB"/>
    <w:rsid w:val="00447725"/>
    <w:rsid w:val="004477FF"/>
    <w:rsid w:val="004479EB"/>
    <w:rsid w:val="00447AC9"/>
    <w:rsid w:val="00447B50"/>
    <w:rsid w:val="00447CE7"/>
    <w:rsid w:val="00447CF5"/>
    <w:rsid w:val="00447D13"/>
    <w:rsid w:val="00447D1A"/>
    <w:rsid w:val="00447D60"/>
    <w:rsid w:val="00447EBC"/>
    <w:rsid w:val="00447F8F"/>
    <w:rsid w:val="00450206"/>
    <w:rsid w:val="004502B2"/>
    <w:rsid w:val="00450452"/>
    <w:rsid w:val="0045047E"/>
    <w:rsid w:val="004504E9"/>
    <w:rsid w:val="00450A75"/>
    <w:rsid w:val="00450B73"/>
    <w:rsid w:val="00450B92"/>
    <w:rsid w:val="00450CD9"/>
    <w:rsid w:val="00450E6E"/>
    <w:rsid w:val="00451186"/>
    <w:rsid w:val="0045121E"/>
    <w:rsid w:val="00451433"/>
    <w:rsid w:val="00451497"/>
    <w:rsid w:val="0045167C"/>
    <w:rsid w:val="004517E0"/>
    <w:rsid w:val="00451970"/>
    <w:rsid w:val="004519BB"/>
    <w:rsid w:val="00451D06"/>
    <w:rsid w:val="00451E80"/>
    <w:rsid w:val="00451FE1"/>
    <w:rsid w:val="0045205A"/>
    <w:rsid w:val="0045230C"/>
    <w:rsid w:val="00452434"/>
    <w:rsid w:val="00452469"/>
    <w:rsid w:val="00452631"/>
    <w:rsid w:val="0045273B"/>
    <w:rsid w:val="00452953"/>
    <w:rsid w:val="00452B8B"/>
    <w:rsid w:val="00452EAE"/>
    <w:rsid w:val="00452EF2"/>
    <w:rsid w:val="00452FEC"/>
    <w:rsid w:val="00453264"/>
    <w:rsid w:val="0045350E"/>
    <w:rsid w:val="00453804"/>
    <w:rsid w:val="00453863"/>
    <w:rsid w:val="004539B3"/>
    <w:rsid w:val="00453A9F"/>
    <w:rsid w:val="00453FCD"/>
    <w:rsid w:val="0045402E"/>
    <w:rsid w:val="00454758"/>
    <w:rsid w:val="00454984"/>
    <w:rsid w:val="00454EAE"/>
    <w:rsid w:val="004551F2"/>
    <w:rsid w:val="0045521A"/>
    <w:rsid w:val="0045526D"/>
    <w:rsid w:val="004553A4"/>
    <w:rsid w:val="004553A5"/>
    <w:rsid w:val="0045549C"/>
    <w:rsid w:val="00455597"/>
    <w:rsid w:val="0045568D"/>
    <w:rsid w:val="00455D8E"/>
    <w:rsid w:val="00455EBF"/>
    <w:rsid w:val="0045600E"/>
    <w:rsid w:val="00456226"/>
    <w:rsid w:val="0045622C"/>
    <w:rsid w:val="0045628F"/>
    <w:rsid w:val="004562B8"/>
    <w:rsid w:val="0045650E"/>
    <w:rsid w:val="00456719"/>
    <w:rsid w:val="004568D7"/>
    <w:rsid w:val="00456A03"/>
    <w:rsid w:val="00456D5D"/>
    <w:rsid w:val="00456D61"/>
    <w:rsid w:val="00456E0B"/>
    <w:rsid w:val="00456E81"/>
    <w:rsid w:val="004574C0"/>
    <w:rsid w:val="004574E7"/>
    <w:rsid w:val="004575B3"/>
    <w:rsid w:val="004577C2"/>
    <w:rsid w:val="00457907"/>
    <w:rsid w:val="00457977"/>
    <w:rsid w:val="00457981"/>
    <w:rsid w:val="00457990"/>
    <w:rsid w:val="004579D1"/>
    <w:rsid w:val="00457B2E"/>
    <w:rsid w:val="00457B9D"/>
    <w:rsid w:val="00457C7C"/>
    <w:rsid w:val="00457F4C"/>
    <w:rsid w:val="00457F5C"/>
    <w:rsid w:val="00457F80"/>
    <w:rsid w:val="00460114"/>
    <w:rsid w:val="004602C3"/>
    <w:rsid w:val="004603B8"/>
    <w:rsid w:val="00460412"/>
    <w:rsid w:val="0046045D"/>
    <w:rsid w:val="00460CCA"/>
    <w:rsid w:val="004611E7"/>
    <w:rsid w:val="0046147A"/>
    <w:rsid w:val="00461513"/>
    <w:rsid w:val="0046174C"/>
    <w:rsid w:val="00461995"/>
    <w:rsid w:val="004619D8"/>
    <w:rsid w:val="00461C7C"/>
    <w:rsid w:val="00461CDE"/>
    <w:rsid w:val="00461CF8"/>
    <w:rsid w:val="00461EE2"/>
    <w:rsid w:val="00462036"/>
    <w:rsid w:val="00462098"/>
    <w:rsid w:val="00462183"/>
    <w:rsid w:val="0046222A"/>
    <w:rsid w:val="004622BB"/>
    <w:rsid w:val="004625EE"/>
    <w:rsid w:val="004626A0"/>
    <w:rsid w:val="004626A7"/>
    <w:rsid w:val="00462700"/>
    <w:rsid w:val="00462914"/>
    <w:rsid w:val="00462ABF"/>
    <w:rsid w:val="00462B54"/>
    <w:rsid w:val="00463064"/>
    <w:rsid w:val="00463081"/>
    <w:rsid w:val="004631A4"/>
    <w:rsid w:val="0046334D"/>
    <w:rsid w:val="004633A5"/>
    <w:rsid w:val="00463647"/>
    <w:rsid w:val="004636C5"/>
    <w:rsid w:val="004637AF"/>
    <w:rsid w:val="00463998"/>
    <w:rsid w:val="00463ADC"/>
    <w:rsid w:val="00463CBF"/>
    <w:rsid w:val="00463DB5"/>
    <w:rsid w:val="00464025"/>
    <w:rsid w:val="004640FD"/>
    <w:rsid w:val="00464118"/>
    <w:rsid w:val="0046432E"/>
    <w:rsid w:val="00464442"/>
    <w:rsid w:val="00464592"/>
    <w:rsid w:val="004645EC"/>
    <w:rsid w:val="004646EF"/>
    <w:rsid w:val="0046478A"/>
    <w:rsid w:val="004648CD"/>
    <w:rsid w:val="004649CD"/>
    <w:rsid w:val="00464C37"/>
    <w:rsid w:val="00464E0F"/>
    <w:rsid w:val="00464E89"/>
    <w:rsid w:val="00464EFE"/>
    <w:rsid w:val="00464F7F"/>
    <w:rsid w:val="00465385"/>
    <w:rsid w:val="00465574"/>
    <w:rsid w:val="0046558A"/>
    <w:rsid w:val="004656CD"/>
    <w:rsid w:val="004656CF"/>
    <w:rsid w:val="004659DD"/>
    <w:rsid w:val="00465C24"/>
    <w:rsid w:val="00465D65"/>
    <w:rsid w:val="00465DC5"/>
    <w:rsid w:val="00465E74"/>
    <w:rsid w:val="00465E91"/>
    <w:rsid w:val="00465EC7"/>
    <w:rsid w:val="00466297"/>
    <w:rsid w:val="004662C0"/>
    <w:rsid w:val="00466612"/>
    <w:rsid w:val="00466750"/>
    <w:rsid w:val="00466805"/>
    <w:rsid w:val="0046685B"/>
    <w:rsid w:val="00466903"/>
    <w:rsid w:val="00466BFC"/>
    <w:rsid w:val="00466C05"/>
    <w:rsid w:val="00466CFD"/>
    <w:rsid w:val="00466DFD"/>
    <w:rsid w:val="00466F2E"/>
    <w:rsid w:val="00466FC4"/>
    <w:rsid w:val="004670A0"/>
    <w:rsid w:val="004676EE"/>
    <w:rsid w:val="0046770A"/>
    <w:rsid w:val="0046791B"/>
    <w:rsid w:val="00467A5C"/>
    <w:rsid w:val="00467ABD"/>
    <w:rsid w:val="00467E2B"/>
    <w:rsid w:val="00467E90"/>
    <w:rsid w:val="0047004B"/>
    <w:rsid w:val="00470174"/>
    <w:rsid w:val="004702F8"/>
    <w:rsid w:val="00470448"/>
    <w:rsid w:val="004705F6"/>
    <w:rsid w:val="00470923"/>
    <w:rsid w:val="00470B67"/>
    <w:rsid w:val="00470BAE"/>
    <w:rsid w:val="00470C5F"/>
    <w:rsid w:val="00470FC5"/>
    <w:rsid w:val="00470FD0"/>
    <w:rsid w:val="004712AC"/>
    <w:rsid w:val="00471411"/>
    <w:rsid w:val="0047189C"/>
    <w:rsid w:val="00471956"/>
    <w:rsid w:val="00471D36"/>
    <w:rsid w:val="00471DEC"/>
    <w:rsid w:val="00472461"/>
    <w:rsid w:val="004724BE"/>
    <w:rsid w:val="004727AD"/>
    <w:rsid w:val="0047292F"/>
    <w:rsid w:val="00472B98"/>
    <w:rsid w:val="00472BC6"/>
    <w:rsid w:val="00472DEE"/>
    <w:rsid w:val="004730B8"/>
    <w:rsid w:val="0047313F"/>
    <w:rsid w:val="00473141"/>
    <w:rsid w:val="004731EA"/>
    <w:rsid w:val="004732CA"/>
    <w:rsid w:val="0047337D"/>
    <w:rsid w:val="00473515"/>
    <w:rsid w:val="004735D1"/>
    <w:rsid w:val="00473609"/>
    <w:rsid w:val="00473612"/>
    <w:rsid w:val="00473A1C"/>
    <w:rsid w:val="00473C3D"/>
    <w:rsid w:val="00473E49"/>
    <w:rsid w:val="00473E78"/>
    <w:rsid w:val="00473EBA"/>
    <w:rsid w:val="00474179"/>
    <w:rsid w:val="00474334"/>
    <w:rsid w:val="00474445"/>
    <w:rsid w:val="00474484"/>
    <w:rsid w:val="0047451E"/>
    <w:rsid w:val="00474593"/>
    <w:rsid w:val="00474835"/>
    <w:rsid w:val="00474A90"/>
    <w:rsid w:val="00474C7E"/>
    <w:rsid w:val="00474E23"/>
    <w:rsid w:val="00474EA2"/>
    <w:rsid w:val="0047548C"/>
    <w:rsid w:val="00475534"/>
    <w:rsid w:val="0047568F"/>
    <w:rsid w:val="004759D1"/>
    <w:rsid w:val="00475A21"/>
    <w:rsid w:val="00475A57"/>
    <w:rsid w:val="00475B95"/>
    <w:rsid w:val="00475BDA"/>
    <w:rsid w:val="00475BFE"/>
    <w:rsid w:val="00475C23"/>
    <w:rsid w:val="00475C50"/>
    <w:rsid w:val="00475CEF"/>
    <w:rsid w:val="00475DB1"/>
    <w:rsid w:val="0047601E"/>
    <w:rsid w:val="00476208"/>
    <w:rsid w:val="004762F3"/>
    <w:rsid w:val="004763B9"/>
    <w:rsid w:val="00476486"/>
    <w:rsid w:val="00476832"/>
    <w:rsid w:val="00476852"/>
    <w:rsid w:val="00476B26"/>
    <w:rsid w:val="00476DAE"/>
    <w:rsid w:val="00477042"/>
    <w:rsid w:val="0047711B"/>
    <w:rsid w:val="00477289"/>
    <w:rsid w:val="00477404"/>
    <w:rsid w:val="00477612"/>
    <w:rsid w:val="00477B69"/>
    <w:rsid w:val="00477B93"/>
    <w:rsid w:val="00477BAF"/>
    <w:rsid w:val="00477C42"/>
    <w:rsid w:val="00477D63"/>
    <w:rsid w:val="00480065"/>
    <w:rsid w:val="00480217"/>
    <w:rsid w:val="00480562"/>
    <w:rsid w:val="00480564"/>
    <w:rsid w:val="004807B5"/>
    <w:rsid w:val="00480897"/>
    <w:rsid w:val="004808B8"/>
    <w:rsid w:val="004809B8"/>
    <w:rsid w:val="00480AA1"/>
    <w:rsid w:val="00480ACE"/>
    <w:rsid w:val="00480B4C"/>
    <w:rsid w:val="00480BB9"/>
    <w:rsid w:val="00480DD9"/>
    <w:rsid w:val="0048119A"/>
    <w:rsid w:val="004814C7"/>
    <w:rsid w:val="00481708"/>
    <w:rsid w:val="0048170C"/>
    <w:rsid w:val="004817E9"/>
    <w:rsid w:val="0048194B"/>
    <w:rsid w:val="00481BED"/>
    <w:rsid w:val="00481CFE"/>
    <w:rsid w:val="00481DAD"/>
    <w:rsid w:val="00481F10"/>
    <w:rsid w:val="00481F23"/>
    <w:rsid w:val="004820FA"/>
    <w:rsid w:val="004821B9"/>
    <w:rsid w:val="00482390"/>
    <w:rsid w:val="00482431"/>
    <w:rsid w:val="004824F0"/>
    <w:rsid w:val="00482585"/>
    <w:rsid w:val="00482758"/>
    <w:rsid w:val="00482794"/>
    <w:rsid w:val="00482A75"/>
    <w:rsid w:val="00483217"/>
    <w:rsid w:val="0048347E"/>
    <w:rsid w:val="0048355A"/>
    <w:rsid w:val="004836C4"/>
    <w:rsid w:val="004836EB"/>
    <w:rsid w:val="00483A69"/>
    <w:rsid w:val="00484339"/>
    <w:rsid w:val="0048434A"/>
    <w:rsid w:val="00484463"/>
    <w:rsid w:val="0048468C"/>
    <w:rsid w:val="004847F6"/>
    <w:rsid w:val="0048486B"/>
    <w:rsid w:val="00484A98"/>
    <w:rsid w:val="00484AA6"/>
    <w:rsid w:val="00484AC2"/>
    <w:rsid w:val="00484B52"/>
    <w:rsid w:val="00484B7B"/>
    <w:rsid w:val="00484D05"/>
    <w:rsid w:val="00484DCD"/>
    <w:rsid w:val="0048509A"/>
    <w:rsid w:val="00485301"/>
    <w:rsid w:val="00485467"/>
    <w:rsid w:val="00485474"/>
    <w:rsid w:val="00485518"/>
    <w:rsid w:val="00485601"/>
    <w:rsid w:val="00485612"/>
    <w:rsid w:val="00485703"/>
    <w:rsid w:val="00485808"/>
    <w:rsid w:val="00485829"/>
    <w:rsid w:val="0048590C"/>
    <w:rsid w:val="00485A0F"/>
    <w:rsid w:val="00485C57"/>
    <w:rsid w:val="00485D61"/>
    <w:rsid w:val="00485DD4"/>
    <w:rsid w:val="00485E73"/>
    <w:rsid w:val="00485F13"/>
    <w:rsid w:val="00485F47"/>
    <w:rsid w:val="00486093"/>
    <w:rsid w:val="00486202"/>
    <w:rsid w:val="0048627B"/>
    <w:rsid w:val="0048632D"/>
    <w:rsid w:val="00486440"/>
    <w:rsid w:val="00486445"/>
    <w:rsid w:val="0048697A"/>
    <w:rsid w:val="00486E2E"/>
    <w:rsid w:val="0048701F"/>
    <w:rsid w:val="00487077"/>
    <w:rsid w:val="004872F9"/>
    <w:rsid w:val="00487387"/>
    <w:rsid w:val="00487498"/>
    <w:rsid w:val="004878EC"/>
    <w:rsid w:val="004879CB"/>
    <w:rsid w:val="00487A18"/>
    <w:rsid w:val="00487BA8"/>
    <w:rsid w:val="00487BD9"/>
    <w:rsid w:val="00487D40"/>
    <w:rsid w:val="00487F96"/>
    <w:rsid w:val="00490247"/>
    <w:rsid w:val="004902A7"/>
    <w:rsid w:val="004902F2"/>
    <w:rsid w:val="00490440"/>
    <w:rsid w:val="00490455"/>
    <w:rsid w:val="004905F7"/>
    <w:rsid w:val="00490742"/>
    <w:rsid w:val="00490823"/>
    <w:rsid w:val="004908BF"/>
    <w:rsid w:val="00490A31"/>
    <w:rsid w:val="00490E6D"/>
    <w:rsid w:val="004910A6"/>
    <w:rsid w:val="004914A1"/>
    <w:rsid w:val="00491575"/>
    <w:rsid w:val="004915F3"/>
    <w:rsid w:val="00491639"/>
    <w:rsid w:val="004916CB"/>
    <w:rsid w:val="0049183D"/>
    <w:rsid w:val="00491880"/>
    <w:rsid w:val="00491A21"/>
    <w:rsid w:val="00491A9C"/>
    <w:rsid w:val="00491C24"/>
    <w:rsid w:val="00491CBC"/>
    <w:rsid w:val="00491D28"/>
    <w:rsid w:val="00491D88"/>
    <w:rsid w:val="00491DF9"/>
    <w:rsid w:val="00491FDF"/>
    <w:rsid w:val="0049217F"/>
    <w:rsid w:val="00492271"/>
    <w:rsid w:val="004925BF"/>
    <w:rsid w:val="004926AE"/>
    <w:rsid w:val="004927D8"/>
    <w:rsid w:val="004928BF"/>
    <w:rsid w:val="00492B8D"/>
    <w:rsid w:val="00492E74"/>
    <w:rsid w:val="00493021"/>
    <w:rsid w:val="00493277"/>
    <w:rsid w:val="00493320"/>
    <w:rsid w:val="004935ED"/>
    <w:rsid w:val="004935F0"/>
    <w:rsid w:val="00493631"/>
    <w:rsid w:val="00493735"/>
    <w:rsid w:val="004937AA"/>
    <w:rsid w:val="004937CB"/>
    <w:rsid w:val="0049385C"/>
    <w:rsid w:val="00493AB3"/>
    <w:rsid w:val="00493BE7"/>
    <w:rsid w:val="00493F9C"/>
    <w:rsid w:val="00494009"/>
    <w:rsid w:val="004942B5"/>
    <w:rsid w:val="00494348"/>
    <w:rsid w:val="004943D2"/>
    <w:rsid w:val="004944BF"/>
    <w:rsid w:val="004944C8"/>
    <w:rsid w:val="00494708"/>
    <w:rsid w:val="00494A13"/>
    <w:rsid w:val="00494E80"/>
    <w:rsid w:val="00494FD7"/>
    <w:rsid w:val="0049508D"/>
    <w:rsid w:val="00495248"/>
    <w:rsid w:val="004952F7"/>
    <w:rsid w:val="00495394"/>
    <w:rsid w:val="004953C5"/>
    <w:rsid w:val="00495591"/>
    <w:rsid w:val="00495663"/>
    <w:rsid w:val="004957FE"/>
    <w:rsid w:val="00495866"/>
    <w:rsid w:val="004958AC"/>
    <w:rsid w:val="004958BC"/>
    <w:rsid w:val="00495946"/>
    <w:rsid w:val="00495A43"/>
    <w:rsid w:val="00495D5F"/>
    <w:rsid w:val="00495FD4"/>
    <w:rsid w:val="0049605C"/>
    <w:rsid w:val="0049627C"/>
    <w:rsid w:val="0049638A"/>
    <w:rsid w:val="004964AB"/>
    <w:rsid w:val="004965C1"/>
    <w:rsid w:val="004965F7"/>
    <w:rsid w:val="004965FB"/>
    <w:rsid w:val="00496605"/>
    <w:rsid w:val="004966ED"/>
    <w:rsid w:val="004966F6"/>
    <w:rsid w:val="0049687E"/>
    <w:rsid w:val="0049699B"/>
    <w:rsid w:val="004969AF"/>
    <w:rsid w:val="00496B8A"/>
    <w:rsid w:val="00496DA4"/>
    <w:rsid w:val="00496ECF"/>
    <w:rsid w:val="004970F8"/>
    <w:rsid w:val="00497101"/>
    <w:rsid w:val="004972D7"/>
    <w:rsid w:val="00497552"/>
    <w:rsid w:val="004975AD"/>
    <w:rsid w:val="00497821"/>
    <w:rsid w:val="00497950"/>
    <w:rsid w:val="00497A17"/>
    <w:rsid w:val="00497BFA"/>
    <w:rsid w:val="00497D64"/>
    <w:rsid w:val="00497E04"/>
    <w:rsid w:val="00497E44"/>
    <w:rsid w:val="00497F97"/>
    <w:rsid w:val="00497FBF"/>
    <w:rsid w:val="004A0049"/>
    <w:rsid w:val="004A02A5"/>
    <w:rsid w:val="004A053D"/>
    <w:rsid w:val="004A0557"/>
    <w:rsid w:val="004A06F9"/>
    <w:rsid w:val="004A08C4"/>
    <w:rsid w:val="004A0A67"/>
    <w:rsid w:val="004A0B4D"/>
    <w:rsid w:val="004A0B5C"/>
    <w:rsid w:val="004A13EE"/>
    <w:rsid w:val="004A142A"/>
    <w:rsid w:val="004A1555"/>
    <w:rsid w:val="004A15FB"/>
    <w:rsid w:val="004A1635"/>
    <w:rsid w:val="004A179F"/>
    <w:rsid w:val="004A18D7"/>
    <w:rsid w:val="004A195F"/>
    <w:rsid w:val="004A1CF5"/>
    <w:rsid w:val="004A1D47"/>
    <w:rsid w:val="004A1D86"/>
    <w:rsid w:val="004A1FCC"/>
    <w:rsid w:val="004A210A"/>
    <w:rsid w:val="004A21CD"/>
    <w:rsid w:val="004A238F"/>
    <w:rsid w:val="004A2428"/>
    <w:rsid w:val="004A246A"/>
    <w:rsid w:val="004A2478"/>
    <w:rsid w:val="004A2565"/>
    <w:rsid w:val="004A267A"/>
    <w:rsid w:val="004A27A5"/>
    <w:rsid w:val="004A29AE"/>
    <w:rsid w:val="004A29BD"/>
    <w:rsid w:val="004A2BCF"/>
    <w:rsid w:val="004A2D0F"/>
    <w:rsid w:val="004A2DFB"/>
    <w:rsid w:val="004A2E83"/>
    <w:rsid w:val="004A2F18"/>
    <w:rsid w:val="004A2F2C"/>
    <w:rsid w:val="004A2FFD"/>
    <w:rsid w:val="004A3183"/>
    <w:rsid w:val="004A325C"/>
    <w:rsid w:val="004A34C4"/>
    <w:rsid w:val="004A3565"/>
    <w:rsid w:val="004A37DC"/>
    <w:rsid w:val="004A3873"/>
    <w:rsid w:val="004A39C9"/>
    <w:rsid w:val="004A3A12"/>
    <w:rsid w:val="004A3B78"/>
    <w:rsid w:val="004A3C31"/>
    <w:rsid w:val="004A3E00"/>
    <w:rsid w:val="004A4036"/>
    <w:rsid w:val="004A40B0"/>
    <w:rsid w:val="004A41AC"/>
    <w:rsid w:val="004A41FB"/>
    <w:rsid w:val="004A4309"/>
    <w:rsid w:val="004A45B6"/>
    <w:rsid w:val="004A46FF"/>
    <w:rsid w:val="004A4A56"/>
    <w:rsid w:val="004A4BDC"/>
    <w:rsid w:val="004A4BFA"/>
    <w:rsid w:val="004A4C28"/>
    <w:rsid w:val="004A4CBD"/>
    <w:rsid w:val="004A4DB8"/>
    <w:rsid w:val="004A4EE2"/>
    <w:rsid w:val="004A4F19"/>
    <w:rsid w:val="004A5049"/>
    <w:rsid w:val="004A5062"/>
    <w:rsid w:val="004A5082"/>
    <w:rsid w:val="004A540C"/>
    <w:rsid w:val="004A56B1"/>
    <w:rsid w:val="004A59C4"/>
    <w:rsid w:val="004A5A4D"/>
    <w:rsid w:val="004A5A65"/>
    <w:rsid w:val="004A5B14"/>
    <w:rsid w:val="004A5ECF"/>
    <w:rsid w:val="004A5EF8"/>
    <w:rsid w:val="004A5F06"/>
    <w:rsid w:val="004A5F9D"/>
    <w:rsid w:val="004A60AD"/>
    <w:rsid w:val="004A6101"/>
    <w:rsid w:val="004A6166"/>
    <w:rsid w:val="004A637C"/>
    <w:rsid w:val="004A63E5"/>
    <w:rsid w:val="004A66FC"/>
    <w:rsid w:val="004A67BD"/>
    <w:rsid w:val="004A67E9"/>
    <w:rsid w:val="004A687D"/>
    <w:rsid w:val="004A6896"/>
    <w:rsid w:val="004A6994"/>
    <w:rsid w:val="004A6B13"/>
    <w:rsid w:val="004A6C66"/>
    <w:rsid w:val="004A6D32"/>
    <w:rsid w:val="004A6DB6"/>
    <w:rsid w:val="004A7048"/>
    <w:rsid w:val="004A7057"/>
    <w:rsid w:val="004A70F7"/>
    <w:rsid w:val="004A7200"/>
    <w:rsid w:val="004A733E"/>
    <w:rsid w:val="004A73A0"/>
    <w:rsid w:val="004A742E"/>
    <w:rsid w:val="004A7616"/>
    <w:rsid w:val="004A7698"/>
    <w:rsid w:val="004A77F1"/>
    <w:rsid w:val="004A796C"/>
    <w:rsid w:val="004A7B16"/>
    <w:rsid w:val="004A7B5E"/>
    <w:rsid w:val="004A7DEC"/>
    <w:rsid w:val="004A7E5A"/>
    <w:rsid w:val="004A7EFC"/>
    <w:rsid w:val="004B00B9"/>
    <w:rsid w:val="004B010F"/>
    <w:rsid w:val="004B03AD"/>
    <w:rsid w:val="004B0441"/>
    <w:rsid w:val="004B0498"/>
    <w:rsid w:val="004B0514"/>
    <w:rsid w:val="004B0A0A"/>
    <w:rsid w:val="004B0B7E"/>
    <w:rsid w:val="004B0B8E"/>
    <w:rsid w:val="004B0BA2"/>
    <w:rsid w:val="004B0D70"/>
    <w:rsid w:val="004B102D"/>
    <w:rsid w:val="004B1088"/>
    <w:rsid w:val="004B1125"/>
    <w:rsid w:val="004B12F1"/>
    <w:rsid w:val="004B17F1"/>
    <w:rsid w:val="004B18FF"/>
    <w:rsid w:val="004B1B7D"/>
    <w:rsid w:val="004B1C4B"/>
    <w:rsid w:val="004B1DA3"/>
    <w:rsid w:val="004B1F04"/>
    <w:rsid w:val="004B1F83"/>
    <w:rsid w:val="004B208D"/>
    <w:rsid w:val="004B21A5"/>
    <w:rsid w:val="004B2289"/>
    <w:rsid w:val="004B2392"/>
    <w:rsid w:val="004B248D"/>
    <w:rsid w:val="004B2722"/>
    <w:rsid w:val="004B279D"/>
    <w:rsid w:val="004B2891"/>
    <w:rsid w:val="004B28C6"/>
    <w:rsid w:val="004B2A71"/>
    <w:rsid w:val="004B2C16"/>
    <w:rsid w:val="004B2C60"/>
    <w:rsid w:val="004B2D06"/>
    <w:rsid w:val="004B2D30"/>
    <w:rsid w:val="004B2DD4"/>
    <w:rsid w:val="004B2DE0"/>
    <w:rsid w:val="004B2F11"/>
    <w:rsid w:val="004B2FE6"/>
    <w:rsid w:val="004B3300"/>
    <w:rsid w:val="004B370E"/>
    <w:rsid w:val="004B37D3"/>
    <w:rsid w:val="004B3804"/>
    <w:rsid w:val="004B392A"/>
    <w:rsid w:val="004B3A8E"/>
    <w:rsid w:val="004B3B67"/>
    <w:rsid w:val="004B3BF2"/>
    <w:rsid w:val="004B3D0E"/>
    <w:rsid w:val="004B3D5B"/>
    <w:rsid w:val="004B3E57"/>
    <w:rsid w:val="004B4296"/>
    <w:rsid w:val="004B4342"/>
    <w:rsid w:val="004B4507"/>
    <w:rsid w:val="004B458E"/>
    <w:rsid w:val="004B45FA"/>
    <w:rsid w:val="004B46BB"/>
    <w:rsid w:val="004B480F"/>
    <w:rsid w:val="004B4891"/>
    <w:rsid w:val="004B4928"/>
    <w:rsid w:val="004B49B4"/>
    <w:rsid w:val="004B4A31"/>
    <w:rsid w:val="004B4A80"/>
    <w:rsid w:val="004B4A88"/>
    <w:rsid w:val="004B4D7E"/>
    <w:rsid w:val="004B501F"/>
    <w:rsid w:val="004B5288"/>
    <w:rsid w:val="004B545E"/>
    <w:rsid w:val="004B5483"/>
    <w:rsid w:val="004B5507"/>
    <w:rsid w:val="004B574F"/>
    <w:rsid w:val="004B5896"/>
    <w:rsid w:val="004B590B"/>
    <w:rsid w:val="004B599A"/>
    <w:rsid w:val="004B5A3D"/>
    <w:rsid w:val="004B5AEC"/>
    <w:rsid w:val="004B5BFF"/>
    <w:rsid w:val="004B5C07"/>
    <w:rsid w:val="004B5F47"/>
    <w:rsid w:val="004B60CB"/>
    <w:rsid w:val="004B619F"/>
    <w:rsid w:val="004B6334"/>
    <w:rsid w:val="004B65E8"/>
    <w:rsid w:val="004B6673"/>
    <w:rsid w:val="004B6784"/>
    <w:rsid w:val="004B68B1"/>
    <w:rsid w:val="004B6A3B"/>
    <w:rsid w:val="004B6BAA"/>
    <w:rsid w:val="004B6DFB"/>
    <w:rsid w:val="004B6E81"/>
    <w:rsid w:val="004B6E89"/>
    <w:rsid w:val="004B6F77"/>
    <w:rsid w:val="004B71A8"/>
    <w:rsid w:val="004B7314"/>
    <w:rsid w:val="004B7411"/>
    <w:rsid w:val="004B74D0"/>
    <w:rsid w:val="004B7591"/>
    <w:rsid w:val="004B7652"/>
    <w:rsid w:val="004B7673"/>
    <w:rsid w:val="004B77B7"/>
    <w:rsid w:val="004B77F4"/>
    <w:rsid w:val="004B7965"/>
    <w:rsid w:val="004B79EB"/>
    <w:rsid w:val="004B7A5F"/>
    <w:rsid w:val="004B7B35"/>
    <w:rsid w:val="004B7B52"/>
    <w:rsid w:val="004B7B95"/>
    <w:rsid w:val="004B7CF4"/>
    <w:rsid w:val="004B7CFC"/>
    <w:rsid w:val="004B7EA8"/>
    <w:rsid w:val="004C01D1"/>
    <w:rsid w:val="004C02D0"/>
    <w:rsid w:val="004C052D"/>
    <w:rsid w:val="004C0650"/>
    <w:rsid w:val="004C070E"/>
    <w:rsid w:val="004C07D9"/>
    <w:rsid w:val="004C09A8"/>
    <w:rsid w:val="004C0C6F"/>
    <w:rsid w:val="004C0FF4"/>
    <w:rsid w:val="004C10A9"/>
    <w:rsid w:val="004C10F3"/>
    <w:rsid w:val="004C10FE"/>
    <w:rsid w:val="004C11C8"/>
    <w:rsid w:val="004C12D1"/>
    <w:rsid w:val="004C1380"/>
    <w:rsid w:val="004C14AA"/>
    <w:rsid w:val="004C170D"/>
    <w:rsid w:val="004C17E0"/>
    <w:rsid w:val="004C1CB5"/>
    <w:rsid w:val="004C1D7B"/>
    <w:rsid w:val="004C1F0F"/>
    <w:rsid w:val="004C1FE0"/>
    <w:rsid w:val="004C24A7"/>
    <w:rsid w:val="004C2564"/>
    <w:rsid w:val="004C2670"/>
    <w:rsid w:val="004C272D"/>
    <w:rsid w:val="004C2798"/>
    <w:rsid w:val="004C281D"/>
    <w:rsid w:val="004C29CF"/>
    <w:rsid w:val="004C2AE7"/>
    <w:rsid w:val="004C2B79"/>
    <w:rsid w:val="004C2C94"/>
    <w:rsid w:val="004C2DEE"/>
    <w:rsid w:val="004C2F7B"/>
    <w:rsid w:val="004C30EF"/>
    <w:rsid w:val="004C366C"/>
    <w:rsid w:val="004C37DA"/>
    <w:rsid w:val="004C3930"/>
    <w:rsid w:val="004C3A28"/>
    <w:rsid w:val="004C3A3D"/>
    <w:rsid w:val="004C3B79"/>
    <w:rsid w:val="004C3EFE"/>
    <w:rsid w:val="004C4088"/>
    <w:rsid w:val="004C40F6"/>
    <w:rsid w:val="004C4339"/>
    <w:rsid w:val="004C4615"/>
    <w:rsid w:val="004C473F"/>
    <w:rsid w:val="004C484D"/>
    <w:rsid w:val="004C4C21"/>
    <w:rsid w:val="004C4D97"/>
    <w:rsid w:val="004C4DE2"/>
    <w:rsid w:val="004C4FA4"/>
    <w:rsid w:val="004C4FE9"/>
    <w:rsid w:val="004C507A"/>
    <w:rsid w:val="004C50F1"/>
    <w:rsid w:val="004C5141"/>
    <w:rsid w:val="004C5197"/>
    <w:rsid w:val="004C51D1"/>
    <w:rsid w:val="004C53AA"/>
    <w:rsid w:val="004C53B7"/>
    <w:rsid w:val="004C5567"/>
    <w:rsid w:val="004C5665"/>
    <w:rsid w:val="004C57EF"/>
    <w:rsid w:val="004C57FD"/>
    <w:rsid w:val="004C586A"/>
    <w:rsid w:val="004C5893"/>
    <w:rsid w:val="004C58F9"/>
    <w:rsid w:val="004C5C5F"/>
    <w:rsid w:val="004C5F4F"/>
    <w:rsid w:val="004C604E"/>
    <w:rsid w:val="004C63BB"/>
    <w:rsid w:val="004C6413"/>
    <w:rsid w:val="004C641F"/>
    <w:rsid w:val="004C6639"/>
    <w:rsid w:val="004C686A"/>
    <w:rsid w:val="004C6876"/>
    <w:rsid w:val="004C687A"/>
    <w:rsid w:val="004C68D1"/>
    <w:rsid w:val="004C6A42"/>
    <w:rsid w:val="004C6B84"/>
    <w:rsid w:val="004C6F0F"/>
    <w:rsid w:val="004C7005"/>
    <w:rsid w:val="004C7126"/>
    <w:rsid w:val="004C72C6"/>
    <w:rsid w:val="004C76D7"/>
    <w:rsid w:val="004C7882"/>
    <w:rsid w:val="004C7923"/>
    <w:rsid w:val="004C7986"/>
    <w:rsid w:val="004C7995"/>
    <w:rsid w:val="004C7B0B"/>
    <w:rsid w:val="004C7D58"/>
    <w:rsid w:val="004D00D8"/>
    <w:rsid w:val="004D012F"/>
    <w:rsid w:val="004D0344"/>
    <w:rsid w:val="004D049C"/>
    <w:rsid w:val="004D05DD"/>
    <w:rsid w:val="004D075D"/>
    <w:rsid w:val="004D078D"/>
    <w:rsid w:val="004D07EB"/>
    <w:rsid w:val="004D08F4"/>
    <w:rsid w:val="004D0A39"/>
    <w:rsid w:val="004D0A49"/>
    <w:rsid w:val="004D0B88"/>
    <w:rsid w:val="004D0C27"/>
    <w:rsid w:val="004D0D2B"/>
    <w:rsid w:val="004D0DFB"/>
    <w:rsid w:val="004D1050"/>
    <w:rsid w:val="004D127C"/>
    <w:rsid w:val="004D13A9"/>
    <w:rsid w:val="004D1405"/>
    <w:rsid w:val="004D17B3"/>
    <w:rsid w:val="004D1875"/>
    <w:rsid w:val="004D18AD"/>
    <w:rsid w:val="004D1AB3"/>
    <w:rsid w:val="004D1B12"/>
    <w:rsid w:val="004D1C82"/>
    <w:rsid w:val="004D1E9B"/>
    <w:rsid w:val="004D1FD8"/>
    <w:rsid w:val="004D210D"/>
    <w:rsid w:val="004D211F"/>
    <w:rsid w:val="004D228F"/>
    <w:rsid w:val="004D254B"/>
    <w:rsid w:val="004D25A9"/>
    <w:rsid w:val="004D2819"/>
    <w:rsid w:val="004D281A"/>
    <w:rsid w:val="004D294E"/>
    <w:rsid w:val="004D2A5B"/>
    <w:rsid w:val="004D2A9D"/>
    <w:rsid w:val="004D2AFB"/>
    <w:rsid w:val="004D2B53"/>
    <w:rsid w:val="004D2B7A"/>
    <w:rsid w:val="004D2C13"/>
    <w:rsid w:val="004D2E82"/>
    <w:rsid w:val="004D2F55"/>
    <w:rsid w:val="004D3041"/>
    <w:rsid w:val="004D30A2"/>
    <w:rsid w:val="004D3124"/>
    <w:rsid w:val="004D314B"/>
    <w:rsid w:val="004D31E0"/>
    <w:rsid w:val="004D3287"/>
    <w:rsid w:val="004D34A9"/>
    <w:rsid w:val="004D352E"/>
    <w:rsid w:val="004D3571"/>
    <w:rsid w:val="004D366C"/>
    <w:rsid w:val="004D3863"/>
    <w:rsid w:val="004D3C1A"/>
    <w:rsid w:val="004D3CF2"/>
    <w:rsid w:val="004D3F61"/>
    <w:rsid w:val="004D4134"/>
    <w:rsid w:val="004D4652"/>
    <w:rsid w:val="004D479B"/>
    <w:rsid w:val="004D48FD"/>
    <w:rsid w:val="004D4903"/>
    <w:rsid w:val="004D4AA4"/>
    <w:rsid w:val="004D4B32"/>
    <w:rsid w:val="004D4CCD"/>
    <w:rsid w:val="004D4CF4"/>
    <w:rsid w:val="004D4D2A"/>
    <w:rsid w:val="004D4E8E"/>
    <w:rsid w:val="004D5088"/>
    <w:rsid w:val="004D51BD"/>
    <w:rsid w:val="004D5235"/>
    <w:rsid w:val="004D52B2"/>
    <w:rsid w:val="004D55CB"/>
    <w:rsid w:val="004D55D1"/>
    <w:rsid w:val="004D56AB"/>
    <w:rsid w:val="004D57A6"/>
    <w:rsid w:val="004D587F"/>
    <w:rsid w:val="004D5A0A"/>
    <w:rsid w:val="004D5C9F"/>
    <w:rsid w:val="004D5FAB"/>
    <w:rsid w:val="004D60DA"/>
    <w:rsid w:val="004D6227"/>
    <w:rsid w:val="004D62F0"/>
    <w:rsid w:val="004D6578"/>
    <w:rsid w:val="004D6797"/>
    <w:rsid w:val="004D68D3"/>
    <w:rsid w:val="004D6916"/>
    <w:rsid w:val="004D693C"/>
    <w:rsid w:val="004D6B3A"/>
    <w:rsid w:val="004D6C6D"/>
    <w:rsid w:val="004D6C77"/>
    <w:rsid w:val="004D6EF5"/>
    <w:rsid w:val="004D6EFB"/>
    <w:rsid w:val="004D6F52"/>
    <w:rsid w:val="004D6F66"/>
    <w:rsid w:val="004D7100"/>
    <w:rsid w:val="004D7517"/>
    <w:rsid w:val="004D75E4"/>
    <w:rsid w:val="004D7660"/>
    <w:rsid w:val="004D76E1"/>
    <w:rsid w:val="004D7978"/>
    <w:rsid w:val="004D7A30"/>
    <w:rsid w:val="004D7B07"/>
    <w:rsid w:val="004D7E55"/>
    <w:rsid w:val="004DD263"/>
    <w:rsid w:val="004E07DB"/>
    <w:rsid w:val="004E094F"/>
    <w:rsid w:val="004E0B48"/>
    <w:rsid w:val="004E0E4C"/>
    <w:rsid w:val="004E0EE9"/>
    <w:rsid w:val="004E10E4"/>
    <w:rsid w:val="004E12A0"/>
    <w:rsid w:val="004E1357"/>
    <w:rsid w:val="004E151C"/>
    <w:rsid w:val="004E17FF"/>
    <w:rsid w:val="004E186D"/>
    <w:rsid w:val="004E1F5F"/>
    <w:rsid w:val="004E2262"/>
    <w:rsid w:val="004E22B9"/>
    <w:rsid w:val="004E2673"/>
    <w:rsid w:val="004E269F"/>
    <w:rsid w:val="004E2879"/>
    <w:rsid w:val="004E292C"/>
    <w:rsid w:val="004E294A"/>
    <w:rsid w:val="004E296C"/>
    <w:rsid w:val="004E2AC5"/>
    <w:rsid w:val="004E2C6C"/>
    <w:rsid w:val="004E2F96"/>
    <w:rsid w:val="004E2FCF"/>
    <w:rsid w:val="004E33C7"/>
    <w:rsid w:val="004E3449"/>
    <w:rsid w:val="004E34A7"/>
    <w:rsid w:val="004E370E"/>
    <w:rsid w:val="004E38FF"/>
    <w:rsid w:val="004E3A95"/>
    <w:rsid w:val="004E3AEB"/>
    <w:rsid w:val="004E3B79"/>
    <w:rsid w:val="004E3C39"/>
    <w:rsid w:val="004E406C"/>
    <w:rsid w:val="004E4073"/>
    <w:rsid w:val="004E420A"/>
    <w:rsid w:val="004E4230"/>
    <w:rsid w:val="004E43EF"/>
    <w:rsid w:val="004E47B0"/>
    <w:rsid w:val="004E4803"/>
    <w:rsid w:val="004E4825"/>
    <w:rsid w:val="004E4899"/>
    <w:rsid w:val="004E49DD"/>
    <w:rsid w:val="004E4A5B"/>
    <w:rsid w:val="004E4AAD"/>
    <w:rsid w:val="004E4B8E"/>
    <w:rsid w:val="004E4D85"/>
    <w:rsid w:val="004E4E90"/>
    <w:rsid w:val="004E4F8D"/>
    <w:rsid w:val="004E513E"/>
    <w:rsid w:val="004E52F1"/>
    <w:rsid w:val="004E559F"/>
    <w:rsid w:val="004E55D2"/>
    <w:rsid w:val="004E5873"/>
    <w:rsid w:val="004E58EA"/>
    <w:rsid w:val="004E59E1"/>
    <w:rsid w:val="004E5AAD"/>
    <w:rsid w:val="004E5C53"/>
    <w:rsid w:val="004E5C89"/>
    <w:rsid w:val="004E5E1A"/>
    <w:rsid w:val="004E5EE8"/>
    <w:rsid w:val="004E5F25"/>
    <w:rsid w:val="004E5FD5"/>
    <w:rsid w:val="004E6073"/>
    <w:rsid w:val="004E622B"/>
    <w:rsid w:val="004E6318"/>
    <w:rsid w:val="004E6499"/>
    <w:rsid w:val="004E653A"/>
    <w:rsid w:val="004E670D"/>
    <w:rsid w:val="004E6719"/>
    <w:rsid w:val="004E69F2"/>
    <w:rsid w:val="004E6A32"/>
    <w:rsid w:val="004E6B42"/>
    <w:rsid w:val="004E6B7D"/>
    <w:rsid w:val="004E6DD8"/>
    <w:rsid w:val="004E7076"/>
    <w:rsid w:val="004E70FF"/>
    <w:rsid w:val="004E7104"/>
    <w:rsid w:val="004E728E"/>
    <w:rsid w:val="004E7328"/>
    <w:rsid w:val="004E73FF"/>
    <w:rsid w:val="004E74A4"/>
    <w:rsid w:val="004E7517"/>
    <w:rsid w:val="004E7519"/>
    <w:rsid w:val="004E75AB"/>
    <w:rsid w:val="004E769A"/>
    <w:rsid w:val="004E7773"/>
    <w:rsid w:val="004E795E"/>
    <w:rsid w:val="004E7AEB"/>
    <w:rsid w:val="004E7C01"/>
    <w:rsid w:val="004E7D52"/>
    <w:rsid w:val="004E7DB2"/>
    <w:rsid w:val="004F00B6"/>
    <w:rsid w:val="004F00C1"/>
    <w:rsid w:val="004F0284"/>
    <w:rsid w:val="004F03D5"/>
    <w:rsid w:val="004F0453"/>
    <w:rsid w:val="004F0520"/>
    <w:rsid w:val="004F057B"/>
    <w:rsid w:val="004F0590"/>
    <w:rsid w:val="004F0684"/>
    <w:rsid w:val="004F06A5"/>
    <w:rsid w:val="004F06CC"/>
    <w:rsid w:val="004F07A1"/>
    <w:rsid w:val="004F07E2"/>
    <w:rsid w:val="004F08D1"/>
    <w:rsid w:val="004F0DB0"/>
    <w:rsid w:val="004F0EEE"/>
    <w:rsid w:val="004F10F2"/>
    <w:rsid w:val="004F1173"/>
    <w:rsid w:val="004F148C"/>
    <w:rsid w:val="004F156D"/>
    <w:rsid w:val="004F17D7"/>
    <w:rsid w:val="004F1973"/>
    <w:rsid w:val="004F1ACD"/>
    <w:rsid w:val="004F1ACF"/>
    <w:rsid w:val="004F1BA7"/>
    <w:rsid w:val="004F1C1B"/>
    <w:rsid w:val="004F1DC8"/>
    <w:rsid w:val="004F20E1"/>
    <w:rsid w:val="004F26D8"/>
    <w:rsid w:val="004F2A15"/>
    <w:rsid w:val="004F2AEE"/>
    <w:rsid w:val="004F2B05"/>
    <w:rsid w:val="004F2BF3"/>
    <w:rsid w:val="004F2C66"/>
    <w:rsid w:val="004F2CB7"/>
    <w:rsid w:val="004F2F39"/>
    <w:rsid w:val="004F2F52"/>
    <w:rsid w:val="004F3029"/>
    <w:rsid w:val="004F310E"/>
    <w:rsid w:val="004F3156"/>
    <w:rsid w:val="004F31AE"/>
    <w:rsid w:val="004F32DC"/>
    <w:rsid w:val="004F341F"/>
    <w:rsid w:val="004F34EE"/>
    <w:rsid w:val="004F383C"/>
    <w:rsid w:val="004F38E3"/>
    <w:rsid w:val="004F3A8E"/>
    <w:rsid w:val="004F3B60"/>
    <w:rsid w:val="004F3CB6"/>
    <w:rsid w:val="004F3CD4"/>
    <w:rsid w:val="004F3F7A"/>
    <w:rsid w:val="004F3FD0"/>
    <w:rsid w:val="004F40D5"/>
    <w:rsid w:val="004F42C2"/>
    <w:rsid w:val="004F42D6"/>
    <w:rsid w:val="004F44AF"/>
    <w:rsid w:val="004F47DF"/>
    <w:rsid w:val="004F4919"/>
    <w:rsid w:val="004F491F"/>
    <w:rsid w:val="004F4A13"/>
    <w:rsid w:val="004F4E81"/>
    <w:rsid w:val="004F502A"/>
    <w:rsid w:val="004F53E2"/>
    <w:rsid w:val="004F545A"/>
    <w:rsid w:val="004F54FF"/>
    <w:rsid w:val="004F556E"/>
    <w:rsid w:val="004F5580"/>
    <w:rsid w:val="004F5646"/>
    <w:rsid w:val="004F56EE"/>
    <w:rsid w:val="004F5771"/>
    <w:rsid w:val="004F585C"/>
    <w:rsid w:val="004F58D3"/>
    <w:rsid w:val="004F5C07"/>
    <w:rsid w:val="004F5CEF"/>
    <w:rsid w:val="004F5D2B"/>
    <w:rsid w:val="004F5F48"/>
    <w:rsid w:val="004F5F65"/>
    <w:rsid w:val="004F6020"/>
    <w:rsid w:val="004F6230"/>
    <w:rsid w:val="004F628E"/>
    <w:rsid w:val="004F6364"/>
    <w:rsid w:val="004F6439"/>
    <w:rsid w:val="004F65C1"/>
    <w:rsid w:val="004F671C"/>
    <w:rsid w:val="004F672E"/>
    <w:rsid w:val="004F674E"/>
    <w:rsid w:val="004F6794"/>
    <w:rsid w:val="004F693F"/>
    <w:rsid w:val="004F6A68"/>
    <w:rsid w:val="004F6C78"/>
    <w:rsid w:val="004F6F78"/>
    <w:rsid w:val="004F6F80"/>
    <w:rsid w:val="004F7358"/>
    <w:rsid w:val="004F750C"/>
    <w:rsid w:val="004F7531"/>
    <w:rsid w:val="004F7ACB"/>
    <w:rsid w:val="004F7D77"/>
    <w:rsid w:val="004F7F2F"/>
    <w:rsid w:val="004F7F99"/>
    <w:rsid w:val="0050005E"/>
    <w:rsid w:val="005000C7"/>
    <w:rsid w:val="00500160"/>
    <w:rsid w:val="005001B9"/>
    <w:rsid w:val="005003BB"/>
    <w:rsid w:val="00500586"/>
    <w:rsid w:val="005005C5"/>
    <w:rsid w:val="00500646"/>
    <w:rsid w:val="005007BA"/>
    <w:rsid w:val="0050080E"/>
    <w:rsid w:val="0050085E"/>
    <w:rsid w:val="005008F4"/>
    <w:rsid w:val="00500A3C"/>
    <w:rsid w:val="00500A60"/>
    <w:rsid w:val="00500ACD"/>
    <w:rsid w:val="00500B83"/>
    <w:rsid w:val="00500BE4"/>
    <w:rsid w:val="00500CF4"/>
    <w:rsid w:val="00500D49"/>
    <w:rsid w:val="00500FC1"/>
    <w:rsid w:val="00500FCE"/>
    <w:rsid w:val="00501138"/>
    <w:rsid w:val="00501181"/>
    <w:rsid w:val="00501259"/>
    <w:rsid w:val="005012C0"/>
    <w:rsid w:val="005014D8"/>
    <w:rsid w:val="005015C6"/>
    <w:rsid w:val="0050167B"/>
    <w:rsid w:val="005017F8"/>
    <w:rsid w:val="00501829"/>
    <w:rsid w:val="00501858"/>
    <w:rsid w:val="00501A04"/>
    <w:rsid w:val="00501A5D"/>
    <w:rsid w:val="00501AB5"/>
    <w:rsid w:val="00501C81"/>
    <w:rsid w:val="00501CF6"/>
    <w:rsid w:val="00501D2B"/>
    <w:rsid w:val="00501F21"/>
    <w:rsid w:val="00501F68"/>
    <w:rsid w:val="00501F6F"/>
    <w:rsid w:val="00501F8A"/>
    <w:rsid w:val="00501FED"/>
    <w:rsid w:val="00501FFE"/>
    <w:rsid w:val="0050213D"/>
    <w:rsid w:val="0050256F"/>
    <w:rsid w:val="00502770"/>
    <w:rsid w:val="00502774"/>
    <w:rsid w:val="00502804"/>
    <w:rsid w:val="005029A0"/>
    <w:rsid w:val="00502C17"/>
    <w:rsid w:val="00502C52"/>
    <w:rsid w:val="005031C1"/>
    <w:rsid w:val="00503251"/>
    <w:rsid w:val="00503344"/>
    <w:rsid w:val="00503380"/>
    <w:rsid w:val="00503583"/>
    <w:rsid w:val="0050376E"/>
    <w:rsid w:val="00503797"/>
    <w:rsid w:val="0050390F"/>
    <w:rsid w:val="00503994"/>
    <w:rsid w:val="005039E7"/>
    <w:rsid w:val="00503A82"/>
    <w:rsid w:val="00503AB4"/>
    <w:rsid w:val="00503B3E"/>
    <w:rsid w:val="00503C46"/>
    <w:rsid w:val="00504061"/>
    <w:rsid w:val="0050462E"/>
    <w:rsid w:val="00504700"/>
    <w:rsid w:val="00504738"/>
    <w:rsid w:val="00504A0B"/>
    <w:rsid w:val="00504B27"/>
    <w:rsid w:val="00504DE0"/>
    <w:rsid w:val="00504E91"/>
    <w:rsid w:val="00504F2E"/>
    <w:rsid w:val="0050514F"/>
    <w:rsid w:val="00505176"/>
    <w:rsid w:val="005051C6"/>
    <w:rsid w:val="00505210"/>
    <w:rsid w:val="005054D2"/>
    <w:rsid w:val="005057E9"/>
    <w:rsid w:val="005058ED"/>
    <w:rsid w:val="00505BAE"/>
    <w:rsid w:val="00505BC2"/>
    <w:rsid w:val="00505DCC"/>
    <w:rsid w:val="00505E05"/>
    <w:rsid w:val="00505E22"/>
    <w:rsid w:val="00505F10"/>
    <w:rsid w:val="005060F6"/>
    <w:rsid w:val="005061B2"/>
    <w:rsid w:val="005062FE"/>
    <w:rsid w:val="005064A9"/>
    <w:rsid w:val="005064DD"/>
    <w:rsid w:val="0050653B"/>
    <w:rsid w:val="00506956"/>
    <w:rsid w:val="00506973"/>
    <w:rsid w:val="005069BD"/>
    <w:rsid w:val="00506A02"/>
    <w:rsid w:val="00506DE1"/>
    <w:rsid w:val="00506F90"/>
    <w:rsid w:val="0050707B"/>
    <w:rsid w:val="00507243"/>
    <w:rsid w:val="005074E8"/>
    <w:rsid w:val="0050753C"/>
    <w:rsid w:val="005075E4"/>
    <w:rsid w:val="00507914"/>
    <w:rsid w:val="005079D2"/>
    <w:rsid w:val="00507B89"/>
    <w:rsid w:val="00507C48"/>
    <w:rsid w:val="00507E6E"/>
    <w:rsid w:val="00510370"/>
    <w:rsid w:val="005105DA"/>
    <w:rsid w:val="00510748"/>
    <w:rsid w:val="00510B1D"/>
    <w:rsid w:val="00510FDF"/>
    <w:rsid w:val="00511075"/>
    <w:rsid w:val="00511267"/>
    <w:rsid w:val="00511395"/>
    <w:rsid w:val="005114ED"/>
    <w:rsid w:val="00511621"/>
    <w:rsid w:val="00511662"/>
    <w:rsid w:val="005117F7"/>
    <w:rsid w:val="005118AA"/>
    <w:rsid w:val="00511967"/>
    <w:rsid w:val="00511BE3"/>
    <w:rsid w:val="00511C48"/>
    <w:rsid w:val="00511CE8"/>
    <w:rsid w:val="00511D2D"/>
    <w:rsid w:val="00511D3F"/>
    <w:rsid w:val="00511D63"/>
    <w:rsid w:val="00511FFD"/>
    <w:rsid w:val="00512025"/>
    <w:rsid w:val="00512046"/>
    <w:rsid w:val="005123C7"/>
    <w:rsid w:val="0051241F"/>
    <w:rsid w:val="0051270D"/>
    <w:rsid w:val="0051274F"/>
    <w:rsid w:val="005127C1"/>
    <w:rsid w:val="00512807"/>
    <w:rsid w:val="0051288F"/>
    <w:rsid w:val="0051299B"/>
    <w:rsid w:val="00512BD8"/>
    <w:rsid w:val="00512CC3"/>
    <w:rsid w:val="00512D30"/>
    <w:rsid w:val="00512D64"/>
    <w:rsid w:val="005130E5"/>
    <w:rsid w:val="00513368"/>
    <w:rsid w:val="0051339F"/>
    <w:rsid w:val="00513541"/>
    <w:rsid w:val="00513553"/>
    <w:rsid w:val="005135A5"/>
    <w:rsid w:val="00513652"/>
    <w:rsid w:val="005138B1"/>
    <w:rsid w:val="00513924"/>
    <w:rsid w:val="00513DC7"/>
    <w:rsid w:val="00513DFB"/>
    <w:rsid w:val="00513E5D"/>
    <w:rsid w:val="00513E6D"/>
    <w:rsid w:val="00513F21"/>
    <w:rsid w:val="00514140"/>
    <w:rsid w:val="00514159"/>
    <w:rsid w:val="00514161"/>
    <w:rsid w:val="00514193"/>
    <w:rsid w:val="005144A2"/>
    <w:rsid w:val="00514559"/>
    <w:rsid w:val="00514685"/>
    <w:rsid w:val="00514A33"/>
    <w:rsid w:val="00514C14"/>
    <w:rsid w:val="00514D96"/>
    <w:rsid w:val="00515270"/>
    <w:rsid w:val="00515380"/>
    <w:rsid w:val="005153ED"/>
    <w:rsid w:val="005153F3"/>
    <w:rsid w:val="0051544E"/>
    <w:rsid w:val="0051549E"/>
    <w:rsid w:val="005155DD"/>
    <w:rsid w:val="005155F1"/>
    <w:rsid w:val="00515639"/>
    <w:rsid w:val="005157F0"/>
    <w:rsid w:val="005159A7"/>
    <w:rsid w:val="00515B60"/>
    <w:rsid w:val="00515C84"/>
    <w:rsid w:val="00515DC1"/>
    <w:rsid w:val="00515DDF"/>
    <w:rsid w:val="00516118"/>
    <w:rsid w:val="005161CB"/>
    <w:rsid w:val="0051639F"/>
    <w:rsid w:val="005166DF"/>
    <w:rsid w:val="0051676A"/>
    <w:rsid w:val="00516792"/>
    <w:rsid w:val="0051683D"/>
    <w:rsid w:val="00516993"/>
    <w:rsid w:val="005169E8"/>
    <w:rsid w:val="00516C18"/>
    <w:rsid w:val="00516DDB"/>
    <w:rsid w:val="00516E3E"/>
    <w:rsid w:val="00516EA6"/>
    <w:rsid w:val="005171F2"/>
    <w:rsid w:val="00517300"/>
    <w:rsid w:val="0051760C"/>
    <w:rsid w:val="005176CA"/>
    <w:rsid w:val="005177A4"/>
    <w:rsid w:val="0051782F"/>
    <w:rsid w:val="0051783F"/>
    <w:rsid w:val="00517A74"/>
    <w:rsid w:val="00517B22"/>
    <w:rsid w:val="00517DDF"/>
    <w:rsid w:val="00517ED3"/>
    <w:rsid w:val="00517F24"/>
    <w:rsid w:val="00520091"/>
    <w:rsid w:val="0052019A"/>
    <w:rsid w:val="00520495"/>
    <w:rsid w:val="00520498"/>
    <w:rsid w:val="00520530"/>
    <w:rsid w:val="005206F3"/>
    <w:rsid w:val="00520798"/>
    <w:rsid w:val="00520803"/>
    <w:rsid w:val="00520D09"/>
    <w:rsid w:val="00520E11"/>
    <w:rsid w:val="00520FFC"/>
    <w:rsid w:val="0052116B"/>
    <w:rsid w:val="0052119E"/>
    <w:rsid w:val="00521244"/>
    <w:rsid w:val="005213EB"/>
    <w:rsid w:val="005214F7"/>
    <w:rsid w:val="00521758"/>
    <w:rsid w:val="0052190E"/>
    <w:rsid w:val="00521B4E"/>
    <w:rsid w:val="00521D92"/>
    <w:rsid w:val="00521DDF"/>
    <w:rsid w:val="00521E5C"/>
    <w:rsid w:val="00521F7D"/>
    <w:rsid w:val="005221F0"/>
    <w:rsid w:val="00522212"/>
    <w:rsid w:val="0052224D"/>
    <w:rsid w:val="0052245B"/>
    <w:rsid w:val="005225FE"/>
    <w:rsid w:val="00522660"/>
    <w:rsid w:val="00522756"/>
    <w:rsid w:val="005227A8"/>
    <w:rsid w:val="00522967"/>
    <w:rsid w:val="00522B82"/>
    <w:rsid w:val="00522C0E"/>
    <w:rsid w:val="00522F9B"/>
    <w:rsid w:val="005233EB"/>
    <w:rsid w:val="00523482"/>
    <w:rsid w:val="00523594"/>
    <w:rsid w:val="005235D1"/>
    <w:rsid w:val="005236C0"/>
    <w:rsid w:val="00523740"/>
    <w:rsid w:val="005237A5"/>
    <w:rsid w:val="00523948"/>
    <w:rsid w:val="00523A11"/>
    <w:rsid w:val="00523B18"/>
    <w:rsid w:val="00523C5E"/>
    <w:rsid w:val="00523C7A"/>
    <w:rsid w:val="00523DCF"/>
    <w:rsid w:val="00523F9C"/>
    <w:rsid w:val="0052409B"/>
    <w:rsid w:val="005240CC"/>
    <w:rsid w:val="005241C7"/>
    <w:rsid w:val="00524457"/>
    <w:rsid w:val="0052445F"/>
    <w:rsid w:val="0052449E"/>
    <w:rsid w:val="005244E9"/>
    <w:rsid w:val="005245A3"/>
    <w:rsid w:val="005247D5"/>
    <w:rsid w:val="00524A7D"/>
    <w:rsid w:val="00524D10"/>
    <w:rsid w:val="00524D26"/>
    <w:rsid w:val="00524E4E"/>
    <w:rsid w:val="00524E96"/>
    <w:rsid w:val="00524FBE"/>
    <w:rsid w:val="005250AF"/>
    <w:rsid w:val="00525268"/>
    <w:rsid w:val="00525367"/>
    <w:rsid w:val="005253CA"/>
    <w:rsid w:val="005253FC"/>
    <w:rsid w:val="005254B4"/>
    <w:rsid w:val="005254C0"/>
    <w:rsid w:val="00525571"/>
    <w:rsid w:val="005256A7"/>
    <w:rsid w:val="00525998"/>
    <w:rsid w:val="005259C4"/>
    <w:rsid w:val="00525ACA"/>
    <w:rsid w:val="00525B2F"/>
    <w:rsid w:val="00525B59"/>
    <w:rsid w:val="00525CEA"/>
    <w:rsid w:val="00525DF3"/>
    <w:rsid w:val="0052604A"/>
    <w:rsid w:val="005260B6"/>
    <w:rsid w:val="005260FD"/>
    <w:rsid w:val="00526172"/>
    <w:rsid w:val="0052638F"/>
    <w:rsid w:val="00526495"/>
    <w:rsid w:val="005269C5"/>
    <w:rsid w:val="00526AD2"/>
    <w:rsid w:val="00526DF6"/>
    <w:rsid w:val="00526EA9"/>
    <w:rsid w:val="00526EF7"/>
    <w:rsid w:val="00527084"/>
    <w:rsid w:val="005270FC"/>
    <w:rsid w:val="00527275"/>
    <w:rsid w:val="00527486"/>
    <w:rsid w:val="005275CD"/>
    <w:rsid w:val="0052773D"/>
    <w:rsid w:val="00527841"/>
    <w:rsid w:val="00527874"/>
    <w:rsid w:val="005279AE"/>
    <w:rsid w:val="00527D57"/>
    <w:rsid w:val="00527D5F"/>
    <w:rsid w:val="00527E88"/>
    <w:rsid w:val="00527F6D"/>
    <w:rsid w:val="00530348"/>
    <w:rsid w:val="0053035C"/>
    <w:rsid w:val="005304E4"/>
    <w:rsid w:val="0053067D"/>
    <w:rsid w:val="00530736"/>
    <w:rsid w:val="00530856"/>
    <w:rsid w:val="00530AB1"/>
    <w:rsid w:val="00530C32"/>
    <w:rsid w:val="00530DB1"/>
    <w:rsid w:val="00530E1F"/>
    <w:rsid w:val="00530FA3"/>
    <w:rsid w:val="00531069"/>
    <w:rsid w:val="005312A7"/>
    <w:rsid w:val="0053144B"/>
    <w:rsid w:val="005317C0"/>
    <w:rsid w:val="0053187A"/>
    <w:rsid w:val="00531997"/>
    <w:rsid w:val="005319AD"/>
    <w:rsid w:val="00531A7D"/>
    <w:rsid w:val="00531A98"/>
    <w:rsid w:val="00531B3F"/>
    <w:rsid w:val="00531F66"/>
    <w:rsid w:val="00531FA2"/>
    <w:rsid w:val="00532088"/>
    <w:rsid w:val="005320CB"/>
    <w:rsid w:val="0053218C"/>
    <w:rsid w:val="00532293"/>
    <w:rsid w:val="00532494"/>
    <w:rsid w:val="005324F2"/>
    <w:rsid w:val="00532675"/>
    <w:rsid w:val="00532776"/>
    <w:rsid w:val="005327D3"/>
    <w:rsid w:val="00532820"/>
    <w:rsid w:val="00532A11"/>
    <w:rsid w:val="00532B13"/>
    <w:rsid w:val="00532BED"/>
    <w:rsid w:val="00532CB2"/>
    <w:rsid w:val="00532D10"/>
    <w:rsid w:val="00532E8A"/>
    <w:rsid w:val="00533149"/>
    <w:rsid w:val="005332A5"/>
    <w:rsid w:val="005335CF"/>
    <w:rsid w:val="0053371D"/>
    <w:rsid w:val="005337BB"/>
    <w:rsid w:val="005337E4"/>
    <w:rsid w:val="005338E2"/>
    <w:rsid w:val="00533910"/>
    <w:rsid w:val="005339EC"/>
    <w:rsid w:val="00533B84"/>
    <w:rsid w:val="00533E91"/>
    <w:rsid w:val="00534593"/>
    <w:rsid w:val="005346F8"/>
    <w:rsid w:val="00534748"/>
    <w:rsid w:val="00534930"/>
    <w:rsid w:val="00534953"/>
    <w:rsid w:val="0053498F"/>
    <w:rsid w:val="00534A00"/>
    <w:rsid w:val="00534A1C"/>
    <w:rsid w:val="00534AAE"/>
    <w:rsid w:val="00534BC0"/>
    <w:rsid w:val="00534D46"/>
    <w:rsid w:val="00534D7D"/>
    <w:rsid w:val="005350DC"/>
    <w:rsid w:val="005351C3"/>
    <w:rsid w:val="00535252"/>
    <w:rsid w:val="0053539E"/>
    <w:rsid w:val="005353E9"/>
    <w:rsid w:val="0053567D"/>
    <w:rsid w:val="00535739"/>
    <w:rsid w:val="005357E6"/>
    <w:rsid w:val="0053582B"/>
    <w:rsid w:val="005359A6"/>
    <w:rsid w:val="00535A12"/>
    <w:rsid w:val="00535AAD"/>
    <w:rsid w:val="00535C6B"/>
    <w:rsid w:val="00535C83"/>
    <w:rsid w:val="00535CB4"/>
    <w:rsid w:val="00535DFF"/>
    <w:rsid w:val="00536010"/>
    <w:rsid w:val="0053606A"/>
    <w:rsid w:val="00536237"/>
    <w:rsid w:val="00536595"/>
    <w:rsid w:val="0053669A"/>
    <w:rsid w:val="005367AC"/>
    <w:rsid w:val="00536896"/>
    <w:rsid w:val="00536AD5"/>
    <w:rsid w:val="00536C78"/>
    <w:rsid w:val="00536F7E"/>
    <w:rsid w:val="005370CA"/>
    <w:rsid w:val="00537146"/>
    <w:rsid w:val="00537597"/>
    <w:rsid w:val="00537707"/>
    <w:rsid w:val="00537904"/>
    <w:rsid w:val="00537A77"/>
    <w:rsid w:val="00537A7E"/>
    <w:rsid w:val="00537C63"/>
    <w:rsid w:val="00540310"/>
    <w:rsid w:val="00540441"/>
    <w:rsid w:val="005404A1"/>
    <w:rsid w:val="00540557"/>
    <w:rsid w:val="005408E1"/>
    <w:rsid w:val="00540EB6"/>
    <w:rsid w:val="00540F9D"/>
    <w:rsid w:val="0054125C"/>
    <w:rsid w:val="00541289"/>
    <w:rsid w:val="00541487"/>
    <w:rsid w:val="0054154D"/>
    <w:rsid w:val="00541838"/>
    <w:rsid w:val="00541A14"/>
    <w:rsid w:val="00541B77"/>
    <w:rsid w:val="00541C79"/>
    <w:rsid w:val="00541D21"/>
    <w:rsid w:val="00541F3D"/>
    <w:rsid w:val="00542042"/>
    <w:rsid w:val="00542091"/>
    <w:rsid w:val="005420F8"/>
    <w:rsid w:val="0054211F"/>
    <w:rsid w:val="00542216"/>
    <w:rsid w:val="00542240"/>
    <w:rsid w:val="005422EE"/>
    <w:rsid w:val="005423A4"/>
    <w:rsid w:val="0054247A"/>
    <w:rsid w:val="00542595"/>
    <w:rsid w:val="005427D0"/>
    <w:rsid w:val="00542993"/>
    <w:rsid w:val="00542D47"/>
    <w:rsid w:val="00542D62"/>
    <w:rsid w:val="00542E34"/>
    <w:rsid w:val="0054316E"/>
    <w:rsid w:val="00543321"/>
    <w:rsid w:val="00543462"/>
    <w:rsid w:val="005435F6"/>
    <w:rsid w:val="0054370B"/>
    <w:rsid w:val="0054376B"/>
    <w:rsid w:val="00543834"/>
    <w:rsid w:val="005438BB"/>
    <w:rsid w:val="0054390B"/>
    <w:rsid w:val="005439ED"/>
    <w:rsid w:val="00543A5B"/>
    <w:rsid w:val="00543B75"/>
    <w:rsid w:val="00543C6B"/>
    <w:rsid w:val="00543E92"/>
    <w:rsid w:val="00543F9C"/>
    <w:rsid w:val="00543FA3"/>
    <w:rsid w:val="00543FEE"/>
    <w:rsid w:val="0054407A"/>
    <w:rsid w:val="0054408B"/>
    <w:rsid w:val="00544142"/>
    <w:rsid w:val="00544300"/>
    <w:rsid w:val="00544389"/>
    <w:rsid w:val="00544487"/>
    <w:rsid w:val="00544570"/>
    <w:rsid w:val="0054467B"/>
    <w:rsid w:val="00544774"/>
    <w:rsid w:val="00544964"/>
    <w:rsid w:val="00544BF1"/>
    <w:rsid w:val="00544CC9"/>
    <w:rsid w:val="005450CD"/>
    <w:rsid w:val="00545223"/>
    <w:rsid w:val="0054528A"/>
    <w:rsid w:val="00545290"/>
    <w:rsid w:val="0054542F"/>
    <w:rsid w:val="005455E0"/>
    <w:rsid w:val="005459D4"/>
    <w:rsid w:val="00545AE8"/>
    <w:rsid w:val="00545B03"/>
    <w:rsid w:val="00545C42"/>
    <w:rsid w:val="00545D06"/>
    <w:rsid w:val="00545DB7"/>
    <w:rsid w:val="00545DDB"/>
    <w:rsid w:val="00545DE8"/>
    <w:rsid w:val="00545F2D"/>
    <w:rsid w:val="00546034"/>
    <w:rsid w:val="0054608B"/>
    <w:rsid w:val="005461AA"/>
    <w:rsid w:val="005462D0"/>
    <w:rsid w:val="00546718"/>
    <w:rsid w:val="0054699C"/>
    <w:rsid w:val="00546AD0"/>
    <w:rsid w:val="00546C79"/>
    <w:rsid w:val="00546D39"/>
    <w:rsid w:val="00546E3A"/>
    <w:rsid w:val="00546F59"/>
    <w:rsid w:val="00546F85"/>
    <w:rsid w:val="005472F3"/>
    <w:rsid w:val="00547427"/>
    <w:rsid w:val="00547535"/>
    <w:rsid w:val="00547A88"/>
    <w:rsid w:val="00547AED"/>
    <w:rsid w:val="00547CED"/>
    <w:rsid w:val="00547D00"/>
    <w:rsid w:val="00547FD8"/>
    <w:rsid w:val="00547FDE"/>
    <w:rsid w:val="0055000A"/>
    <w:rsid w:val="0055009C"/>
    <w:rsid w:val="0055036C"/>
    <w:rsid w:val="0055038E"/>
    <w:rsid w:val="00550449"/>
    <w:rsid w:val="0055047F"/>
    <w:rsid w:val="00550781"/>
    <w:rsid w:val="0055087D"/>
    <w:rsid w:val="00550A9A"/>
    <w:rsid w:val="00550AB0"/>
    <w:rsid w:val="00550BEB"/>
    <w:rsid w:val="00550C1B"/>
    <w:rsid w:val="00550CBF"/>
    <w:rsid w:val="00550D30"/>
    <w:rsid w:val="00550E33"/>
    <w:rsid w:val="00550E84"/>
    <w:rsid w:val="00551257"/>
    <w:rsid w:val="00551368"/>
    <w:rsid w:val="005513AC"/>
    <w:rsid w:val="0055141A"/>
    <w:rsid w:val="00551655"/>
    <w:rsid w:val="00551759"/>
    <w:rsid w:val="00552033"/>
    <w:rsid w:val="0055220E"/>
    <w:rsid w:val="005524B0"/>
    <w:rsid w:val="005525B1"/>
    <w:rsid w:val="00552745"/>
    <w:rsid w:val="00552A03"/>
    <w:rsid w:val="00552B0F"/>
    <w:rsid w:val="00552C3B"/>
    <w:rsid w:val="00552CD2"/>
    <w:rsid w:val="00552F7C"/>
    <w:rsid w:val="00552FCC"/>
    <w:rsid w:val="00553073"/>
    <w:rsid w:val="0055344F"/>
    <w:rsid w:val="0055356A"/>
    <w:rsid w:val="00553705"/>
    <w:rsid w:val="00553893"/>
    <w:rsid w:val="00553AA7"/>
    <w:rsid w:val="00553BAA"/>
    <w:rsid w:val="00553D16"/>
    <w:rsid w:val="00553DFB"/>
    <w:rsid w:val="00554006"/>
    <w:rsid w:val="00554139"/>
    <w:rsid w:val="00554316"/>
    <w:rsid w:val="0055441F"/>
    <w:rsid w:val="005544B3"/>
    <w:rsid w:val="00554894"/>
    <w:rsid w:val="00554A84"/>
    <w:rsid w:val="00554A8F"/>
    <w:rsid w:val="00554F08"/>
    <w:rsid w:val="00554FFD"/>
    <w:rsid w:val="005553A2"/>
    <w:rsid w:val="00555546"/>
    <w:rsid w:val="005555DB"/>
    <w:rsid w:val="005557C4"/>
    <w:rsid w:val="0055584F"/>
    <w:rsid w:val="0055587F"/>
    <w:rsid w:val="00555AE0"/>
    <w:rsid w:val="00555AEC"/>
    <w:rsid w:val="00555B16"/>
    <w:rsid w:val="00555D95"/>
    <w:rsid w:val="00555F09"/>
    <w:rsid w:val="00555F4F"/>
    <w:rsid w:val="00555FB9"/>
    <w:rsid w:val="00556028"/>
    <w:rsid w:val="00556437"/>
    <w:rsid w:val="0055670C"/>
    <w:rsid w:val="00556845"/>
    <w:rsid w:val="005569BC"/>
    <w:rsid w:val="00556A8C"/>
    <w:rsid w:val="00556B07"/>
    <w:rsid w:val="00556BD6"/>
    <w:rsid w:val="00556E32"/>
    <w:rsid w:val="00556ED7"/>
    <w:rsid w:val="00556EFB"/>
    <w:rsid w:val="00556F48"/>
    <w:rsid w:val="00556FA0"/>
    <w:rsid w:val="00557098"/>
    <w:rsid w:val="00557212"/>
    <w:rsid w:val="00557296"/>
    <w:rsid w:val="005577B0"/>
    <w:rsid w:val="00557901"/>
    <w:rsid w:val="00557B39"/>
    <w:rsid w:val="00557BFE"/>
    <w:rsid w:val="00557C7F"/>
    <w:rsid w:val="0056013B"/>
    <w:rsid w:val="00560192"/>
    <w:rsid w:val="0056036C"/>
    <w:rsid w:val="005604B6"/>
    <w:rsid w:val="00560A65"/>
    <w:rsid w:val="00560B3A"/>
    <w:rsid w:val="00560BF2"/>
    <w:rsid w:val="00560CED"/>
    <w:rsid w:val="00561080"/>
    <w:rsid w:val="005610FA"/>
    <w:rsid w:val="00561241"/>
    <w:rsid w:val="00561335"/>
    <w:rsid w:val="005616E2"/>
    <w:rsid w:val="00561760"/>
    <w:rsid w:val="005617F9"/>
    <w:rsid w:val="00561827"/>
    <w:rsid w:val="0056192C"/>
    <w:rsid w:val="0056199C"/>
    <w:rsid w:val="00561AB3"/>
    <w:rsid w:val="00561C16"/>
    <w:rsid w:val="00561D21"/>
    <w:rsid w:val="00562084"/>
    <w:rsid w:val="0056209B"/>
    <w:rsid w:val="005623EA"/>
    <w:rsid w:val="00562565"/>
    <w:rsid w:val="00562607"/>
    <w:rsid w:val="005626AD"/>
    <w:rsid w:val="005629AA"/>
    <w:rsid w:val="00562BF5"/>
    <w:rsid w:val="00562DF0"/>
    <w:rsid w:val="00562EA1"/>
    <w:rsid w:val="00562FC7"/>
    <w:rsid w:val="005630B7"/>
    <w:rsid w:val="005632E4"/>
    <w:rsid w:val="00563338"/>
    <w:rsid w:val="005634D5"/>
    <w:rsid w:val="00563568"/>
    <w:rsid w:val="0056375B"/>
    <w:rsid w:val="00563C3A"/>
    <w:rsid w:val="00563DF2"/>
    <w:rsid w:val="00563EF0"/>
    <w:rsid w:val="00563FA3"/>
    <w:rsid w:val="005640B5"/>
    <w:rsid w:val="00564369"/>
    <w:rsid w:val="005643F0"/>
    <w:rsid w:val="00564541"/>
    <w:rsid w:val="00564592"/>
    <w:rsid w:val="005647C3"/>
    <w:rsid w:val="00564981"/>
    <w:rsid w:val="00564B82"/>
    <w:rsid w:val="00564C58"/>
    <w:rsid w:val="00565095"/>
    <w:rsid w:val="00565333"/>
    <w:rsid w:val="005653B9"/>
    <w:rsid w:val="005654D2"/>
    <w:rsid w:val="005654DE"/>
    <w:rsid w:val="00565521"/>
    <w:rsid w:val="0056574F"/>
    <w:rsid w:val="0056578F"/>
    <w:rsid w:val="005657D4"/>
    <w:rsid w:val="00565829"/>
    <w:rsid w:val="00565870"/>
    <w:rsid w:val="005658BD"/>
    <w:rsid w:val="005659B6"/>
    <w:rsid w:val="005659E8"/>
    <w:rsid w:val="00565AA0"/>
    <w:rsid w:val="00565BB7"/>
    <w:rsid w:val="00565DB9"/>
    <w:rsid w:val="00565ED9"/>
    <w:rsid w:val="00565F80"/>
    <w:rsid w:val="00565FA4"/>
    <w:rsid w:val="00565FD4"/>
    <w:rsid w:val="005661C7"/>
    <w:rsid w:val="00566395"/>
    <w:rsid w:val="0056644C"/>
    <w:rsid w:val="00566646"/>
    <w:rsid w:val="005667BA"/>
    <w:rsid w:val="005667EB"/>
    <w:rsid w:val="0056692D"/>
    <w:rsid w:val="005669BC"/>
    <w:rsid w:val="00566AD4"/>
    <w:rsid w:val="00566B07"/>
    <w:rsid w:val="00566BD6"/>
    <w:rsid w:val="00566D15"/>
    <w:rsid w:val="00566E8F"/>
    <w:rsid w:val="00567007"/>
    <w:rsid w:val="00567154"/>
    <w:rsid w:val="00567206"/>
    <w:rsid w:val="005674D9"/>
    <w:rsid w:val="00567562"/>
    <w:rsid w:val="005675DF"/>
    <w:rsid w:val="005677B8"/>
    <w:rsid w:val="005677E8"/>
    <w:rsid w:val="005679ED"/>
    <w:rsid w:val="00567B35"/>
    <w:rsid w:val="00567B5A"/>
    <w:rsid w:val="00567BDA"/>
    <w:rsid w:val="00567BE3"/>
    <w:rsid w:val="00567D0B"/>
    <w:rsid w:val="00567DE1"/>
    <w:rsid w:val="00567E4C"/>
    <w:rsid w:val="00567F35"/>
    <w:rsid w:val="00570443"/>
    <w:rsid w:val="00570457"/>
    <w:rsid w:val="00570521"/>
    <w:rsid w:val="00570642"/>
    <w:rsid w:val="0057089B"/>
    <w:rsid w:val="00570962"/>
    <w:rsid w:val="00570B75"/>
    <w:rsid w:val="00570D18"/>
    <w:rsid w:val="00570EED"/>
    <w:rsid w:val="00570F18"/>
    <w:rsid w:val="0057107A"/>
    <w:rsid w:val="0057139C"/>
    <w:rsid w:val="0057141A"/>
    <w:rsid w:val="00571630"/>
    <w:rsid w:val="005716FC"/>
    <w:rsid w:val="005717F7"/>
    <w:rsid w:val="0057198F"/>
    <w:rsid w:val="00571A46"/>
    <w:rsid w:val="00571AF9"/>
    <w:rsid w:val="00571B95"/>
    <w:rsid w:val="00571BAD"/>
    <w:rsid w:val="00571C8C"/>
    <w:rsid w:val="00571D2A"/>
    <w:rsid w:val="00571DA8"/>
    <w:rsid w:val="00571E23"/>
    <w:rsid w:val="00571EF8"/>
    <w:rsid w:val="00571F9E"/>
    <w:rsid w:val="00571FE8"/>
    <w:rsid w:val="005720B7"/>
    <w:rsid w:val="005720F6"/>
    <w:rsid w:val="0057217E"/>
    <w:rsid w:val="005723C9"/>
    <w:rsid w:val="00572546"/>
    <w:rsid w:val="005725E3"/>
    <w:rsid w:val="0057264F"/>
    <w:rsid w:val="005726D5"/>
    <w:rsid w:val="00572729"/>
    <w:rsid w:val="005727BD"/>
    <w:rsid w:val="00572C2A"/>
    <w:rsid w:val="00572EF2"/>
    <w:rsid w:val="00572FAA"/>
    <w:rsid w:val="00573065"/>
    <w:rsid w:val="005731B2"/>
    <w:rsid w:val="00573298"/>
    <w:rsid w:val="005732E7"/>
    <w:rsid w:val="00573335"/>
    <w:rsid w:val="0057338F"/>
    <w:rsid w:val="00573587"/>
    <w:rsid w:val="005736EE"/>
    <w:rsid w:val="00573A3E"/>
    <w:rsid w:val="00573A4A"/>
    <w:rsid w:val="00573B54"/>
    <w:rsid w:val="00573F56"/>
    <w:rsid w:val="00574038"/>
    <w:rsid w:val="005740DB"/>
    <w:rsid w:val="005743F1"/>
    <w:rsid w:val="00574489"/>
    <w:rsid w:val="005744B6"/>
    <w:rsid w:val="005744F6"/>
    <w:rsid w:val="00574671"/>
    <w:rsid w:val="005748D1"/>
    <w:rsid w:val="00574A3E"/>
    <w:rsid w:val="00574B37"/>
    <w:rsid w:val="00574F3A"/>
    <w:rsid w:val="00575421"/>
    <w:rsid w:val="005754ED"/>
    <w:rsid w:val="0057572B"/>
    <w:rsid w:val="0057573A"/>
    <w:rsid w:val="00575AE0"/>
    <w:rsid w:val="00575B15"/>
    <w:rsid w:val="00575B53"/>
    <w:rsid w:val="00575C94"/>
    <w:rsid w:val="00575CAC"/>
    <w:rsid w:val="00575DEF"/>
    <w:rsid w:val="00575F16"/>
    <w:rsid w:val="00576174"/>
    <w:rsid w:val="005766CE"/>
    <w:rsid w:val="0057688F"/>
    <w:rsid w:val="00576BAB"/>
    <w:rsid w:val="00576C5F"/>
    <w:rsid w:val="00576DCA"/>
    <w:rsid w:val="00576E99"/>
    <w:rsid w:val="00577004"/>
    <w:rsid w:val="00577133"/>
    <w:rsid w:val="005771F0"/>
    <w:rsid w:val="0057740D"/>
    <w:rsid w:val="005774BA"/>
    <w:rsid w:val="005778C8"/>
    <w:rsid w:val="005778EF"/>
    <w:rsid w:val="00577A25"/>
    <w:rsid w:val="00577A43"/>
    <w:rsid w:val="00577A7F"/>
    <w:rsid w:val="00580001"/>
    <w:rsid w:val="0058013F"/>
    <w:rsid w:val="00580185"/>
    <w:rsid w:val="005801A4"/>
    <w:rsid w:val="005801AF"/>
    <w:rsid w:val="00580655"/>
    <w:rsid w:val="005807BD"/>
    <w:rsid w:val="00580829"/>
    <w:rsid w:val="0058086E"/>
    <w:rsid w:val="005808E4"/>
    <w:rsid w:val="005808FB"/>
    <w:rsid w:val="00580A06"/>
    <w:rsid w:val="00580A91"/>
    <w:rsid w:val="00580E40"/>
    <w:rsid w:val="00580E44"/>
    <w:rsid w:val="00580E57"/>
    <w:rsid w:val="0058131B"/>
    <w:rsid w:val="005816C9"/>
    <w:rsid w:val="005816FA"/>
    <w:rsid w:val="00581726"/>
    <w:rsid w:val="005817FF"/>
    <w:rsid w:val="005818C7"/>
    <w:rsid w:val="00581920"/>
    <w:rsid w:val="0058211D"/>
    <w:rsid w:val="0058236F"/>
    <w:rsid w:val="005823CB"/>
    <w:rsid w:val="0058248A"/>
    <w:rsid w:val="005825DE"/>
    <w:rsid w:val="005826EA"/>
    <w:rsid w:val="0058279F"/>
    <w:rsid w:val="005827C2"/>
    <w:rsid w:val="00582810"/>
    <w:rsid w:val="00582A53"/>
    <w:rsid w:val="00582C87"/>
    <w:rsid w:val="00583380"/>
    <w:rsid w:val="0058358D"/>
    <w:rsid w:val="00583729"/>
    <w:rsid w:val="0058385F"/>
    <w:rsid w:val="005838CC"/>
    <w:rsid w:val="005838D4"/>
    <w:rsid w:val="0058393E"/>
    <w:rsid w:val="00583A21"/>
    <w:rsid w:val="00583A33"/>
    <w:rsid w:val="00583DAA"/>
    <w:rsid w:val="00583E24"/>
    <w:rsid w:val="00583ED5"/>
    <w:rsid w:val="00583F28"/>
    <w:rsid w:val="00583F94"/>
    <w:rsid w:val="00583F9C"/>
    <w:rsid w:val="00584193"/>
    <w:rsid w:val="00584261"/>
    <w:rsid w:val="0058431E"/>
    <w:rsid w:val="00584435"/>
    <w:rsid w:val="0058453E"/>
    <w:rsid w:val="00584619"/>
    <w:rsid w:val="0058494B"/>
    <w:rsid w:val="00584BE4"/>
    <w:rsid w:val="00584BFC"/>
    <w:rsid w:val="00584DF1"/>
    <w:rsid w:val="00584F44"/>
    <w:rsid w:val="0058504F"/>
    <w:rsid w:val="00585198"/>
    <w:rsid w:val="005852F7"/>
    <w:rsid w:val="005853DC"/>
    <w:rsid w:val="0058546C"/>
    <w:rsid w:val="005854C4"/>
    <w:rsid w:val="00585A79"/>
    <w:rsid w:val="00585B68"/>
    <w:rsid w:val="00585D6F"/>
    <w:rsid w:val="00585DE1"/>
    <w:rsid w:val="00585E27"/>
    <w:rsid w:val="00585FC7"/>
    <w:rsid w:val="005860AF"/>
    <w:rsid w:val="00586340"/>
    <w:rsid w:val="005866BB"/>
    <w:rsid w:val="005867D2"/>
    <w:rsid w:val="0058687D"/>
    <w:rsid w:val="0058695B"/>
    <w:rsid w:val="005869CB"/>
    <w:rsid w:val="00586CE8"/>
    <w:rsid w:val="00586F93"/>
    <w:rsid w:val="005870E2"/>
    <w:rsid w:val="0058724E"/>
    <w:rsid w:val="005872B1"/>
    <w:rsid w:val="005873C8"/>
    <w:rsid w:val="005875A5"/>
    <w:rsid w:val="00587876"/>
    <w:rsid w:val="0058798E"/>
    <w:rsid w:val="00587C32"/>
    <w:rsid w:val="00587C8E"/>
    <w:rsid w:val="0059013D"/>
    <w:rsid w:val="005902E2"/>
    <w:rsid w:val="0059063A"/>
    <w:rsid w:val="005906CF"/>
    <w:rsid w:val="00590781"/>
    <w:rsid w:val="00590862"/>
    <w:rsid w:val="005909A8"/>
    <w:rsid w:val="00590A20"/>
    <w:rsid w:val="00590D4E"/>
    <w:rsid w:val="00590E3D"/>
    <w:rsid w:val="005910E0"/>
    <w:rsid w:val="00591293"/>
    <w:rsid w:val="0059177B"/>
    <w:rsid w:val="00591C16"/>
    <w:rsid w:val="00591F57"/>
    <w:rsid w:val="00592347"/>
    <w:rsid w:val="00592556"/>
    <w:rsid w:val="00592624"/>
    <w:rsid w:val="0059271D"/>
    <w:rsid w:val="00592808"/>
    <w:rsid w:val="00592895"/>
    <w:rsid w:val="00592A0D"/>
    <w:rsid w:val="00592A8E"/>
    <w:rsid w:val="00592B45"/>
    <w:rsid w:val="00592BFB"/>
    <w:rsid w:val="00592C0F"/>
    <w:rsid w:val="005933A7"/>
    <w:rsid w:val="00593713"/>
    <w:rsid w:val="0059375E"/>
    <w:rsid w:val="00593818"/>
    <w:rsid w:val="00593882"/>
    <w:rsid w:val="0059396D"/>
    <w:rsid w:val="00593AB0"/>
    <w:rsid w:val="00593C7F"/>
    <w:rsid w:val="00593EFC"/>
    <w:rsid w:val="00593FA4"/>
    <w:rsid w:val="00594376"/>
    <w:rsid w:val="005944B6"/>
    <w:rsid w:val="0059452B"/>
    <w:rsid w:val="00594674"/>
    <w:rsid w:val="00594768"/>
    <w:rsid w:val="00594895"/>
    <w:rsid w:val="00594A61"/>
    <w:rsid w:val="00594A7C"/>
    <w:rsid w:val="00594E2E"/>
    <w:rsid w:val="00594F1D"/>
    <w:rsid w:val="00594F6F"/>
    <w:rsid w:val="00595122"/>
    <w:rsid w:val="005953AD"/>
    <w:rsid w:val="00595463"/>
    <w:rsid w:val="0059564A"/>
    <w:rsid w:val="005956B6"/>
    <w:rsid w:val="005956E3"/>
    <w:rsid w:val="00595894"/>
    <w:rsid w:val="00595996"/>
    <w:rsid w:val="00595AB2"/>
    <w:rsid w:val="00595CDE"/>
    <w:rsid w:val="00595F7B"/>
    <w:rsid w:val="005960BC"/>
    <w:rsid w:val="00596154"/>
    <w:rsid w:val="005963CC"/>
    <w:rsid w:val="0059675E"/>
    <w:rsid w:val="00596841"/>
    <w:rsid w:val="00596849"/>
    <w:rsid w:val="00596861"/>
    <w:rsid w:val="00596941"/>
    <w:rsid w:val="00596C72"/>
    <w:rsid w:val="00596C9B"/>
    <w:rsid w:val="00596CF9"/>
    <w:rsid w:val="00596E19"/>
    <w:rsid w:val="00596E42"/>
    <w:rsid w:val="00596E80"/>
    <w:rsid w:val="0059705C"/>
    <w:rsid w:val="0059712A"/>
    <w:rsid w:val="00597217"/>
    <w:rsid w:val="00597283"/>
    <w:rsid w:val="005973F6"/>
    <w:rsid w:val="00597491"/>
    <w:rsid w:val="005978AA"/>
    <w:rsid w:val="0059794D"/>
    <w:rsid w:val="00597A45"/>
    <w:rsid w:val="00597AA8"/>
    <w:rsid w:val="00597BD6"/>
    <w:rsid w:val="00597BFB"/>
    <w:rsid w:val="00597C5F"/>
    <w:rsid w:val="00597DA7"/>
    <w:rsid w:val="00597DEB"/>
    <w:rsid w:val="005A0023"/>
    <w:rsid w:val="005A02BD"/>
    <w:rsid w:val="005A02D7"/>
    <w:rsid w:val="005A02E1"/>
    <w:rsid w:val="005A03D1"/>
    <w:rsid w:val="005A071A"/>
    <w:rsid w:val="005A07F1"/>
    <w:rsid w:val="005A0942"/>
    <w:rsid w:val="005A0C83"/>
    <w:rsid w:val="005A0E45"/>
    <w:rsid w:val="005A0E64"/>
    <w:rsid w:val="005A107B"/>
    <w:rsid w:val="005A1113"/>
    <w:rsid w:val="005A119C"/>
    <w:rsid w:val="005A1369"/>
    <w:rsid w:val="005A1528"/>
    <w:rsid w:val="005A1582"/>
    <w:rsid w:val="005A16FB"/>
    <w:rsid w:val="005A1855"/>
    <w:rsid w:val="005A1986"/>
    <w:rsid w:val="005A1C71"/>
    <w:rsid w:val="005A1C7C"/>
    <w:rsid w:val="005A2049"/>
    <w:rsid w:val="005A20DA"/>
    <w:rsid w:val="005A241E"/>
    <w:rsid w:val="005A2478"/>
    <w:rsid w:val="005A259D"/>
    <w:rsid w:val="005A266E"/>
    <w:rsid w:val="005A27E0"/>
    <w:rsid w:val="005A27FB"/>
    <w:rsid w:val="005A28B4"/>
    <w:rsid w:val="005A2CF1"/>
    <w:rsid w:val="005A2FEF"/>
    <w:rsid w:val="005A3189"/>
    <w:rsid w:val="005A33AD"/>
    <w:rsid w:val="005A34D6"/>
    <w:rsid w:val="005A356B"/>
    <w:rsid w:val="005A3616"/>
    <w:rsid w:val="005A37C7"/>
    <w:rsid w:val="005A38AA"/>
    <w:rsid w:val="005A3910"/>
    <w:rsid w:val="005A3923"/>
    <w:rsid w:val="005A3B55"/>
    <w:rsid w:val="005A3C3C"/>
    <w:rsid w:val="005A3C9B"/>
    <w:rsid w:val="005A3DD3"/>
    <w:rsid w:val="005A412F"/>
    <w:rsid w:val="005A4182"/>
    <w:rsid w:val="005A418F"/>
    <w:rsid w:val="005A4203"/>
    <w:rsid w:val="005A42B5"/>
    <w:rsid w:val="005A462E"/>
    <w:rsid w:val="005A46A3"/>
    <w:rsid w:val="005A46F6"/>
    <w:rsid w:val="005A472C"/>
    <w:rsid w:val="005A476C"/>
    <w:rsid w:val="005A4869"/>
    <w:rsid w:val="005A4897"/>
    <w:rsid w:val="005A4A43"/>
    <w:rsid w:val="005A4C3D"/>
    <w:rsid w:val="005A4C76"/>
    <w:rsid w:val="005A519A"/>
    <w:rsid w:val="005A51A0"/>
    <w:rsid w:val="005A525E"/>
    <w:rsid w:val="005A5268"/>
    <w:rsid w:val="005A52AE"/>
    <w:rsid w:val="005A5325"/>
    <w:rsid w:val="005A532D"/>
    <w:rsid w:val="005A53EA"/>
    <w:rsid w:val="005A5435"/>
    <w:rsid w:val="005A5557"/>
    <w:rsid w:val="005A5571"/>
    <w:rsid w:val="005A573A"/>
    <w:rsid w:val="005A5A62"/>
    <w:rsid w:val="005A61A7"/>
    <w:rsid w:val="005A61F3"/>
    <w:rsid w:val="005A627D"/>
    <w:rsid w:val="005A630C"/>
    <w:rsid w:val="005A637E"/>
    <w:rsid w:val="005A6F61"/>
    <w:rsid w:val="005A6F92"/>
    <w:rsid w:val="005A6FED"/>
    <w:rsid w:val="005A6FF2"/>
    <w:rsid w:val="005A70E5"/>
    <w:rsid w:val="005A72B0"/>
    <w:rsid w:val="005A7323"/>
    <w:rsid w:val="005A737B"/>
    <w:rsid w:val="005A777A"/>
    <w:rsid w:val="005A78B2"/>
    <w:rsid w:val="005A7A28"/>
    <w:rsid w:val="005A7A57"/>
    <w:rsid w:val="005A7AA4"/>
    <w:rsid w:val="005A7AFA"/>
    <w:rsid w:val="005B0209"/>
    <w:rsid w:val="005B02E4"/>
    <w:rsid w:val="005B05E7"/>
    <w:rsid w:val="005B0A8B"/>
    <w:rsid w:val="005B0AC4"/>
    <w:rsid w:val="005B0AE8"/>
    <w:rsid w:val="005B0B39"/>
    <w:rsid w:val="005B0B44"/>
    <w:rsid w:val="005B1001"/>
    <w:rsid w:val="005B1045"/>
    <w:rsid w:val="005B10E5"/>
    <w:rsid w:val="005B10EF"/>
    <w:rsid w:val="005B13CE"/>
    <w:rsid w:val="005B1412"/>
    <w:rsid w:val="005B1487"/>
    <w:rsid w:val="005B166A"/>
    <w:rsid w:val="005B1799"/>
    <w:rsid w:val="005B1889"/>
    <w:rsid w:val="005B1A25"/>
    <w:rsid w:val="005B1B3E"/>
    <w:rsid w:val="005B1BC4"/>
    <w:rsid w:val="005B1D21"/>
    <w:rsid w:val="005B1D50"/>
    <w:rsid w:val="005B1D97"/>
    <w:rsid w:val="005B1E9C"/>
    <w:rsid w:val="005B2241"/>
    <w:rsid w:val="005B2627"/>
    <w:rsid w:val="005B2836"/>
    <w:rsid w:val="005B2C40"/>
    <w:rsid w:val="005B2D3D"/>
    <w:rsid w:val="005B2FBD"/>
    <w:rsid w:val="005B31FC"/>
    <w:rsid w:val="005B33B6"/>
    <w:rsid w:val="005B37D1"/>
    <w:rsid w:val="005B380D"/>
    <w:rsid w:val="005B3B14"/>
    <w:rsid w:val="005B3C66"/>
    <w:rsid w:val="005B3D11"/>
    <w:rsid w:val="005B4093"/>
    <w:rsid w:val="005B40D3"/>
    <w:rsid w:val="005B411C"/>
    <w:rsid w:val="005B4181"/>
    <w:rsid w:val="005B42BC"/>
    <w:rsid w:val="005B432D"/>
    <w:rsid w:val="005B478A"/>
    <w:rsid w:val="005B4BA3"/>
    <w:rsid w:val="005B4CA4"/>
    <w:rsid w:val="005B4E4D"/>
    <w:rsid w:val="005B4EE9"/>
    <w:rsid w:val="005B4F37"/>
    <w:rsid w:val="005B5247"/>
    <w:rsid w:val="005B529B"/>
    <w:rsid w:val="005B53E8"/>
    <w:rsid w:val="005B5538"/>
    <w:rsid w:val="005B564C"/>
    <w:rsid w:val="005B5D5F"/>
    <w:rsid w:val="005B5D7A"/>
    <w:rsid w:val="005B5F1D"/>
    <w:rsid w:val="005B5F94"/>
    <w:rsid w:val="005B5FE8"/>
    <w:rsid w:val="005B60FC"/>
    <w:rsid w:val="005B62E4"/>
    <w:rsid w:val="005B63CD"/>
    <w:rsid w:val="005B6505"/>
    <w:rsid w:val="005B6522"/>
    <w:rsid w:val="005B655D"/>
    <w:rsid w:val="005B6661"/>
    <w:rsid w:val="005B668D"/>
    <w:rsid w:val="005B67C0"/>
    <w:rsid w:val="005B6894"/>
    <w:rsid w:val="005B69E6"/>
    <w:rsid w:val="005B6B61"/>
    <w:rsid w:val="005B6B8C"/>
    <w:rsid w:val="005B6C18"/>
    <w:rsid w:val="005B6CAC"/>
    <w:rsid w:val="005B6E5D"/>
    <w:rsid w:val="005B6ED8"/>
    <w:rsid w:val="005B6F74"/>
    <w:rsid w:val="005B6FEC"/>
    <w:rsid w:val="005B6FF5"/>
    <w:rsid w:val="005B6FFA"/>
    <w:rsid w:val="005B706B"/>
    <w:rsid w:val="005B7121"/>
    <w:rsid w:val="005B7243"/>
    <w:rsid w:val="005B725E"/>
    <w:rsid w:val="005B74F3"/>
    <w:rsid w:val="005B7583"/>
    <w:rsid w:val="005B763D"/>
    <w:rsid w:val="005B779C"/>
    <w:rsid w:val="005B78AE"/>
    <w:rsid w:val="005B7B2E"/>
    <w:rsid w:val="005B7B47"/>
    <w:rsid w:val="005B7C9F"/>
    <w:rsid w:val="005C01A8"/>
    <w:rsid w:val="005C031C"/>
    <w:rsid w:val="005C03CB"/>
    <w:rsid w:val="005C06F8"/>
    <w:rsid w:val="005C06FC"/>
    <w:rsid w:val="005C072C"/>
    <w:rsid w:val="005C0BFD"/>
    <w:rsid w:val="005C0D40"/>
    <w:rsid w:val="005C0D61"/>
    <w:rsid w:val="005C0E15"/>
    <w:rsid w:val="005C1023"/>
    <w:rsid w:val="005C1084"/>
    <w:rsid w:val="005C10C3"/>
    <w:rsid w:val="005C1199"/>
    <w:rsid w:val="005C11FB"/>
    <w:rsid w:val="005C1201"/>
    <w:rsid w:val="005C1251"/>
    <w:rsid w:val="005C1384"/>
    <w:rsid w:val="005C13B2"/>
    <w:rsid w:val="005C1500"/>
    <w:rsid w:val="005C17A1"/>
    <w:rsid w:val="005C17C0"/>
    <w:rsid w:val="005C1815"/>
    <w:rsid w:val="005C18EC"/>
    <w:rsid w:val="005C1ADF"/>
    <w:rsid w:val="005C1AEC"/>
    <w:rsid w:val="005C1C8B"/>
    <w:rsid w:val="005C1DBA"/>
    <w:rsid w:val="005C1E7A"/>
    <w:rsid w:val="005C1FC1"/>
    <w:rsid w:val="005C20D7"/>
    <w:rsid w:val="005C2482"/>
    <w:rsid w:val="005C252B"/>
    <w:rsid w:val="005C262A"/>
    <w:rsid w:val="005C26A4"/>
    <w:rsid w:val="005C27E3"/>
    <w:rsid w:val="005C2811"/>
    <w:rsid w:val="005C2CE1"/>
    <w:rsid w:val="005C2D87"/>
    <w:rsid w:val="005C33AA"/>
    <w:rsid w:val="005C3423"/>
    <w:rsid w:val="005C37CB"/>
    <w:rsid w:val="005C37FC"/>
    <w:rsid w:val="005C3957"/>
    <w:rsid w:val="005C3B39"/>
    <w:rsid w:val="005C3BE8"/>
    <w:rsid w:val="005C3EF8"/>
    <w:rsid w:val="005C3FDB"/>
    <w:rsid w:val="005C3FE3"/>
    <w:rsid w:val="005C43C9"/>
    <w:rsid w:val="005C43CC"/>
    <w:rsid w:val="005C459C"/>
    <w:rsid w:val="005C4689"/>
    <w:rsid w:val="005C475A"/>
    <w:rsid w:val="005C49F0"/>
    <w:rsid w:val="005C4A46"/>
    <w:rsid w:val="005C4C11"/>
    <w:rsid w:val="005C4C8B"/>
    <w:rsid w:val="005C4E7C"/>
    <w:rsid w:val="005C5132"/>
    <w:rsid w:val="005C52E3"/>
    <w:rsid w:val="005C5350"/>
    <w:rsid w:val="005C54C9"/>
    <w:rsid w:val="005C5580"/>
    <w:rsid w:val="005C58F0"/>
    <w:rsid w:val="005C5A0F"/>
    <w:rsid w:val="005C5A91"/>
    <w:rsid w:val="005C5AAE"/>
    <w:rsid w:val="005C5AB2"/>
    <w:rsid w:val="005C5AD5"/>
    <w:rsid w:val="005C5B4B"/>
    <w:rsid w:val="005C5C95"/>
    <w:rsid w:val="005C6113"/>
    <w:rsid w:val="005C614F"/>
    <w:rsid w:val="005C697F"/>
    <w:rsid w:val="005C6CE5"/>
    <w:rsid w:val="005C6EF3"/>
    <w:rsid w:val="005C6EF5"/>
    <w:rsid w:val="005C6F8C"/>
    <w:rsid w:val="005C7187"/>
    <w:rsid w:val="005C71FB"/>
    <w:rsid w:val="005C72B0"/>
    <w:rsid w:val="005C732D"/>
    <w:rsid w:val="005C7390"/>
    <w:rsid w:val="005C74C5"/>
    <w:rsid w:val="005C750D"/>
    <w:rsid w:val="005C76CC"/>
    <w:rsid w:val="005C7775"/>
    <w:rsid w:val="005C78BD"/>
    <w:rsid w:val="005C7DB6"/>
    <w:rsid w:val="005C7DD1"/>
    <w:rsid w:val="005C7E22"/>
    <w:rsid w:val="005C7EAF"/>
    <w:rsid w:val="005C7F2A"/>
    <w:rsid w:val="005C7FCF"/>
    <w:rsid w:val="005D00AF"/>
    <w:rsid w:val="005D02FB"/>
    <w:rsid w:val="005D07F3"/>
    <w:rsid w:val="005D0803"/>
    <w:rsid w:val="005D080C"/>
    <w:rsid w:val="005D08DF"/>
    <w:rsid w:val="005D0E58"/>
    <w:rsid w:val="005D0EFF"/>
    <w:rsid w:val="005D1013"/>
    <w:rsid w:val="005D13C6"/>
    <w:rsid w:val="005D142C"/>
    <w:rsid w:val="005D1457"/>
    <w:rsid w:val="005D14B9"/>
    <w:rsid w:val="005D153A"/>
    <w:rsid w:val="005D1620"/>
    <w:rsid w:val="005D16CA"/>
    <w:rsid w:val="005D1864"/>
    <w:rsid w:val="005D1A50"/>
    <w:rsid w:val="005D1A83"/>
    <w:rsid w:val="005D1A9F"/>
    <w:rsid w:val="005D1C6D"/>
    <w:rsid w:val="005D1C71"/>
    <w:rsid w:val="005D1CC2"/>
    <w:rsid w:val="005D1D91"/>
    <w:rsid w:val="005D1F7B"/>
    <w:rsid w:val="005D1FDA"/>
    <w:rsid w:val="005D203A"/>
    <w:rsid w:val="005D205E"/>
    <w:rsid w:val="005D24D7"/>
    <w:rsid w:val="005D2847"/>
    <w:rsid w:val="005D28CC"/>
    <w:rsid w:val="005D292F"/>
    <w:rsid w:val="005D2936"/>
    <w:rsid w:val="005D2986"/>
    <w:rsid w:val="005D2A50"/>
    <w:rsid w:val="005D2A87"/>
    <w:rsid w:val="005D2B69"/>
    <w:rsid w:val="005D2F0B"/>
    <w:rsid w:val="005D3264"/>
    <w:rsid w:val="005D3432"/>
    <w:rsid w:val="005D3442"/>
    <w:rsid w:val="005D34BD"/>
    <w:rsid w:val="005D34EA"/>
    <w:rsid w:val="005D368B"/>
    <w:rsid w:val="005D3921"/>
    <w:rsid w:val="005D3A74"/>
    <w:rsid w:val="005D3B09"/>
    <w:rsid w:val="005D3CA6"/>
    <w:rsid w:val="005D3E8E"/>
    <w:rsid w:val="005D3EFF"/>
    <w:rsid w:val="005D3F39"/>
    <w:rsid w:val="005D40A9"/>
    <w:rsid w:val="005D41C6"/>
    <w:rsid w:val="005D42BD"/>
    <w:rsid w:val="005D44E7"/>
    <w:rsid w:val="005D45B5"/>
    <w:rsid w:val="005D4661"/>
    <w:rsid w:val="005D47EE"/>
    <w:rsid w:val="005D48AC"/>
    <w:rsid w:val="005D4997"/>
    <w:rsid w:val="005D4C57"/>
    <w:rsid w:val="005D4DD5"/>
    <w:rsid w:val="005D4FE1"/>
    <w:rsid w:val="005D503E"/>
    <w:rsid w:val="005D5075"/>
    <w:rsid w:val="005D50C0"/>
    <w:rsid w:val="005D5221"/>
    <w:rsid w:val="005D52FA"/>
    <w:rsid w:val="005D5403"/>
    <w:rsid w:val="005D5579"/>
    <w:rsid w:val="005D5883"/>
    <w:rsid w:val="005D5C65"/>
    <w:rsid w:val="005D5DEA"/>
    <w:rsid w:val="005D600E"/>
    <w:rsid w:val="005D600F"/>
    <w:rsid w:val="005D6013"/>
    <w:rsid w:val="005D6049"/>
    <w:rsid w:val="005D6101"/>
    <w:rsid w:val="005D6240"/>
    <w:rsid w:val="005D6596"/>
    <w:rsid w:val="005D6612"/>
    <w:rsid w:val="005D66F5"/>
    <w:rsid w:val="005D6759"/>
    <w:rsid w:val="005D697E"/>
    <w:rsid w:val="005D6B18"/>
    <w:rsid w:val="005D6D99"/>
    <w:rsid w:val="005D6EF8"/>
    <w:rsid w:val="005D7065"/>
    <w:rsid w:val="005D7088"/>
    <w:rsid w:val="005D712C"/>
    <w:rsid w:val="005D7548"/>
    <w:rsid w:val="005D75EA"/>
    <w:rsid w:val="005D76AE"/>
    <w:rsid w:val="005D76DE"/>
    <w:rsid w:val="005D7713"/>
    <w:rsid w:val="005D777B"/>
    <w:rsid w:val="005D77DE"/>
    <w:rsid w:val="005D7AC6"/>
    <w:rsid w:val="005D7D14"/>
    <w:rsid w:val="005D7D29"/>
    <w:rsid w:val="005D7EBF"/>
    <w:rsid w:val="005E00F3"/>
    <w:rsid w:val="005E016D"/>
    <w:rsid w:val="005E0337"/>
    <w:rsid w:val="005E05A1"/>
    <w:rsid w:val="005E0842"/>
    <w:rsid w:val="005E097A"/>
    <w:rsid w:val="005E09E4"/>
    <w:rsid w:val="005E0A6E"/>
    <w:rsid w:val="005E0D78"/>
    <w:rsid w:val="005E100D"/>
    <w:rsid w:val="005E1258"/>
    <w:rsid w:val="005E1473"/>
    <w:rsid w:val="005E14E2"/>
    <w:rsid w:val="005E1637"/>
    <w:rsid w:val="005E16CD"/>
    <w:rsid w:val="005E16FD"/>
    <w:rsid w:val="005E170C"/>
    <w:rsid w:val="005E1726"/>
    <w:rsid w:val="005E175F"/>
    <w:rsid w:val="005E1B44"/>
    <w:rsid w:val="005E1DAB"/>
    <w:rsid w:val="005E235A"/>
    <w:rsid w:val="005E2513"/>
    <w:rsid w:val="005E25C0"/>
    <w:rsid w:val="005E2637"/>
    <w:rsid w:val="005E2656"/>
    <w:rsid w:val="005E266F"/>
    <w:rsid w:val="005E2693"/>
    <w:rsid w:val="005E2697"/>
    <w:rsid w:val="005E2BCF"/>
    <w:rsid w:val="005E2C37"/>
    <w:rsid w:val="005E2F21"/>
    <w:rsid w:val="005E2FA1"/>
    <w:rsid w:val="005E2FA6"/>
    <w:rsid w:val="005E348B"/>
    <w:rsid w:val="005E365D"/>
    <w:rsid w:val="005E37AC"/>
    <w:rsid w:val="005E3811"/>
    <w:rsid w:val="005E38DE"/>
    <w:rsid w:val="005E39E2"/>
    <w:rsid w:val="005E3A02"/>
    <w:rsid w:val="005E3AB7"/>
    <w:rsid w:val="005E3B4C"/>
    <w:rsid w:val="005E3ECB"/>
    <w:rsid w:val="005E3F34"/>
    <w:rsid w:val="005E407F"/>
    <w:rsid w:val="005E421C"/>
    <w:rsid w:val="005E4241"/>
    <w:rsid w:val="005E4319"/>
    <w:rsid w:val="005E4504"/>
    <w:rsid w:val="005E4CC1"/>
    <w:rsid w:val="005E4CDD"/>
    <w:rsid w:val="005E4DF5"/>
    <w:rsid w:val="005E4E99"/>
    <w:rsid w:val="005E4EF0"/>
    <w:rsid w:val="005E4F80"/>
    <w:rsid w:val="005E50E8"/>
    <w:rsid w:val="005E53B3"/>
    <w:rsid w:val="005E54A8"/>
    <w:rsid w:val="005E5614"/>
    <w:rsid w:val="005E56FC"/>
    <w:rsid w:val="005E5734"/>
    <w:rsid w:val="005E5741"/>
    <w:rsid w:val="005E5860"/>
    <w:rsid w:val="005E58ED"/>
    <w:rsid w:val="005E5980"/>
    <w:rsid w:val="005E5B38"/>
    <w:rsid w:val="005E5EC3"/>
    <w:rsid w:val="005E5ED0"/>
    <w:rsid w:val="005E602B"/>
    <w:rsid w:val="005E6150"/>
    <w:rsid w:val="005E61B6"/>
    <w:rsid w:val="005E61C2"/>
    <w:rsid w:val="005E62E6"/>
    <w:rsid w:val="005E63C7"/>
    <w:rsid w:val="005E6487"/>
    <w:rsid w:val="005E64FA"/>
    <w:rsid w:val="005E651F"/>
    <w:rsid w:val="005E664C"/>
    <w:rsid w:val="005E66CC"/>
    <w:rsid w:val="005E66D1"/>
    <w:rsid w:val="005E68E1"/>
    <w:rsid w:val="005E6928"/>
    <w:rsid w:val="005E6971"/>
    <w:rsid w:val="005E6D48"/>
    <w:rsid w:val="005E6D4E"/>
    <w:rsid w:val="005E6DD4"/>
    <w:rsid w:val="005E70BF"/>
    <w:rsid w:val="005E70FB"/>
    <w:rsid w:val="005E72C2"/>
    <w:rsid w:val="005E73CE"/>
    <w:rsid w:val="005E76A1"/>
    <w:rsid w:val="005E77E3"/>
    <w:rsid w:val="005E782C"/>
    <w:rsid w:val="005E7921"/>
    <w:rsid w:val="005E7B4A"/>
    <w:rsid w:val="005E7CA5"/>
    <w:rsid w:val="005F010F"/>
    <w:rsid w:val="005F02A1"/>
    <w:rsid w:val="005F032D"/>
    <w:rsid w:val="005F0342"/>
    <w:rsid w:val="005F040D"/>
    <w:rsid w:val="005F0559"/>
    <w:rsid w:val="005F0616"/>
    <w:rsid w:val="005F0727"/>
    <w:rsid w:val="005F074F"/>
    <w:rsid w:val="005F077C"/>
    <w:rsid w:val="005F07DC"/>
    <w:rsid w:val="005F09C8"/>
    <w:rsid w:val="005F0A33"/>
    <w:rsid w:val="005F0B1A"/>
    <w:rsid w:val="005F0C34"/>
    <w:rsid w:val="005F0EAB"/>
    <w:rsid w:val="005F0FB4"/>
    <w:rsid w:val="005F11A5"/>
    <w:rsid w:val="005F13BD"/>
    <w:rsid w:val="005F1572"/>
    <w:rsid w:val="005F17AD"/>
    <w:rsid w:val="005F1859"/>
    <w:rsid w:val="005F191C"/>
    <w:rsid w:val="005F1A8D"/>
    <w:rsid w:val="005F1AC8"/>
    <w:rsid w:val="005F1B25"/>
    <w:rsid w:val="005F1C29"/>
    <w:rsid w:val="005F1F72"/>
    <w:rsid w:val="005F21AF"/>
    <w:rsid w:val="005F21FB"/>
    <w:rsid w:val="005F22BC"/>
    <w:rsid w:val="005F23D2"/>
    <w:rsid w:val="005F257C"/>
    <w:rsid w:val="005F25E2"/>
    <w:rsid w:val="005F266D"/>
    <w:rsid w:val="005F27E3"/>
    <w:rsid w:val="005F2B4F"/>
    <w:rsid w:val="005F2B6B"/>
    <w:rsid w:val="005F2DC8"/>
    <w:rsid w:val="005F2E26"/>
    <w:rsid w:val="005F3133"/>
    <w:rsid w:val="005F347F"/>
    <w:rsid w:val="005F3483"/>
    <w:rsid w:val="005F35AA"/>
    <w:rsid w:val="005F37E2"/>
    <w:rsid w:val="005F38CE"/>
    <w:rsid w:val="005F3B2F"/>
    <w:rsid w:val="005F3CFD"/>
    <w:rsid w:val="005F3F1F"/>
    <w:rsid w:val="005F4043"/>
    <w:rsid w:val="005F404F"/>
    <w:rsid w:val="005F40DE"/>
    <w:rsid w:val="005F40FE"/>
    <w:rsid w:val="005F40FF"/>
    <w:rsid w:val="005F433B"/>
    <w:rsid w:val="005F43BB"/>
    <w:rsid w:val="005F4421"/>
    <w:rsid w:val="005F44BF"/>
    <w:rsid w:val="005F4758"/>
    <w:rsid w:val="005F4927"/>
    <w:rsid w:val="005F4954"/>
    <w:rsid w:val="005F49F4"/>
    <w:rsid w:val="005F4A2A"/>
    <w:rsid w:val="005F4A7C"/>
    <w:rsid w:val="005F4A9E"/>
    <w:rsid w:val="005F4ABD"/>
    <w:rsid w:val="005F4B7D"/>
    <w:rsid w:val="005F4BCB"/>
    <w:rsid w:val="005F4CE6"/>
    <w:rsid w:val="005F4D34"/>
    <w:rsid w:val="005F4DB6"/>
    <w:rsid w:val="005F4E65"/>
    <w:rsid w:val="005F4F77"/>
    <w:rsid w:val="005F50E3"/>
    <w:rsid w:val="005F5356"/>
    <w:rsid w:val="005F557D"/>
    <w:rsid w:val="005F55B9"/>
    <w:rsid w:val="005F56F3"/>
    <w:rsid w:val="005F570C"/>
    <w:rsid w:val="005F572A"/>
    <w:rsid w:val="005F5797"/>
    <w:rsid w:val="005F58B8"/>
    <w:rsid w:val="005F598D"/>
    <w:rsid w:val="005F59E4"/>
    <w:rsid w:val="005F59E5"/>
    <w:rsid w:val="005F5A0F"/>
    <w:rsid w:val="005F5D62"/>
    <w:rsid w:val="005F5EDF"/>
    <w:rsid w:val="005F5F45"/>
    <w:rsid w:val="005F6035"/>
    <w:rsid w:val="005F6096"/>
    <w:rsid w:val="005F61C5"/>
    <w:rsid w:val="005F6333"/>
    <w:rsid w:val="005F63CC"/>
    <w:rsid w:val="005F63D8"/>
    <w:rsid w:val="005F64FB"/>
    <w:rsid w:val="005F67EC"/>
    <w:rsid w:val="005F68BD"/>
    <w:rsid w:val="005F6904"/>
    <w:rsid w:val="005F6A3F"/>
    <w:rsid w:val="005F6B66"/>
    <w:rsid w:val="005F6BBB"/>
    <w:rsid w:val="005F6C28"/>
    <w:rsid w:val="005F6C45"/>
    <w:rsid w:val="005F71EC"/>
    <w:rsid w:val="005F7226"/>
    <w:rsid w:val="005F729D"/>
    <w:rsid w:val="005F7484"/>
    <w:rsid w:val="005F7675"/>
    <w:rsid w:val="005F77DC"/>
    <w:rsid w:val="005F7804"/>
    <w:rsid w:val="005F789F"/>
    <w:rsid w:val="005F78FC"/>
    <w:rsid w:val="005F7A0F"/>
    <w:rsid w:val="005F7A26"/>
    <w:rsid w:val="005F7B9B"/>
    <w:rsid w:val="005F7F39"/>
    <w:rsid w:val="006000CD"/>
    <w:rsid w:val="006000FB"/>
    <w:rsid w:val="00600265"/>
    <w:rsid w:val="0060067D"/>
    <w:rsid w:val="006006E4"/>
    <w:rsid w:val="00600754"/>
    <w:rsid w:val="00600B1E"/>
    <w:rsid w:val="00600D88"/>
    <w:rsid w:val="00600FC9"/>
    <w:rsid w:val="0060119A"/>
    <w:rsid w:val="0060119E"/>
    <w:rsid w:val="0060136E"/>
    <w:rsid w:val="00601393"/>
    <w:rsid w:val="006013E5"/>
    <w:rsid w:val="00601449"/>
    <w:rsid w:val="00601AC3"/>
    <w:rsid w:val="00601ED2"/>
    <w:rsid w:val="006022C1"/>
    <w:rsid w:val="006022D0"/>
    <w:rsid w:val="0060251E"/>
    <w:rsid w:val="006026CD"/>
    <w:rsid w:val="00602905"/>
    <w:rsid w:val="00602A68"/>
    <w:rsid w:val="00602C95"/>
    <w:rsid w:val="00602DDE"/>
    <w:rsid w:val="00602E0C"/>
    <w:rsid w:val="00602F6C"/>
    <w:rsid w:val="0060339B"/>
    <w:rsid w:val="006034DC"/>
    <w:rsid w:val="00603552"/>
    <w:rsid w:val="0060360C"/>
    <w:rsid w:val="00603629"/>
    <w:rsid w:val="00603648"/>
    <w:rsid w:val="0060370B"/>
    <w:rsid w:val="006038BA"/>
    <w:rsid w:val="006038C5"/>
    <w:rsid w:val="00603B70"/>
    <w:rsid w:val="00603C6E"/>
    <w:rsid w:val="00603DFE"/>
    <w:rsid w:val="00603EDF"/>
    <w:rsid w:val="00604188"/>
    <w:rsid w:val="006041C6"/>
    <w:rsid w:val="00604210"/>
    <w:rsid w:val="00604335"/>
    <w:rsid w:val="0060465C"/>
    <w:rsid w:val="006046E4"/>
    <w:rsid w:val="006047CC"/>
    <w:rsid w:val="00604BC5"/>
    <w:rsid w:val="00604BFB"/>
    <w:rsid w:val="00604D85"/>
    <w:rsid w:val="00604DAC"/>
    <w:rsid w:val="00604F50"/>
    <w:rsid w:val="00604FA3"/>
    <w:rsid w:val="00604FFA"/>
    <w:rsid w:val="00605037"/>
    <w:rsid w:val="0060515C"/>
    <w:rsid w:val="006051CE"/>
    <w:rsid w:val="006052CF"/>
    <w:rsid w:val="00605590"/>
    <w:rsid w:val="0060577C"/>
    <w:rsid w:val="006057C7"/>
    <w:rsid w:val="006058B4"/>
    <w:rsid w:val="006059B6"/>
    <w:rsid w:val="00605E04"/>
    <w:rsid w:val="00605E0D"/>
    <w:rsid w:val="00605E1D"/>
    <w:rsid w:val="00605F3E"/>
    <w:rsid w:val="00605F9D"/>
    <w:rsid w:val="00605FFE"/>
    <w:rsid w:val="006063F2"/>
    <w:rsid w:val="00606451"/>
    <w:rsid w:val="0060650C"/>
    <w:rsid w:val="00606525"/>
    <w:rsid w:val="00606955"/>
    <w:rsid w:val="00606B37"/>
    <w:rsid w:val="00606B49"/>
    <w:rsid w:val="00606FF6"/>
    <w:rsid w:val="006071B5"/>
    <w:rsid w:val="00607252"/>
    <w:rsid w:val="00607579"/>
    <w:rsid w:val="00607624"/>
    <w:rsid w:val="0060777E"/>
    <w:rsid w:val="00607814"/>
    <w:rsid w:val="00607C2E"/>
    <w:rsid w:val="00607C54"/>
    <w:rsid w:val="00607C94"/>
    <w:rsid w:val="00607EB2"/>
    <w:rsid w:val="00607FC5"/>
    <w:rsid w:val="00610027"/>
    <w:rsid w:val="00610105"/>
    <w:rsid w:val="00610137"/>
    <w:rsid w:val="0061038C"/>
    <w:rsid w:val="0061065D"/>
    <w:rsid w:val="00610670"/>
    <w:rsid w:val="006106C1"/>
    <w:rsid w:val="006106F4"/>
    <w:rsid w:val="00610B24"/>
    <w:rsid w:val="00610B28"/>
    <w:rsid w:val="00610E4B"/>
    <w:rsid w:val="00610F52"/>
    <w:rsid w:val="0061124A"/>
    <w:rsid w:val="006112A0"/>
    <w:rsid w:val="006112D0"/>
    <w:rsid w:val="006115D2"/>
    <w:rsid w:val="0061167D"/>
    <w:rsid w:val="0061169D"/>
    <w:rsid w:val="00611737"/>
    <w:rsid w:val="00611752"/>
    <w:rsid w:val="006117C9"/>
    <w:rsid w:val="00611996"/>
    <w:rsid w:val="006119B3"/>
    <w:rsid w:val="00611A1D"/>
    <w:rsid w:val="00611B07"/>
    <w:rsid w:val="00611C1D"/>
    <w:rsid w:val="00611C60"/>
    <w:rsid w:val="00611D63"/>
    <w:rsid w:val="00611F0D"/>
    <w:rsid w:val="00612019"/>
    <w:rsid w:val="00612131"/>
    <w:rsid w:val="0061232F"/>
    <w:rsid w:val="00612388"/>
    <w:rsid w:val="0061249E"/>
    <w:rsid w:val="006126E2"/>
    <w:rsid w:val="00612904"/>
    <w:rsid w:val="00612A95"/>
    <w:rsid w:val="00612E32"/>
    <w:rsid w:val="00612E9B"/>
    <w:rsid w:val="00612EA5"/>
    <w:rsid w:val="00612FDD"/>
    <w:rsid w:val="006132FD"/>
    <w:rsid w:val="006133A6"/>
    <w:rsid w:val="006134CA"/>
    <w:rsid w:val="006134EB"/>
    <w:rsid w:val="006136FB"/>
    <w:rsid w:val="006137EF"/>
    <w:rsid w:val="00613846"/>
    <w:rsid w:val="00613B4C"/>
    <w:rsid w:val="00613ECE"/>
    <w:rsid w:val="00613F10"/>
    <w:rsid w:val="00613F52"/>
    <w:rsid w:val="00614487"/>
    <w:rsid w:val="00614569"/>
    <w:rsid w:val="0061461E"/>
    <w:rsid w:val="00614646"/>
    <w:rsid w:val="00614741"/>
    <w:rsid w:val="00614865"/>
    <w:rsid w:val="006148C3"/>
    <w:rsid w:val="0061494C"/>
    <w:rsid w:val="00614B35"/>
    <w:rsid w:val="00614B42"/>
    <w:rsid w:val="00614DE8"/>
    <w:rsid w:val="00614EC3"/>
    <w:rsid w:val="00615077"/>
    <w:rsid w:val="006152D6"/>
    <w:rsid w:val="0061537F"/>
    <w:rsid w:val="006153F6"/>
    <w:rsid w:val="006154EE"/>
    <w:rsid w:val="00615686"/>
    <w:rsid w:val="006156DE"/>
    <w:rsid w:val="006158A4"/>
    <w:rsid w:val="0061592B"/>
    <w:rsid w:val="00615A19"/>
    <w:rsid w:val="00615A35"/>
    <w:rsid w:val="00615C73"/>
    <w:rsid w:val="00615E48"/>
    <w:rsid w:val="006161CA"/>
    <w:rsid w:val="0061638A"/>
    <w:rsid w:val="0061652C"/>
    <w:rsid w:val="006165A9"/>
    <w:rsid w:val="00616755"/>
    <w:rsid w:val="006167E3"/>
    <w:rsid w:val="00616B00"/>
    <w:rsid w:val="00616B8C"/>
    <w:rsid w:val="00616BC0"/>
    <w:rsid w:val="00616C4A"/>
    <w:rsid w:val="006170FF"/>
    <w:rsid w:val="00617108"/>
    <w:rsid w:val="00617123"/>
    <w:rsid w:val="00617211"/>
    <w:rsid w:val="00617264"/>
    <w:rsid w:val="0061750E"/>
    <w:rsid w:val="006175A7"/>
    <w:rsid w:val="00617652"/>
    <w:rsid w:val="0061777D"/>
    <w:rsid w:val="0061784D"/>
    <w:rsid w:val="00617999"/>
    <w:rsid w:val="00617B8B"/>
    <w:rsid w:val="00617C18"/>
    <w:rsid w:val="00617C50"/>
    <w:rsid w:val="00617F79"/>
    <w:rsid w:val="00620231"/>
    <w:rsid w:val="00620524"/>
    <w:rsid w:val="006207B2"/>
    <w:rsid w:val="006207ED"/>
    <w:rsid w:val="00620AFF"/>
    <w:rsid w:val="00620B98"/>
    <w:rsid w:val="00620EE7"/>
    <w:rsid w:val="00620F1E"/>
    <w:rsid w:val="00620F46"/>
    <w:rsid w:val="006210DF"/>
    <w:rsid w:val="00621346"/>
    <w:rsid w:val="0062140E"/>
    <w:rsid w:val="00621753"/>
    <w:rsid w:val="006218A1"/>
    <w:rsid w:val="00621D83"/>
    <w:rsid w:val="00621E73"/>
    <w:rsid w:val="00621F29"/>
    <w:rsid w:val="00622143"/>
    <w:rsid w:val="006222FB"/>
    <w:rsid w:val="00622388"/>
    <w:rsid w:val="006225C9"/>
    <w:rsid w:val="006225FF"/>
    <w:rsid w:val="00622669"/>
    <w:rsid w:val="0062286A"/>
    <w:rsid w:val="006228D2"/>
    <w:rsid w:val="00622B1A"/>
    <w:rsid w:val="00622E0B"/>
    <w:rsid w:val="00622E5B"/>
    <w:rsid w:val="00622EFD"/>
    <w:rsid w:val="00622F20"/>
    <w:rsid w:val="00622FE1"/>
    <w:rsid w:val="006230E8"/>
    <w:rsid w:val="0062325B"/>
    <w:rsid w:val="0062336B"/>
    <w:rsid w:val="00623438"/>
    <w:rsid w:val="00623590"/>
    <w:rsid w:val="00623669"/>
    <w:rsid w:val="0062369A"/>
    <w:rsid w:val="006237DE"/>
    <w:rsid w:val="00623960"/>
    <w:rsid w:val="006239FD"/>
    <w:rsid w:val="00623A7C"/>
    <w:rsid w:val="00623CA2"/>
    <w:rsid w:val="00623DCC"/>
    <w:rsid w:val="00623F3E"/>
    <w:rsid w:val="006240FF"/>
    <w:rsid w:val="0062416C"/>
    <w:rsid w:val="006241BC"/>
    <w:rsid w:val="00624470"/>
    <w:rsid w:val="006244B8"/>
    <w:rsid w:val="00624510"/>
    <w:rsid w:val="006246F3"/>
    <w:rsid w:val="0062488E"/>
    <w:rsid w:val="006249B1"/>
    <w:rsid w:val="00624AAF"/>
    <w:rsid w:val="00624CAC"/>
    <w:rsid w:val="00624E32"/>
    <w:rsid w:val="00624EE3"/>
    <w:rsid w:val="00624F4E"/>
    <w:rsid w:val="00624F7C"/>
    <w:rsid w:val="0062506A"/>
    <w:rsid w:val="0062525E"/>
    <w:rsid w:val="006253B7"/>
    <w:rsid w:val="00625418"/>
    <w:rsid w:val="00625547"/>
    <w:rsid w:val="00625549"/>
    <w:rsid w:val="006256E7"/>
    <w:rsid w:val="006257DE"/>
    <w:rsid w:val="006257E4"/>
    <w:rsid w:val="00625850"/>
    <w:rsid w:val="00625A35"/>
    <w:rsid w:val="00625C1A"/>
    <w:rsid w:val="00625C77"/>
    <w:rsid w:val="00625CE5"/>
    <w:rsid w:val="00625EE9"/>
    <w:rsid w:val="00626071"/>
    <w:rsid w:val="00626076"/>
    <w:rsid w:val="00626095"/>
    <w:rsid w:val="00626216"/>
    <w:rsid w:val="006264B3"/>
    <w:rsid w:val="00626652"/>
    <w:rsid w:val="0062675C"/>
    <w:rsid w:val="006267E9"/>
    <w:rsid w:val="00626905"/>
    <w:rsid w:val="00626C37"/>
    <w:rsid w:val="00626C39"/>
    <w:rsid w:val="00626F07"/>
    <w:rsid w:val="00626F1A"/>
    <w:rsid w:val="00626FCF"/>
    <w:rsid w:val="0062707D"/>
    <w:rsid w:val="00627159"/>
    <w:rsid w:val="006274F5"/>
    <w:rsid w:val="006277BF"/>
    <w:rsid w:val="00627944"/>
    <w:rsid w:val="00627BB1"/>
    <w:rsid w:val="00627BF8"/>
    <w:rsid w:val="0063001E"/>
    <w:rsid w:val="00630142"/>
    <w:rsid w:val="0063019E"/>
    <w:rsid w:val="00630256"/>
    <w:rsid w:val="0063030B"/>
    <w:rsid w:val="0063040B"/>
    <w:rsid w:val="00630566"/>
    <w:rsid w:val="0063071F"/>
    <w:rsid w:val="00630749"/>
    <w:rsid w:val="0063075D"/>
    <w:rsid w:val="006309CA"/>
    <w:rsid w:val="006309D8"/>
    <w:rsid w:val="00630C5E"/>
    <w:rsid w:val="00630CFB"/>
    <w:rsid w:val="00630F4F"/>
    <w:rsid w:val="00630FDD"/>
    <w:rsid w:val="00631056"/>
    <w:rsid w:val="006312B1"/>
    <w:rsid w:val="00631552"/>
    <w:rsid w:val="00631638"/>
    <w:rsid w:val="00631655"/>
    <w:rsid w:val="00631664"/>
    <w:rsid w:val="006316F1"/>
    <w:rsid w:val="00631833"/>
    <w:rsid w:val="00631863"/>
    <w:rsid w:val="00631873"/>
    <w:rsid w:val="00631891"/>
    <w:rsid w:val="006318C0"/>
    <w:rsid w:val="0063199E"/>
    <w:rsid w:val="00631BCE"/>
    <w:rsid w:val="00631DC7"/>
    <w:rsid w:val="00631E00"/>
    <w:rsid w:val="00631E43"/>
    <w:rsid w:val="00631EE9"/>
    <w:rsid w:val="00632111"/>
    <w:rsid w:val="006321BD"/>
    <w:rsid w:val="00632318"/>
    <w:rsid w:val="006323AD"/>
    <w:rsid w:val="00632459"/>
    <w:rsid w:val="006324BB"/>
    <w:rsid w:val="0063251C"/>
    <w:rsid w:val="006326DF"/>
    <w:rsid w:val="0063276D"/>
    <w:rsid w:val="006327CF"/>
    <w:rsid w:val="00632A61"/>
    <w:rsid w:val="00632B0E"/>
    <w:rsid w:val="00632E50"/>
    <w:rsid w:val="00632FD8"/>
    <w:rsid w:val="006334AC"/>
    <w:rsid w:val="006334D0"/>
    <w:rsid w:val="0063369E"/>
    <w:rsid w:val="0063377A"/>
    <w:rsid w:val="00633C36"/>
    <w:rsid w:val="00633C83"/>
    <w:rsid w:val="00633CC2"/>
    <w:rsid w:val="00633D46"/>
    <w:rsid w:val="00633DBE"/>
    <w:rsid w:val="0063426D"/>
    <w:rsid w:val="0063440B"/>
    <w:rsid w:val="0063456F"/>
    <w:rsid w:val="0063461D"/>
    <w:rsid w:val="006346AE"/>
    <w:rsid w:val="006347E7"/>
    <w:rsid w:val="006347F4"/>
    <w:rsid w:val="006347FC"/>
    <w:rsid w:val="00634826"/>
    <w:rsid w:val="00634AA9"/>
    <w:rsid w:val="00634B42"/>
    <w:rsid w:val="00634B53"/>
    <w:rsid w:val="00634D4F"/>
    <w:rsid w:val="00634D53"/>
    <w:rsid w:val="0063501E"/>
    <w:rsid w:val="00635027"/>
    <w:rsid w:val="006353E1"/>
    <w:rsid w:val="00635560"/>
    <w:rsid w:val="006355C4"/>
    <w:rsid w:val="006355E4"/>
    <w:rsid w:val="00635CB0"/>
    <w:rsid w:val="00635D4B"/>
    <w:rsid w:val="00635DB1"/>
    <w:rsid w:val="00635DC9"/>
    <w:rsid w:val="00635F9B"/>
    <w:rsid w:val="00636284"/>
    <w:rsid w:val="006362EC"/>
    <w:rsid w:val="006363C5"/>
    <w:rsid w:val="00636486"/>
    <w:rsid w:val="006365B7"/>
    <w:rsid w:val="006365CC"/>
    <w:rsid w:val="0063660C"/>
    <w:rsid w:val="00636664"/>
    <w:rsid w:val="00636694"/>
    <w:rsid w:val="00636896"/>
    <w:rsid w:val="00636C91"/>
    <w:rsid w:val="00636EB9"/>
    <w:rsid w:val="00636EBB"/>
    <w:rsid w:val="00636FBA"/>
    <w:rsid w:val="00637170"/>
    <w:rsid w:val="00637208"/>
    <w:rsid w:val="00637219"/>
    <w:rsid w:val="006374E0"/>
    <w:rsid w:val="00637704"/>
    <w:rsid w:val="00637764"/>
    <w:rsid w:val="00637918"/>
    <w:rsid w:val="00637C38"/>
    <w:rsid w:val="00637CBA"/>
    <w:rsid w:val="00637D5E"/>
    <w:rsid w:val="00637F64"/>
    <w:rsid w:val="00640259"/>
    <w:rsid w:val="0064047E"/>
    <w:rsid w:val="00640496"/>
    <w:rsid w:val="00640576"/>
    <w:rsid w:val="0064059A"/>
    <w:rsid w:val="00640962"/>
    <w:rsid w:val="00640AC5"/>
    <w:rsid w:val="00640B1B"/>
    <w:rsid w:val="00640E7B"/>
    <w:rsid w:val="006410AF"/>
    <w:rsid w:val="006410C9"/>
    <w:rsid w:val="0064124E"/>
    <w:rsid w:val="0064126C"/>
    <w:rsid w:val="006413AA"/>
    <w:rsid w:val="00641516"/>
    <w:rsid w:val="0064160D"/>
    <w:rsid w:val="006416D2"/>
    <w:rsid w:val="006417DD"/>
    <w:rsid w:val="00641800"/>
    <w:rsid w:val="00641A83"/>
    <w:rsid w:val="00641D62"/>
    <w:rsid w:val="00641D96"/>
    <w:rsid w:val="00642054"/>
    <w:rsid w:val="00642162"/>
    <w:rsid w:val="00642176"/>
    <w:rsid w:val="006422C2"/>
    <w:rsid w:val="006423AA"/>
    <w:rsid w:val="006425CA"/>
    <w:rsid w:val="006425FA"/>
    <w:rsid w:val="0064278C"/>
    <w:rsid w:val="00642B48"/>
    <w:rsid w:val="00642CFD"/>
    <w:rsid w:val="00642E22"/>
    <w:rsid w:val="00642E37"/>
    <w:rsid w:val="00642F08"/>
    <w:rsid w:val="0064319B"/>
    <w:rsid w:val="0064319E"/>
    <w:rsid w:val="006434DC"/>
    <w:rsid w:val="006435D4"/>
    <w:rsid w:val="0064397B"/>
    <w:rsid w:val="00643A41"/>
    <w:rsid w:val="00643A74"/>
    <w:rsid w:val="00643AF4"/>
    <w:rsid w:val="00643E35"/>
    <w:rsid w:val="00644178"/>
    <w:rsid w:val="006441F6"/>
    <w:rsid w:val="0064422A"/>
    <w:rsid w:val="0064425B"/>
    <w:rsid w:val="00644685"/>
    <w:rsid w:val="006446A0"/>
    <w:rsid w:val="006447B9"/>
    <w:rsid w:val="006449F9"/>
    <w:rsid w:val="00644A7B"/>
    <w:rsid w:val="00644B8F"/>
    <w:rsid w:val="00644C24"/>
    <w:rsid w:val="00644D3A"/>
    <w:rsid w:val="00644DE9"/>
    <w:rsid w:val="00644FC4"/>
    <w:rsid w:val="00645148"/>
    <w:rsid w:val="0064516B"/>
    <w:rsid w:val="00645240"/>
    <w:rsid w:val="006452D0"/>
    <w:rsid w:val="006453C9"/>
    <w:rsid w:val="0064544E"/>
    <w:rsid w:val="00645472"/>
    <w:rsid w:val="006455AF"/>
    <w:rsid w:val="006455F8"/>
    <w:rsid w:val="00645B03"/>
    <w:rsid w:val="00645BDE"/>
    <w:rsid w:val="00645C2B"/>
    <w:rsid w:val="00645E59"/>
    <w:rsid w:val="00645F5B"/>
    <w:rsid w:val="0064603A"/>
    <w:rsid w:val="00646073"/>
    <w:rsid w:val="0064633D"/>
    <w:rsid w:val="006463BA"/>
    <w:rsid w:val="006465C3"/>
    <w:rsid w:val="0064669D"/>
    <w:rsid w:val="006466A8"/>
    <w:rsid w:val="00646837"/>
    <w:rsid w:val="00646A78"/>
    <w:rsid w:val="00646C2B"/>
    <w:rsid w:val="00646C6F"/>
    <w:rsid w:val="00646DD0"/>
    <w:rsid w:val="006470C4"/>
    <w:rsid w:val="00647163"/>
    <w:rsid w:val="0064720C"/>
    <w:rsid w:val="0064722E"/>
    <w:rsid w:val="00647279"/>
    <w:rsid w:val="0064763D"/>
    <w:rsid w:val="006478B1"/>
    <w:rsid w:val="006478C3"/>
    <w:rsid w:val="006478DF"/>
    <w:rsid w:val="00647980"/>
    <w:rsid w:val="00647A7F"/>
    <w:rsid w:val="00647AF3"/>
    <w:rsid w:val="00647C36"/>
    <w:rsid w:val="00647C5F"/>
    <w:rsid w:val="00647CC1"/>
    <w:rsid w:val="00647DED"/>
    <w:rsid w:val="00647E22"/>
    <w:rsid w:val="006501BE"/>
    <w:rsid w:val="006505A5"/>
    <w:rsid w:val="006505AB"/>
    <w:rsid w:val="0065068D"/>
    <w:rsid w:val="00650941"/>
    <w:rsid w:val="006509FF"/>
    <w:rsid w:val="00650C28"/>
    <w:rsid w:val="00650C6D"/>
    <w:rsid w:val="00650D9A"/>
    <w:rsid w:val="00650E6D"/>
    <w:rsid w:val="006510C1"/>
    <w:rsid w:val="006510CE"/>
    <w:rsid w:val="006512D6"/>
    <w:rsid w:val="0065133A"/>
    <w:rsid w:val="006517BC"/>
    <w:rsid w:val="00651812"/>
    <w:rsid w:val="0065196B"/>
    <w:rsid w:val="00651A68"/>
    <w:rsid w:val="00651BBB"/>
    <w:rsid w:val="00651C59"/>
    <w:rsid w:val="00651D74"/>
    <w:rsid w:val="00651EE8"/>
    <w:rsid w:val="006521AB"/>
    <w:rsid w:val="006522A8"/>
    <w:rsid w:val="0065238C"/>
    <w:rsid w:val="00652880"/>
    <w:rsid w:val="0065297B"/>
    <w:rsid w:val="00652994"/>
    <w:rsid w:val="00652C3A"/>
    <w:rsid w:val="00652DB7"/>
    <w:rsid w:val="00652FCE"/>
    <w:rsid w:val="0065326D"/>
    <w:rsid w:val="006533C0"/>
    <w:rsid w:val="00653440"/>
    <w:rsid w:val="00653846"/>
    <w:rsid w:val="006538A9"/>
    <w:rsid w:val="006538D7"/>
    <w:rsid w:val="0065394F"/>
    <w:rsid w:val="006539E0"/>
    <w:rsid w:val="00653B1B"/>
    <w:rsid w:val="00653CFF"/>
    <w:rsid w:val="00653E23"/>
    <w:rsid w:val="006541F5"/>
    <w:rsid w:val="00654389"/>
    <w:rsid w:val="006543BA"/>
    <w:rsid w:val="006544AB"/>
    <w:rsid w:val="00654817"/>
    <w:rsid w:val="00654926"/>
    <w:rsid w:val="00654BA8"/>
    <w:rsid w:val="00654D72"/>
    <w:rsid w:val="0065525D"/>
    <w:rsid w:val="0065527A"/>
    <w:rsid w:val="006553F3"/>
    <w:rsid w:val="006556B3"/>
    <w:rsid w:val="006556D1"/>
    <w:rsid w:val="006556D9"/>
    <w:rsid w:val="00655AD1"/>
    <w:rsid w:val="00655AEE"/>
    <w:rsid w:val="00655BB2"/>
    <w:rsid w:val="00655CE4"/>
    <w:rsid w:val="00655F5E"/>
    <w:rsid w:val="0065607A"/>
    <w:rsid w:val="0065622E"/>
    <w:rsid w:val="006564CB"/>
    <w:rsid w:val="0065654A"/>
    <w:rsid w:val="006565C0"/>
    <w:rsid w:val="006565F7"/>
    <w:rsid w:val="006566BF"/>
    <w:rsid w:val="0065687B"/>
    <w:rsid w:val="006569FE"/>
    <w:rsid w:val="00656A4A"/>
    <w:rsid w:val="00656A70"/>
    <w:rsid w:val="00656CCF"/>
    <w:rsid w:val="00656CDB"/>
    <w:rsid w:val="00656D05"/>
    <w:rsid w:val="00656DA0"/>
    <w:rsid w:val="00656EE4"/>
    <w:rsid w:val="00657035"/>
    <w:rsid w:val="00657123"/>
    <w:rsid w:val="00657189"/>
    <w:rsid w:val="0065724E"/>
    <w:rsid w:val="006573C7"/>
    <w:rsid w:val="00657502"/>
    <w:rsid w:val="006575D2"/>
    <w:rsid w:val="006576EC"/>
    <w:rsid w:val="00657777"/>
    <w:rsid w:val="00657888"/>
    <w:rsid w:val="00657950"/>
    <w:rsid w:val="00657A0F"/>
    <w:rsid w:val="00657B6A"/>
    <w:rsid w:val="00657C8A"/>
    <w:rsid w:val="00657CDE"/>
    <w:rsid w:val="00657F90"/>
    <w:rsid w:val="0066002D"/>
    <w:rsid w:val="00660040"/>
    <w:rsid w:val="006600DB"/>
    <w:rsid w:val="00660596"/>
    <w:rsid w:val="0066064E"/>
    <w:rsid w:val="0066068A"/>
    <w:rsid w:val="006606BF"/>
    <w:rsid w:val="0066091A"/>
    <w:rsid w:val="00660AAA"/>
    <w:rsid w:val="00660BF1"/>
    <w:rsid w:val="00660FEF"/>
    <w:rsid w:val="0066113E"/>
    <w:rsid w:val="006611B8"/>
    <w:rsid w:val="00661329"/>
    <w:rsid w:val="006613C0"/>
    <w:rsid w:val="006613DD"/>
    <w:rsid w:val="006613E1"/>
    <w:rsid w:val="0066158B"/>
    <w:rsid w:val="00661796"/>
    <w:rsid w:val="0066194E"/>
    <w:rsid w:val="00661C46"/>
    <w:rsid w:val="00661CC9"/>
    <w:rsid w:val="00661CD0"/>
    <w:rsid w:val="00661D39"/>
    <w:rsid w:val="00661DC6"/>
    <w:rsid w:val="0066202F"/>
    <w:rsid w:val="006622A8"/>
    <w:rsid w:val="006624E8"/>
    <w:rsid w:val="006626BE"/>
    <w:rsid w:val="006626DC"/>
    <w:rsid w:val="00662A67"/>
    <w:rsid w:val="00662AF9"/>
    <w:rsid w:val="00662B41"/>
    <w:rsid w:val="00662C07"/>
    <w:rsid w:val="00662C82"/>
    <w:rsid w:val="00662E5E"/>
    <w:rsid w:val="0066305A"/>
    <w:rsid w:val="006630FC"/>
    <w:rsid w:val="00663147"/>
    <w:rsid w:val="0066333F"/>
    <w:rsid w:val="00663344"/>
    <w:rsid w:val="0066362F"/>
    <w:rsid w:val="0066391B"/>
    <w:rsid w:val="00663C93"/>
    <w:rsid w:val="00663DFB"/>
    <w:rsid w:val="0066408F"/>
    <w:rsid w:val="00664416"/>
    <w:rsid w:val="006644DE"/>
    <w:rsid w:val="006644E1"/>
    <w:rsid w:val="006645EC"/>
    <w:rsid w:val="00664642"/>
    <w:rsid w:val="00664674"/>
    <w:rsid w:val="006647B5"/>
    <w:rsid w:val="00664C0C"/>
    <w:rsid w:val="0066506E"/>
    <w:rsid w:val="006651E5"/>
    <w:rsid w:val="006652D3"/>
    <w:rsid w:val="0066538E"/>
    <w:rsid w:val="0066540D"/>
    <w:rsid w:val="00665740"/>
    <w:rsid w:val="00665761"/>
    <w:rsid w:val="0066581C"/>
    <w:rsid w:val="00665888"/>
    <w:rsid w:val="0066616B"/>
    <w:rsid w:val="00666337"/>
    <w:rsid w:val="00666356"/>
    <w:rsid w:val="0066653C"/>
    <w:rsid w:val="006667D9"/>
    <w:rsid w:val="00666805"/>
    <w:rsid w:val="00666857"/>
    <w:rsid w:val="00666CBE"/>
    <w:rsid w:val="00666D39"/>
    <w:rsid w:val="006671AD"/>
    <w:rsid w:val="00667376"/>
    <w:rsid w:val="00667399"/>
    <w:rsid w:val="00667409"/>
    <w:rsid w:val="00667735"/>
    <w:rsid w:val="00667767"/>
    <w:rsid w:val="006679ED"/>
    <w:rsid w:val="00667B59"/>
    <w:rsid w:val="00667BC6"/>
    <w:rsid w:val="00667C3E"/>
    <w:rsid w:val="00667C95"/>
    <w:rsid w:val="00667CF3"/>
    <w:rsid w:val="00667F67"/>
    <w:rsid w:val="00667F94"/>
    <w:rsid w:val="00670005"/>
    <w:rsid w:val="00670270"/>
    <w:rsid w:val="00670380"/>
    <w:rsid w:val="006703CA"/>
    <w:rsid w:val="0067050A"/>
    <w:rsid w:val="006705D5"/>
    <w:rsid w:val="00670678"/>
    <w:rsid w:val="006706B5"/>
    <w:rsid w:val="00670722"/>
    <w:rsid w:val="006708B2"/>
    <w:rsid w:val="006708D8"/>
    <w:rsid w:val="00670923"/>
    <w:rsid w:val="00670B2C"/>
    <w:rsid w:val="00670BDB"/>
    <w:rsid w:val="00670C07"/>
    <w:rsid w:val="00670CC1"/>
    <w:rsid w:val="00670F00"/>
    <w:rsid w:val="00670F72"/>
    <w:rsid w:val="00670F81"/>
    <w:rsid w:val="00671047"/>
    <w:rsid w:val="006711B6"/>
    <w:rsid w:val="0067120E"/>
    <w:rsid w:val="00671321"/>
    <w:rsid w:val="006713FF"/>
    <w:rsid w:val="0067153E"/>
    <w:rsid w:val="0067158A"/>
    <w:rsid w:val="00671738"/>
    <w:rsid w:val="006719B2"/>
    <w:rsid w:val="00671AB1"/>
    <w:rsid w:val="00671AC5"/>
    <w:rsid w:val="00671C0A"/>
    <w:rsid w:val="00671CB4"/>
    <w:rsid w:val="00671D42"/>
    <w:rsid w:val="00671FF4"/>
    <w:rsid w:val="0067208E"/>
    <w:rsid w:val="006720FF"/>
    <w:rsid w:val="00672140"/>
    <w:rsid w:val="006724A0"/>
    <w:rsid w:val="00672756"/>
    <w:rsid w:val="0067290A"/>
    <w:rsid w:val="00672B3C"/>
    <w:rsid w:val="00672C45"/>
    <w:rsid w:val="00672C95"/>
    <w:rsid w:val="00672F79"/>
    <w:rsid w:val="00672FF8"/>
    <w:rsid w:val="0067319C"/>
    <w:rsid w:val="0067361B"/>
    <w:rsid w:val="00673941"/>
    <w:rsid w:val="00673DC1"/>
    <w:rsid w:val="00673F42"/>
    <w:rsid w:val="00674042"/>
    <w:rsid w:val="006742E2"/>
    <w:rsid w:val="006744B2"/>
    <w:rsid w:val="006748F0"/>
    <w:rsid w:val="0067490C"/>
    <w:rsid w:val="006749DA"/>
    <w:rsid w:val="00674AC0"/>
    <w:rsid w:val="00674B9C"/>
    <w:rsid w:val="00674D58"/>
    <w:rsid w:val="0067504E"/>
    <w:rsid w:val="0067512A"/>
    <w:rsid w:val="00675249"/>
    <w:rsid w:val="00675355"/>
    <w:rsid w:val="006754AF"/>
    <w:rsid w:val="006756B7"/>
    <w:rsid w:val="006758C9"/>
    <w:rsid w:val="00675A5F"/>
    <w:rsid w:val="00675C46"/>
    <w:rsid w:val="00675E6A"/>
    <w:rsid w:val="00675EF5"/>
    <w:rsid w:val="006763A1"/>
    <w:rsid w:val="006764BC"/>
    <w:rsid w:val="0067652A"/>
    <w:rsid w:val="0067657E"/>
    <w:rsid w:val="00676603"/>
    <w:rsid w:val="00676672"/>
    <w:rsid w:val="006767B2"/>
    <w:rsid w:val="006769C4"/>
    <w:rsid w:val="00676B26"/>
    <w:rsid w:val="00676C6F"/>
    <w:rsid w:val="00676D79"/>
    <w:rsid w:val="00676F99"/>
    <w:rsid w:val="00677061"/>
    <w:rsid w:val="00677346"/>
    <w:rsid w:val="006773A4"/>
    <w:rsid w:val="006773AB"/>
    <w:rsid w:val="00677456"/>
    <w:rsid w:val="006774B0"/>
    <w:rsid w:val="00677627"/>
    <w:rsid w:val="006776C7"/>
    <w:rsid w:val="00677743"/>
    <w:rsid w:val="006779C3"/>
    <w:rsid w:val="00677A67"/>
    <w:rsid w:val="00677A87"/>
    <w:rsid w:val="00677BD5"/>
    <w:rsid w:val="00677CD8"/>
    <w:rsid w:val="00677DC9"/>
    <w:rsid w:val="00677E3C"/>
    <w:rsid w:val="00677E9F"/>
    <w:rsid w:val="00677F68"/>
    <w:rsid w:val="006801E4"/>
    <w:rsid w:val="0068020B"/>
    <w:rsid w:val="0068025E"/>
    <w:rsid w:val="0068039D"/>
    <w:rsid w:val="00680465"/>
    <w:rsid w:val="0068051B"/>
    <w:rsid w:val="006805D9"/>
    <w:rsid w:val="00680912"/>
    <w:rsid w:val="00680ACE"/>
    <w:rsid w:val="00680B78"/>
    <w:rsid w:val="00680E8B"/>
    <w:rsid w:val="00680FDA"/>
    <w:rsid w:val="0068150F"/>
    <w:rsid w:val="0068155A"/>
    <w:rsid w:val="0068181C"/>
    <w:rsid w:val="006818D0"/>
    <w:rsid w:val="006819A3"/>
    <w:rsid w:val="00681A24"/>
    <w:rsid w:val="00681B45"/>
    <w:rsid w:val="00681C30"/>
    <w:rsid w:val="00681CF7"/>
    <w:rsid w:val="00681D51"/>
    <w:rsid w:val="00681E2F"/>
    <w:rsid w:val="00681E53"/>
    <w:rsid w:val="00681EA9"/>
    <w:rsid w:val="00681F91"/>
    <w:rsid w:val="00682054"/>
    <w:rsid w:val="00682056"/>
    <w:rsid w:val="00682129"/>
    <w:rsid w:val="00682225"/>
    <w:rsid w:val="0068227F"/>
    <w:rsid w:val="00682365"/>
    <w:rsid w:val="00682474"/>
    <w:rsid w:val="0068266C"/>
    <w:rsid w:val="0068270B"/>
    <w:rsid w:val="00682960"/>
    <w:rsid w:val="00682ADD"/>
    <w:rsid w:val="00682B11"/>
    <w:rsid w:val="00682C21"/>
    <w:rsid w:val="00682C5C"/>
    <w:rsid w:val="00682DB4"/>
    <w:rsid w:val="00682E55"/>
    <w:rsid w:val="00682E7A"/>
    <w:rsid w:val="00682FC5"/>
    <w:rsid w:val="0068304A"/>
    <w:rsid w:val="006831C2"/>
    <w:rsid w:val="006831EE"/>
    <w:rsid w:val="0068340E"/>
    <w:rsid w:val="00683528"/>
    <w:rsid w:val="00683701"/>
    <w:rsid w:val="00683722"/>
    <w:rsid w:val="00683BFC"/>
    <w:rsid w:val="00683C5A"/>
    <w:rsid w:val="00683D2F"/>
    <w:rsid w:val="00684044"/>
    <w:rsid w:val="006840B2"/>
    <w:rsid w:val="0068429C"/>
    <w:rsid w:val="00684345"/>
    <w:rsid w:val="006843F6"/>
    <w:rsid w:val="006845FD"/>
    <w:rsid w:val="00684602"/>
    <w:rsid w:val="0068490A"/>
    <w:rsid w:val="0068491F"/>
    <w:rsid w:val="00684AE0"/>
    <w:rsid w:val="00684F4C"/>
    <w:rsid w:val="00684FDF"/>
    <w:rsid w:val="00684FEA"/>
    <w:rsid w:val="00685055"/>
    <w:rsid w:val="0068510F"/>
    <w:rsid w:val="006851A2"/>
    <w:rsid w:val="006851EB"/>
    <w:rsid w:val="0068563E"/>
    <w:rsid w:val="006856ED"/>
    <w:rsid w:val="0068573F"/>
    <w:rsid w:val="00685DE4"/>
    <w:rsid w:val="00686019"/>
    <w:rsid w:val="00686118"/>
    <w:rsid w:val="006861C0"/>
    <w:rsid w:val="00686269"/>
    <w:rsid w:val="00686513"/>
    <w:rsid w:val="00686596"/>
    <w:rsid w:val="006865E0"/>
    <w:rsid w:val="006867CE"/>
    <w:rsid w:val="00686896"/>
    <w:rsid w:val="006868F3"/>
    <w:rsid w:val="00686922"/>
    <w:rsid w:val="00686CC2"/>
    <w:rsid w:val="00686EBA"/>
    <w:rsid w:val="00686F00"/>
    <w:rsid w:val="00686F2B"/>
    <w:rsid w:val="0068720B"/>
    <w:rsid w:val="00687321"/>
    <w:rsid w:val="006873E8"/>
    <w:rsid w:val="006875AB"/>
    <w:rsid w:val="0068773C"/>
    <w:rsid w:val="00687937"/>
    <w:rsid w:val="00687C97"/>
    <w:rsid w:val="00687D5A"/>
    <w:rsid w:val="006900F1"/>
    <w:rsid w:val="00690324"/>
    <w:rsid w:val="006903FB"/>
    <w:rsid w:val="0069046F"/>
    <w:rsid w:val="006904C2"/>
    <w:rsid w:val="006904DD"/>
    <w:rsid w:val="00690524"/>
    <w:rsid w:val="00690895"/>
    <w:rsid w:val="00690914"/>
    <w:rsid w:val="00690A58"/>
    <w:rsid w:val="00690E71"/>
    <w:rsid w:val="006911C8"/>
    <w:rsid w:val="0069139D"/>
    <w:rsid w:val="00691459"/>
    <w:rsid w:val="00691644"/>
    <w:rsid w:val="00691699"/>
    <w:rsid w:val="006917E9"/>
    <w:rsid w:val="00691974"/>
    <w:rsid w:val="006919D3"/>
    <w:rsid w:val="00691B46"/>
    <w:rsid w:val="006922A6"/>
    <w:rsid w:val="0069244D"/>
    <w:rsid w:val="006924B3"/>
    <w:rsid w:val="0069281E"/>
    <w:rsid w:val="006929BE"/>
    <w:rsid w:val="00692C2E"/>
    <w:rsid w:val="00692D12"/>
    <w:rsid w:val="0069309C"/>
    <w:rsid w:val="00693137"/>
    <w:rsid w:val="00693232"/>
    <w:rsid w:val="0069326E"/>
    <w:rsid w:val="0069327A"/>
    <w:rsid w:val="0069341F"/>
    <w:rsid w:val="00693531"/>
    <w:rsid w:val="00693842"/>
    <w:rsid w:val="00693888"/>
    <w:rsid w:val="00693968"/>
    <w:rsid w:val="00693C5A"/>
    <w:rsid w:val="00693C87"/>
    <w:rsid w:val="00693CF0"/>
    <w:rsid w:val="00693D3E"/>
    <w:rsid w:val="00693E82"/>
    <w:rsid w:val="00694027"/>
    <w:rsid w:val="006944D5"/>
    <w:rsid w:val="0069457A"/>
    <w:rsid w:val="006946D1"/>
    <w:rsid w:val="006949A7"/>
    <w:rsid w:val="00694B53"/>
    <w:rsid w:val="00694B55"/>
    <w:rsid w:val="00694B65"/>
    <w:rsid w:val="00694C69"/>
    <w:rsid w:val="00694D53"/>
    <w:rsid w:val="00694DFA"/>
    <w:rsid w:val="00694E58"/>
    <w:rsid w:val="00694EF7"/>
    <w:rsid w:val="00694FBE"/>
    <w:rsid w:val="00694FD4"/>
    <w:rsid w:val="00694FFF"/>
    <w:rsid w:val="00695010"/>
    <w:rsid w:val="006950C9"/>
    <w:rsid w:val="006950F6"/>
    <w:rsid w:val="006950FA"/>
    <w:rsid w:val="006951CE"/>
    <w:rsid w:val="006951E5"/>
    <w:rsid w:val="006951FF"/>
    <w:rsid w:val="0069551F"/>
    <w:rsid w:val="006955BB"/>
    <w:rsid w:val="006955D5"/>
    <w:rsid w:val="00695B5A"/>
    <w:rsid w:val="00695D1E"/>
    <w:rsid w:val="00695DBB"/>
    <w:rsid w:val="00695FCA"/>
    <w:rsid w:val="0069604B"/>
    <w:rsid w:val="006960AC"/>
    <w:rsid w:val="0069611E"/>
    <w:rsid w:val="006961F7"/>
    <w:rsid w:val="006962B0"/>
    <w:rsid w:val="0069631D"/>
    <w:rsid w:val="00696335"/>
    <w:rsid w:val="00696495"/>
    <w:rsid w:val="006965AE"/>
    <w:rsid w:val="006967CB"/>
    <w:rsid w:val="00696A18"/>
    <w:rsid w:val="00696A4D"/>
    <w:rsid w:val="00696C70"/>
    <w:rsid w:val="00696FB5"/>
    <w:rsid w:val="006972A9"/>
    <w:rsid w:val="0069740A"/>
    <w:rsid w:val="00697495"/>
    <w:rsid w:val="006975AE"/>
    <w:rsid w:val="00697608"/>
    <w:rsid w:val="0069792E"/>
    <w:rsid w:val="00697970"/>
    <w:rsid w:val="00697992"/>
    <w:rsid w:val="006979F4"/>
    <w:rsid w:val="00697AC9"/>
    <w:rsid w:val="00697C8A"/>
    <w:rsid w:val="00697D19"/>
    <w:rsid w:val="006A0052"/>
    <w:rsid w:val="006A03A5"/>
    <w:rsid w:val="006A040E"/>
    <w:rsid w:val="006A0454"/>
    <w:rsid w:val="006A0505"/>
    <w:rsid w:val="006A051B"/>
    <w:rsid w:val="006A05C7"/>
    <w:rsid w:val="006A08AA"/>
    <w:rsid w:val="006A08CA"/>
    <w:rsid w:val="006A0B0B"/>
    <w:rsid w:val="006A0C5A"/>
    <w:rsid w:val="006A0DFF"/>
    <w:rsid w:val="006A0E43"/>
    <w:rsid w:val="006A102D"/>
    <w:rsid w:val="006A11E4"/>
    <w:rsid w:val="006A153D"/>
    <w:rsid w:val="006A15CF"/>
    <w:rsid w:val="006A1632"/>
    <w:rsid w:val="006A16F0"/>
    <w:rsid w:val="006A171B"/>
    <w:rsid w:val="006A17A5"/>
    <w:rsid w:val="006A1B74"/>
    <w:rsid w:val="006A1BBE"/>
    <w:rsid w:val="006A1BD5"/>
    <w:rsid w:val="006A1DC0"/>
    <w:rsid w:val="006A1FE5"/>
    <w:rsid w:val="006A20A4"/>
    <w:rsid w:val="006A21C6"/>
    <w:rsid w:val="006A22B1"/>
    <w:rsid w:val="006A22E8"/>
    <w:rsid w:val="006A25C8"/>
    <w:rsid w:val="006A27AE"/>
    <w:rsid w:val="006A29FF"/>
    <w:rsid w:val="006A2A00"/>
    <w:rsid w:val="006A2AB9"/>
    <w:rsid w:val="006A2B1D"/>
    <w:rsid w:val="006A2CF1"/>
    <w:rsid w:val="006A2DA0"/>
    <w:rsid w:val="006A2DAC"/>
    <w:rsid w:val="006A2DB4"/>
    <w:rsid w:val="006A2E54"/>
    <w:rsid w:val="006A2FBC"/>
    <w:rsid w:val="006A350E"/>
    <w:rsid w:val="006A38F8"/>
    <w:rsid w:val="006A39BE"/>
    <w:rsid w:val="006A3DEC"/>
    <w:rsid w:val="006A3F2A"/>
    <w:rsid w:val="006A40B5"/>
    <w:rsid w:val="006A414D"/>
    <w:rsid w:val="006A41F8"/>
    <w:rsid w:val="006A4213"/>
    <w:rsid w:val="006A42A5"/>
    <w:rsid w:val="006A42D0"/>
    <w:rsid w:val="006A43D4"/>
    <w:rsid w:val="006A451E"/>
    <w:rsid w:val="006A4554"/>
    <w:rsid w:val="006A45BB"/>
    <w:rsid w:val="006A47CA"/>
    <w:rsid w:val="006A4E52"/>
    <w:rsid w:val="006A4E7C"/>
    <w:rsid w:val="006A4F67"/>
    <w:rsid w:val="006A4FB1"/>
    <w:rsid w:val="006A4FC5"/>
    <w:rsid w:val="006A4FC8"/>
    <w:rsid w:val="006A504A"/>
    <w:rsid w:val="006A50F1"/>
    <w:rsid w:val="006A517B"/>
    <w:rsid w:val="006A55E1"/>
    <w:rsid w:val="006A5B06"/>
    <w:rsid w:val="006A5BC0"/>
    <w:rsid w:val="006A603D"/>
    <w:rsid w:val="006A607B"/>
    <w:rsid w:val="006A60FA"/>
    <w:rsid w:val="006A61CE"/>
    <w:rsid w:val="006A61EC"/>
    <w:rsid w:val="006A6296"/>
    <w:rsid w:val="006A629F"/>
    <w:rsid w:val="006A6378"/>
    <w:rsid w:val="006A64BD"/>
    <w:rsid w:val="006A66C8"/>
    <w:rsid w:val="006A6A00"/>
    <w:rsid w:val="006A6B9A"/>
    <w:rsid w:val="006A6B9F"/>
    <w:rsid w:val="006A6E27"/>
    <w:rsid w:val="006A6EAC"/>
    <w:rsid w:val="006A6ED1"/>
    <w:rsid w:val="006A6ED2"/>
    <w:rsid w:val="006A6FA8"/>
    <w:rsid w:val="006A6FB8"/>
    <w:rsid w:val="006A72B0"/>
    <w:rsid w:val="006A7413"/>
    <w:rsid w:val="006A74E5"/>
    <w:rsid w:val="006A76AB"/>
    <w:rsid w:val="006A771D"/>
    <w:rsid w:val="006A7AAA"/>
    <w:rsid w:val="006A7AB4"/>
    <w:rsid w:val="006A7C85"/>
    <w:rsid w:val="006A7DED"/>
    <w:rsid w:val="006A7F0C"/>
    <w:rsid w:val="006B0130"/>
    <w:rsid w:val="006B02C4"/>
    <w:rsid w:val="006B04FE"/>
    <w:rsid w:val="006B04FF"/>
    <w:rsid w:val="006B05D4"/>
    <w:rsid w:val="006B075C"/>
    <w:rsid w:val="006B076A"/>
    <w:rsid w:val="006B0856"/>
    <w:rsid w:val="006B0894"/>
    <w:rsid w:val="006B0932"/>
    <w:rsid w:val="006B09A0"/>
    <w:rsid w:val="006B0A49"/>
    <w:rsid w:val="006B0CF3"/>
    <w:rsid w:val="006B0ECF"/>
    <w:rsid w:val="006B11EA"/>
    <w:rsid w:val="006B1308"/>
    <w:rsid w:val="006B14C5"/>
    <w:rsid w:val="006B18C5"/>
    <w:rsid w:val="006B1932"/>
    <w:rsid w:val="006B1A4A"/>
    <w:rsid w:val="006B1B85"/>
    <w:rsid w:val="006B1BEE"/>
    <w:rsid w:val="006B1C72"/>
    <w:rsid w:val="006B1F47"/>
    <w:rsid w:val="006B1FDA"/>
    <w:rsid w:val="006B240E"/>
    <w:rsid w:val="006B241F"/>
    <w:rsid w:val="006B2542"/>
    <w:rsid w:val="006B26FF"/>
    <w:rsid w:val="006B2709"/>
    <w:rsid w:val="006B270D"/>
    <w:rsid w:val="006B2847"/>
    <w:rsid w:val="006B294D"/>
    <w:rsid w:val="006B2995"/>
    <w:rsid w:val="006B2CFF"/>
    <w:rsid w:val="006B2D18"/>
    <w:rsid w:val="006B2D2E"/>
    <w:rsid w:val="006B2D57"/>
    <w:rsid w:val="006B3127"/>
    <w:rsid w:val="006B36AE"/>
    <w:rsid w:val="006B3845"/>
    <w:rsid w:val="006B3980"/>
    <w:rsid w:val="006B3A61"/>
    <w:rsid w:val="006B3AEB"/>
    <w:rsid w:val="006B3D96"/>
    <w:rsid w:val="006B3E4D"/>
    <w:rsid w:val="006B3F8B"/>
    <w:rsid w:val="006B4025"/>
    <w:rsid w:val="006B417B"/>
    <w:rsid w:val="006B4206"/>
    <w:rsid w:val="006B4449"/>
    <w:rsid w:val="006B46E7"/>
    <w:rsid w:val="006B474F"/>
    <w:rsid w:val="006B477E"/>
    <w:rsid w:val="006B4972"/>
    <w:rsid w:val="006B4C0C"/>
    <w:rsid w:val="006B4EAB"/>
    <w:rsid w:val="006B4F07"/>
    <w:rsid w:val="006B5091"/>
    <w:rsid w:val="006B50B8"/>
    <w:rsid w:val="006B50F9"/>
    <w:rsid w:val="006B53B0"/>
    <w:rsid w:val="006B5756"/>
    <w:rsid w:val="006B57FE"/>
    <w:rsid w:val="006B580C"/>
    <w:rsid w:val="006B593B"/>
    <w:rsid w:val="006B5A61"/>
    <w:rsid w:val="006B5ADC"/>
    <w:rsid w:val="006B5B39"/>
    <w:rsid w:val="006B5C4C"/>
    <w:rsid w:val="006B5D72"/>
    <w:rsid w:val="006B5D79"/>
    <w:rsid w:val="006B5FBC"/>
    <w:rsid w:val="006B6155"/>
    <w:rsid w:val="006B64E8"/>
    <w:rsid w:val="006B654C"/>
    <w:rsid w:val="006B6AEF"/>
    <w:rsid w:val="006B6DA1"/>
    <w:rsid w:val="006B7069"/>
    <w:rsid w:val="006B70DA"/>
    <w:rsid w:val="006B7340"/>
    <w:rsid w:val="006B74DA"/>
    <w:rsid w:val="006B7673"/>
    <w:rsid w:val="006B76C2"/>
    <w:rsid w:val="006B7706"/>
    <w:rsid w:val="006B77C0"/>
    <w:rsid w:val="006B7877"/>
    <w:rsid w:val="006B7B5A"/>
    <w:rsid w:val="006B7C4D"/>
    <w:rsid w:val="006B7C8E"/>
    <w:rsid w:val="006B7CBC"/>
    <w:rsid w:val="006B7E7F"/>
    <w:rsid w:val="006B7E91"/>
    <w:rsid w:val="006C0051"/>
    <w:rsid w:val="006C0270"/>
    <w:rsid w:val="006C02CD"/>
    <w:rsid w:val="006C03E3"/>
    <w:rsid w:val="006C053E"/>
    <w:rsid w:val="006C06A9"/>
    <w:rsid w:val="006C0C03"/>
    <w:rsid w:val="006C0DFA"/>
    <w:rsid w:val="006C0EDB"/>
    <w:rsid w:val="006C1069"/>
    <w:rsid w:val="006C106C"/>
    <w:rsid w:val="006C1108"/>
    <w:rsid w:val="006C131B"/>
    <w:rsid w:val="006C132E"/>
    <w:rsid w:val="006C13A3"/>
    <w:rsid w:val="006C1482"/>
    <w:rsid w:val="006C1496"/>
    <w:rsid w:val="006C157B"/>
    <w:rsid w:val="006C168D"/>
    <w:rsid w:val="006C16F5"/>
    <w:rsid w:val="006C1822"/>
    <w:rsid w:val="006C186E"/>
    <w:rsid w:val="006C1A09"/>
    <w:rsid w:val="006C1B59"/>
    <w:rsid w:val="006C1CB5"/>
    <w:rsid w:val="006C21F1"/>
    <w:rsid w:val="006C2364"/>
    <w:rsid w:val="006C23EC"/>
    <w:rsid w:val="006C2418"/>
    <w:rsid w:val="006C2465"/>
    <w:rsid w:val="006C2ABA"/>
    <w:rsid w:val="006C2B59"/>
    <w:rsid w:val="006C2BDD"/>
    <w:rsid w:val="006C2C86"/>
    <w:rsid w:val="006C2C8B"/>
    <w:rsid w:val="006C2CC5"/>
    <w:rsid w:val="006C2D1A"/>
    <w:rsid w:val="006C3014"/>
    <w:rsid w:val="006C34A1"/>
    <w:rsid w:val="006C3686"/>
    <w:rsid w:val="006C38EF"/>
    <w:rsid w:val="006C390C"/>
    <w:rsid w:val="006C392E"/>
    <w:rsid w:val="006C3BCF"/>
    <w:rsid w:val="006C3BEF"/>
    <w:rsid w:val="006C3C80"/>
    <w:rsid w:val="006C3EBC"/>
    <w:rsid w:val="006C3FBB"/>
    <w:rsid w:val="006C4035"/>
    <w:rsid w:val="006C4043"/>
    <w:rsid w:val="006C4114"/>
    <w:rsid w:val="006C41C1"/>
    <w:rsid w:val="006C41ED"/>
    <w:rsid w:val="006C43FB"/>
    <w:rsid w:val="006C448D"/>
    <w:rsid w:val="006C4713"/>
    <w:rsid w:val="006C479A"/>
    <w:rsid w:val="006C4950"/>
    <w:rsid w:val="006C49AF"/>
    <w:rsid w:val="006C4B39"/>
    <w:rsid w:val="006C4E24"/>
    <w:rsid w:val="006C4E2A"/>
    <w:rsid w:val="006C4F00"/>
    <w:rsid w:val="006C4F0A"/>
    <w:rsid w:val="006C5292"/>
    <w:rsid w:val="006C52B9"/>
    <w:rsid w:val="006C5477"/>
    <w:rsid w:val="006C559A"/>
    <w:rsid w:val="006C5711"/>
    <w:rsid w:val="006C5729"/>
    <w:rsid w:val="006C579D"/>
    <w:rsid w:val="006C5843"/>
    <w:rsid w:val="006C58E3"/>
    <w:rsid w:val="006C5A8D"/>
    <w:rsid w:val="006C5C23"/>
    <w:rsid w:val="006C5C79"/>
    <w:rsid w:val="006C5CAD"/>
    <w:rsid w:val="006C5CDD"/>
    <w:rsid w:val="006C5D0C"/>
    <w:rsid w:val="006C5EB7"/>
    <w:rsid w:val="006C5F87"/>
    <w:rsid w:val="006C6346"/>
    <w:rsid w:val="006C6788"/>
    <w:rsid w:val="006C69EC"/>
    <w:rsid w:val="006C6B24"/>
    <w:rsid w:val="006C6ED1"/>
    <w:rsid w:val="006C6F68"/>
    <w:rsid w:val="006C6F8B"/>
    <w:rsid w:val="006C70DB"/>
    <w:rsid w:val="006C71C7"/>
    <w:rsid w:val="006C7263"/>
    <w:rsid w:val="006C7277"/>
    <w:rsid w:val="006C7308"/>
    <w:rsid w:val="006C7433"/>
    <w:rsid w:val="006C748E"/>
    <w:rsid w:val="006C751D"/>
    <w:rsid w:val="006C7527"/>
    <w:rsid w:val="006C7540"/>
    <w:rsid w:val="006C75AA"/>
    <w:rsid w:val="006C7AE9"/>
    <w:rsid w:val="006C7F42"/>
    <w:rsid w:val="006C7FB8"/>
    <w:rsid w:val="006C7FF1"/>
    <w:rsid w:val="006D0115"/>
    <w:rsid w:val="006D01D6"/>
    <w:rsid w:val="006D0267"/>
    <w:rsid w:val="006D02AA"/>
    <w:rsid w:val="006D02D4"/>
    <w:rsid w:val="006D02F2"/>
    <w:rsid w:val="006D041B"/>
    <w:rsid w:val="006D046E"/>
    <w:rsid w:val="006D066B"/>
    <w:rsid w:val="006D0A2F"/>
    <w:rsid w:val="006D0A80"/>
    <w:rsid w:val="006D0A9E"/>
    <w:rsid w:val="006D0C40"/>
    <w:rsid w:val="006D0CB6"/>
    <w:rsid w:val="006D0DDC"/>
    <w:rsid w:val="006D0E76"/>
    <w:rsid w:val="006D0F89"/>
    <w:rsid w:val="006D103E"/>
    <w:rsid w:val="006D13EC"/>
    <w:rsid w:val="006D1888"/>
    <w:rsid w:val="006D18B1"/>
    <w:rsid w:val="006D192F"/>
    <w:rsid w:val="006D1A50"/>
    <w:rsid w:val="006D1C6A"/>
    <w:rsid w:val="006D1D94"/>
    <w:rsid w:val="006D1DFE"/>
    <w:rsid w:val="006D1E18"/>
    <w:rsid w:val="006D20A4"/>
    <w:rsid w:val="006D246C"/>
    <w:rsid w:val="006D24BF"/>
    <w:rsid w:val="006D2560"/>
    <w:rsid w:val="006D2784"/>
    <w:rsid w:val="006D27E6"/>
    <w:rsid w:val="006D2A3B"/>
    <w:rsid w:val="006D2C72"/>
    <w:rsid w:val="006D2D3A"/>
    <w:rsid w:val="006D2F47"/>
    <w:rsid w:val="006D2F53"/>
    <w:rsid w:val="006D3143"/>
    <w:rsid w:val="006D328B"/>
    <w:rsid w:val="006D3333"/>
    <w:rsid w:val="006D343D"/>
    <w:rsid w:val="006D3620"/>
    <w:rsid w:val="006D36C4"/>
    <w:rsid w:val="006D38FC"/>
    <w:rsid w:val="006D3C07"/>
    <w:rsid w:val="006D3C47"/>
    <w:rsid w:val="006D3F2D"/>
    <w:rsid w:val="006D3F32"/>
    <w:rsid w:val="006D3F43"/>
    <w:rsid w:val="006D41CE"/>
    <w:rsid w:val="006D4388"/>
    <w:rsid w:val="006D4490"/>
    <w:rsid w:val="006D460E"/>
    <w:rsid w:val="006D472A"/>
    <w:rsid w:val="006D478A"/>
    <w:rsid w:val="006D47AB"/>
    <w:rsid w:val="006D47E2"/>
    <w:rsid w:val="006D4AC1"/>
    <w:rsid w:val="006D4CA2"/>
    <w:rsid w:val="006D5074"/>
    <w:rsid w:val="006D50F6"/>
    <w:rsid w:val="006D5176"/>
    <w:rsid w:val="006D5201"/>
    <w:rsid w:val="006D5228"/>
    <w:rsid w:val="006D5313"/>
    <w:rsid w:val="006D535C"/>
    <w:rsid w:val="006D5510"/>
    <w:rsid w:val="006D55A2"/>
    <w:rsid w:val="006D55C0"/>
    <w:rsid w:val="006D5820"/>
    <w:rsid w:val="006D5886"/>
    <w:rsid w:val="006D5CDF"/>
    <w:rsid w:val="006D5E19"/>
    <w:rsid w:val="006D5F9A"/>
    <w:rsid w:val="006D64E3"/>
    <w:rsid w:val="006D6703"/>
    <w:rsid w:val="006D6739"/>
    <w:rsid w:val="006D6944"/>
    <w:rsid w:val="006D6989"/>
    <w:rsid w:val="006D6AFE"/>
    <w:rsid w:val="006D6DAA"/>
    <w:rsid w:val="006D6F24"/>
    <w:rsid w:val="006D7271"/>
    <w:rsid w:val="006D74D6"/>
    <w:rsid w:val="006D74ED"/>
    <w:rsid w:val="006D7785"/>
    <w:rsid w:val="006D781B"/>
    <w:rsid w:val="006D78EB"/>
    <w:rsid w:val="006D7A55"/>
    <w:rsid w:val="006D7B6D"/>
    <w:rsid w:val="006D7C08"/>
    <w:rsid w:val="006D7C23"/>
    <w:rsid w:val="006D7C6D"/>
    <w:rsid w:val="006D7DB0"/>
    <w:rsid w:val="006D7F5B"/>
    <w:rsid w:val="006E009F"/>
    <w:rsid w:val="006E018C"/>
    <w:rsid w:val="006E038B"/>
    <w:rsid w:val="006E058C"/>
    <w:rsid w:val="006E0922"/>
    <w:rsid w:val="006E0B0D"/>
    <w:rsid w:val="006E0B3B"/>
    <w:rsid w:val="006E0D28"/>
    <w:rsid w:val="006E0E18"/>
    <w:rsid w:val="006E0ED9"/>
    <w:rsid w:val="006E0EF4"/>
    <w:rsid w:val="006E0F5D"/>
    <w:rsid w:val="006E0FA4"/>
    <w:rsid w:val="006E11D9"/>
    <w:rsid w:val="006E13A6"/>
    <w:rsid w:val="006E13C3"/>
    <w:rsid w:val="006E151D"/>
    <w:rsid w:val="006E1629"/>
    <w:rsid w:val="006E16D5"/>
    <w:rsid w:val="006E16F2"/>
    <w:rsid w:val="006E1794"/>
    <w:rsid w:val="006E1916"/>
    <w:rsid w:val="006E1A15"/>
    <w:rsid w:val="006E1A9A"/>
    <w:rsid w:val="006E1B66"/>
    <w:rsid w:val="006E1CE4"/>
    <w:rsid w:val="006E1D22"/>
    <w:rsid w:val="006E1D85"/>
    <w:rsid w:val="006E2008"/>
    <w:rsid w:val="006E2241"/>
    <w:rsid w:val="006E22FD"/>
    <w:rsid w:val="006E230F"/>
    <w:rsid w:val="006E2427"/>
    <w:rsid w:val="006E2429"/>
    <w:rsid w:val="006E2656"/>
    <w:rsid w:val="006E28FF"/>
    <w:rsid w:val="006E29A4"/>
    <w:rsid w:val="006E2BB3"/>
    <w:rsid w:val="006E3385"/>
    <w:rsid w:val="006E33F7"/>
    <w:rsid w:val="006E3848"/>
    <w:rsid w:val="006E38A2"/>
    <w:rsid w:val="006E38A7"/>
    <w:rsid w:val="006E392C"/>
    <w:rsid w:val="006E3A41"/>
    <w:rsid w:val="006E3D01"/>
    <w:rsid w:val="006E3DA4"/>
    <w:rsid w:val="006E4021"/>
    <w:rsid w:val="006E402D"/>
    <w:rsid w:val="006E4098"/>
    <w:rsid w:val="006E40EC"/>
    <w:rsid w:val="006E42CD"/>
    <w:rsid w:val="006E44CF"/>
    <w:rsid w:val="006E45B9"/>
    <w:rsid w:val="006E4654"/>
    <w:rsid w:val="006E467A"/>
    <w:rsid w:val="006E4690"/>
    <w:rsid w:val="006E48EE"/>
    <w:rsid w:val="006E4A43"/>
    <w:rsid w:val="006E4A53"/>
    <w:rsid w:val="006E4B4C"/>
    <w:rsid w:val="006E4C97"/>
    <w:rsid w:val="006E4D1A"/>
    <w:rsid w:val="006E4EEC"/>
    <w:rsid w:val="006E4FBF"/>
    <w:rsid w:val="006E504B"/>
    <w:rsid w:val="006E50E1"/>
    <w:rsid w:val="006E511F"/>
    <w:rsid w:val="006E5147"/>
    <w:rsid w:val="006E5269"/>
    <w:rsid w:val="006E53B2"/>
    <w:rsid w:val="006E54D0"/>
    <w:rsid w:val="006E5552"/>
    <w:rsid w:val="006E5562"/>
    <w:rsid w:val="006E5934"/>
    <w:rsid w:val="006E5A4D"/>
    <w:rsid w:val="006E5BC2"/>
    <w:rsid w:val="006E5D74"/>
    <w:rsid w:val="006E5DDC"/>
    <w:rsid w:val="006E5E0B"/>
    <w:rsid w:val="006E5F40"/>
    <w:rsid w:val="006E5F44"/>
    <w:rsid w:val="006E5FAB"/>
    <w:rsid w:val="006E645C"/>
    <w:rsid w:val="006E64EA"/>
    <w:rsid w:val="006E65EF"/>
    <w:rsid w:val="006E6779"/>
    <w:rsid w:val="006E6985"/>
    <w:rsid w:val="006E6A11"/>
    <w:rsid w:val="006E6BC2"/>
    <w:rsid w:val="006E6C02"/>
    <w:rsid w:val="006E6CE7"/>
    <w:rsid w:val="006E6D96"/>
    <w:rsid w:val="006E73C9"/>
    <w:rsid w:val="006E744A"/>
    <w:rsid w:val="006E77A5"/>
    <w:rsid w:val="006E77BB"/>
    <w:rsid w:val="006E780C"/>
    <w:rsid w:val="006E7823"/>
    <w:rsid w:val="006E79C2"/>
    <w:rsid w:val="006E7A16"/>
    <w:rsid w:val="006E7AC5"/>
    <w:rsid w:val="006E7BA5"/>
    <w:rsid w:val="006E7BD2"/>
    <w:rsid w:val="006E7D4F"/>
    <w:rsid w:val="006E7E55"/>
    <w:rsid w:val="006E7EF3"/>
    <w:rsid w:val="006E7FB6"/>
    <w:rsid w:val="006F018E"/>
    <w:rsid w:val="006F020F"/>
    <w:rsid w:val="006F023F"/>
    <w:rsid w:val="006F0292"/>
    <w:rsid w:val="006F03E9"/>
    <w:rsid w:val="006F061C"/>
    <w:rsid w:val="006F0800"/>
    <w:rsid w:val="006F08FA"/>
    <w:rsid w:val="006F0A0D"/>
    <w:rsid w:val="006F0A30"/>
    <w:rsid w:val="006F0B20"/>
    <w:rsid w:val="006F0B70"/>
    <w:rsid w:val="006F0BAB"/>
    <w:rsid w:val="006F0C3D"/>
    <w:rsid w:val="006F0DD2"/>
    <w:rsid w:val="006F0E18"/>
    <w:rsid w:val="006F1024"/>
    <w:rsid w:val="006F124F"/>
    <w:rsid w:val="006F129F"/>
    <w:rsid w:val="006F12BC"/>
    <w:rsid w:val="006F13E0"/>
    <w:rsid w:val="006F1488"/>
    <w:rsid w:val="006F15A1"/>
    <w:rsid w:val="006F15FC"/>
    <w:rsid w:val="006F1C2B"/>
    <w:rsid w:val="006F1F36"/>
    <w:rsid w:val="006F1FB8"/>
    <w:rsid w:val="006F252E"/>
    <w:rsid w:val="006F26B4"/>
    <w:rsid w:val="006F26FB"/>
    <w:rsid w:val="006F28AA"/>
    <w:rsid w:val="006F28D0"/>
    <w:rsid w:val="006F2A0D"/>
    <w:rsid w:val="006F2D0A"/>
    <w:rsid w:val="006F2D32"/>
    <w:rsid w:val="006F2D7F"/>
    <w:rsid w:val="006F2F7A"/>
    <w:rsid w:val="006F2F96"/>
    <w:rsid w:val="006F319A"/>
    <w:rsid w:val="006F319D"/>
    <w:rsid w:val="006F33E3"/>
    <w:rsid w:val="006F3549"/>
    <w:rsid w:val="006F37AB"/>
    <w:rsid w:val="006F38A8"/>
    <w:rsid w:val="006F396B"/>
    <w:rsid w:val="006F3A6C"/>
    <w:rsid w:val="006F3ABE"/>
    <w:rsid w:val="006F3AE5"/>
    <w:rsid w:val="006F3C1F"/>
    <w:rsid w:val="006F41A3"/>
    <w:rsid w:val="006F41F0"/>
    <w:rsid w:val="006F45A4"/>
    <w:rsid w:val="006F45D3"/>
    <w:rsid w:val="006F474D"/>
    <w:rsid w:val="006F48D4"/>
    <w:rsid w:val="006F4A5E"/>
    <w:rsid w:val="006F4AFA"/>
    <w:rsid w:val="006F4B10"/>
    <w:rsid w:val="006F4C56"/>
    <w:rsid w:val="006F4C65"/>
    <w:rsid w:val="006F4CC9"/>
    <w:rsid w:val="006F4DA5"/>
    <w:rsid w:val="006F4FB4"/>
    <w:rsid w:val="006F5201"/>
    <w:rsid w:val="006F52B7"/>
    <w:rsid w:val="006F5A7C"/>
    <w:rsid w:val="006F5CC2"/>
    <w:rsid w:val="006F5FF2"/>
    <w:rsid w:val="006F6204"/>
    <w:rsid w:val="006F62BD"/>
    <w:rsid w:val="006F6303"/>
    <w:rsid w:val="006F6316"/>
    <w:rsid w:val="006F65A2"/>
    <w:rsid w:val="006F66D4"/>
    <w:rsid w:val="006F66EC"/>
    <w:rsid w:val="006F6885"/>
    <w:rsid w:val="006F68D2"/>
    <w:rsid w:val="006F69E1"/>
    <w:rsid w:val="006F6A73"/>
    <w:rsid w:val="006F6C31"/>
    <w:rsid w:val="006F6EA6"/>
    <w:rsid w:val="006F7261"/>
    <w:rsid w:val="006F74B5"/>
    <w:rsid w:val="006F7609"/>
    <w:rsid w:val="006F7689"/>
    <w:rsid w:val="006F769E"/>
    <w:rsid w:val="006F76D1"/>
    <w:rsid w:val="006F7735"/>
    <w:rsid w:val="006F7736"/>
    <w:rsid w:val="006F7A56"/>
    <w:rsid w:val="006F7AF2"/>
    <w:rsid w:val="006F7DEF"/>
    <w:rsid w:val="0070002C"/>
    <w:rsid w:val="007000C9"/>
    <w:rsid w:val="00700127"/>
    <w:rsid w:val="007002A1"/>
    <w:rsid w:val="00700533"/>
    <w:rsid w:val="007006C6"/>
    <w:rsid w:val="00700800"/>
    <w:rsid w:val="0070084F"/>
    <w:rsid w:val="00700C5F"/>
    <w:rsid w:val="00700CF2"/>
    <w:rsid w:val="00700F0E"/>
    <w:rsid w:val="00700F78"/>
    <w:rsid w:val="007011C8"/>
    <w:rsid w:val="007011CC"/>
    <w:rsid w:val="00701296"/>
    <w:rsid w:val="007012D2"/>
    <w:rsid w:val="0070150E"/>
    <w:rsid w:val="007016DD"/>
    <w:rsid w:val="00701735"/>
    <w:rsid w:val="00701CC3"/>
    <w:rsid w:val="00702188"/>
    <w:rsid w:val="00702265"/>
    <w:rsid w:val="007022AB"/>
    <w:rsid w:val="00702381"/>
    <w:rsid w:val="007023FF"/>
    <w:rsid w:val="007024FB"/>
    <w:rsid w:val="00702577"/>
    <w:rsid w:val="007028A3"/>
    <w:rsid w:val="00702BD9"/>
    <w:rsid w:val="00702C03"/>
    <w:rsid w:val="00702CF1"/>
    <w:rsid w:val="00702E27"/>
    <w:rsid w:val="00702E38"/>
    <w:rsid w:val="00702F8D"/>
    <w:rsid w:val="00703050"/>
    <w:rsid w:val="00703238"/>
    <w:rsid w:val="00703253"/>
    <w:rsid w:val="007032DF"/>
    <w:rsid w:val="007032EF"/>
    <w:rsid w:val="00703411"/>
    <w:rsid w:val="0070367E"/>
    <w:rsid w:val="0070368C"/>
    <w:rsid w:val="0070391A"/>
    <w:rsid w:val="00703BE5"/>
    <w:rsid w:val="00703D69"/>
    <w:rsid w:val="00703E45"/>
    <w:rsid w:val="00703F05"/>
    <w:rsid w:val="00703F11"/>
    <w:rsid w:val="007043D6"/>
    <w:rsid w:val="00704788"/>
    <w:rsid w:val="00704ABC"/>
    <w:rsid w:val="00704C5B"/>
    <w:rsid w:val="00704D72"/>
    <w:rsid w:val="0070504E"/>
    <w:rsid w:val="00705051"/>
    <w:rsid w:val="007050E5"/>
    <w:rsid w:val="0070514B"/>
    <w:rsid w:val="007051F3"/>
    <w:rsid w:val="00705212"/>
    <w:rsid w:val="007054A9"/>
    <w:rsid w:val="007055E4"/>
    <w:rsid w:val="00705AE3"/>
    <w:rsid w:val="00705D7B"/>
    <w:rsid w:val="00705DB8"/>
    <w:rsid w:val="00705E9D"/>
    <w:rsid w:val="00705F3F"/>
    <w:rsid w:val="00705F50"/>
    <w:rsid w:val="0070625C"/>
    <w:rsid w:val="0070657A"/>
    <w:rsid w:val="007066F3"/>
    <w:rsid w:val="0070679B"/>
    <w:rsid w:val="00706852"/>
    <w:rsid w:val="00706898"/>
    <w:rsid w:val="0070690F"/>
    <w:rsid w:val="00706929"/>
    <w:rsid w:val="00706BD9"/>
    <w:rsid w:val="00706BE3"/>
    <w:rsid w:val="00706BE9"/>
    <w:rsid w:val="00706C8C"/>
    <w:rsid w:val="00706ED1"/>
    <w:rsid w:val="00707168"/>
    <w:rsid w:val="0070743F"/>
    <w:rsid w:val="0070746A"/>
    <w:rsid w:val="0070748A"/>
    <w:rsid w:val="007076A2"/>
    <w:rsid w:val="00707715"/>
    <w:rsid w:val="007077D0"/>
    <w:rsid w:val="007077DD"/>
    <w:rsid w:val="0070795E"/>
    <w:rsid w:val="00707A4C"/>
    <w:rsid w:val="00707A98"/>
    <w:rsid w:val="00707C31"/>
    <w:rsid w:val="00707C85"/>
    <w:rsid w:val="00707CBA"/>
    <w:rsid w:val="00707E5B"/>
    <w:rsid w:val="00707E8C"/>
    <w:rsid w:val="00707F1E"/>
    <w:rsid w:val="00707F24"/>
    <w:rsid w:val="00707F3E"/>
    <w:rsid w:val="00707FE1"/>
    <w:rsid w:val="00710278"/>
    <w:rsid w:val="00710349"/>
    <w:rsid w:val="0071035A"/>
    <w:rsid w:val="0071049B"/>
    <w:rsid w:val="00710912"/>
    <w:rsid w:val="0071098F"/>
    <w:rsid w:val="00710CAD"/>
    <w:rsid w:val="00710D6E"/>
    <w:rsid w:val="00710E62"/>
    <w:rsid w:val="00711387"/>
    <w:rsid w:val="007113E8"/>
    <w:rsid w:val="00711412"/>
    <w:rsid w:val="00711738"/>
    <w:rsid w:val="0071176D"/>
    <w:rsid w:val="0071179B"/>
    <w:rsid w:val="00711AE1"/>
    <w:rsid w:val="00711C71"/>
    <w:rsid w:val="00711D57"/>
    <w:rsid w:val="00711E62"/>
    <w:rsid w:val="00711E98"/>
    <w:rsid w:val="007127C1"/>
    <w:rsid w:val="00712ACA"/>
    <w:rsid w:val="00712C3E"/>
    <w:rsid w:val="00713061"/>
    <w:rsid w:val="007130DB"/>
    <w:rsid w:val="00713225"/>
    <w:rsid w:val="007134A9"/>
    <w:rsid w:val="0071352E"/>
    <w:rsid w:val="007135EE"/>
    <w:rsid w:val="0071389E"/>
    <w:rsid w:val="00713AD3"/>
    <w:rsid w:val="00713B79"/>
    <w:rsid w:val="00713BB1"/>
    <w:rsid w:val="00713BB3"/>
    <w:rsid w:val="00713EA7"/>
    <w:rsid w:val="00713EB2"/>
    <w:rsid w:val="00714095"/>
    <w:rsid w:val="007140BD"/>
    <w:rsid w:val="007140E8"/>
    <w:rsid w:val="007141E9"/>
    <w:rsid w:val="007141F4"/>
    <w:rsid w:val="0071422F"/>
    <w:rsid w:val="0071465A"/>
    <w:rsid w:val="007147F8"/>
    <w:rsid w:val="00714972"/>
    <w:rsid w:val="00714BED"/>
    <w:rsid w:val="00714F97"/>
    <w:rsid w:val="00714FEC"/>
    <w:rsid w:val="0071529D"/>
    <w:rsid w:val="0071542B"/>
    <w:rsid w:val="0071548F"/>
    <w:rsid w:val="00715588"/>
    <w:rsid w:val="00715606"/>
    <w:rsid w:val="0071567F"/>
    <w:rsid w:val="00715751"/>
    <w:rsid w:val="0071586C"/>
    <w:rsid w:val="00715A30"/>
    <w:rsid w:val="00715B09"/>
    <w:rsid w:val="00715BA9"/>
    <w:rsid w:val="00715F7B"/>
    <w:rsid w:val="0071682C"/>
    <w:rsid w:val="00716C2F"/>
    <w:rsid w:val="00716D36"/>
    <w:rsid w:val="00716E61"/>
    <w:rsid w:val="00716EA1"/>
    <w:rsid w:val="00716FD4"/>
    <w:rsid w:val="00716FE6"/>
    <w:rsid w:val="0071717E"/>
    <w:rsid w:val="007171E9"/>
    <w:rsid w:val="007173B3"/>
    <w:rsid w:val="007175A7"/>
    <w:rsid w:val="00717664"/>
    <w:rsid w:val="007178EC"/>
    <w:rsid w:val="00717B3E"/>
    <w:rsid w:val="00717B77"/>
    <w:rsid w:val="00717C78"/>
    <w:rsid w:val="00720232"/>
    <w:rsid w:val="00720568"/>
    <w:rsid w:val="007205E1"/>
    <w:rsid w:val="00720665"/>
    <w:rsid w:val="0072095F"/>
    <w:rsid w:val="007209B9"/>
    <w:rsid w:val="007209E2"/>
    <w:rsid w:val="00720A5C"/>
    <w:rsid w:val="00720DF0"/>
    <w:rsid w:val="0072108E"/>
    <w:rsid w:val="007212B9"/>
    <w:rsid w:val="007214B9"/>
    <w:rsid w:val="007215AA"/>
    <w:rsid w:val="007215E5"/>
    <w:rsid w:val="007216B7"/>
    <w:rsid w:val="00721767"/>
    <w:rsid w:val="00721826"/>
    <w:rsid w:val="007218DE"/>
    <w:rsid w:val="007219A1"/>
    <w:rsid w:val="00721A20"/>
    <w:rsid w:val="00721C77"/>
    <w:rsid w:val="00721FEB"/>
    <w:rsid w:val="007220C2"/>
    <w:rsid w:val="00722261"/>
    <w:rsid w:val="007223D1"/>
    <w:rsid w:val="00722636"/>
    <w:rsid w:val="0072299A"/>
    <w:rsid w:val="00722B70"/>
    <w:rsid w:val="00722B87"/>
    <w:rsid w:val="00722BF0"/>
    <w:rsid w:val="00722D6F"/>
    <w:rsid w:val="00722F5B"/>
    <w:rsid w:val="00723062"/>
    <w:rsid w:val="007230D1"/>
    <w:rsid w:val="007231DD"/>
    <w:rsid w:val="007233EC"/>
    <w:rsid w:val="007235A2"/>
    <w:rsid w:val="00723770"/>
    <w:rsid w:val="00723D32"/>
    <w:rsid w:val="007241A7"/>
    <w:rsid w:val="007241BE"/>
    <w:rsid w:val="00724786"/>
    <w:rsid w:val="0072479E"/>
    <w:rsid w:val="00724815"/>
    <w:rsid w:val="0072482C"/>
    <w:rsid w:val="007248CD"/>
    <w:rsid w:val="00724941"/>
    <w:rsid w:val="00724A3F"/>
    <w:rsid w:val="00724BB9"/>
    <w:rsid w:val="00724DF6"/>
    <w:rsid w:val="00724FEE"/>
    <w:rsid w:val="007250FB"/>
    <w:rsid w:val="0072512A"/>
    <w:rsid w:val="007252B9"/>
    <w:rsid w:val="00725356"/>
    <w:rsid w:val="00725466"/>
    <w:rsid w:val="007258D3"/>
    <w:rsid w:val="00725966"/>
    <w:rsid w:val="00725F78"/>
    <w:rsid w:val="00725F96"/>
    <w:rsid w:val="0072607A"/>
    <w:rsid w:val="007261CF"/>
    <w:rsid w:val="00726384"/>
    <w:rsid w:val="007264B1"/>
    <w:rsid w:val="00726989"/>
    <w:rsid w:val="00726A58"/>
    <w:rsid w:val="00726AD7"/>
    <w:rsid w:val="00726AE7"/>
    <w:rsid w:val="00726C80"/>
    <w:rsid w:val="00726ECB"/>
    <w:rsid w:val="00726F11"/>
    <w:rsid w:val="00726F98"/>
    <w:rsid w:val="00726FDC"/>
    <w:rsid w:val="0072709A"/>
    <w:rsid w:val="007273A6"/>
    <w:rsid w:val="0072749F"/>
    <w:rsid w:val="00727529"/>
    <w:rsid w:val="007276A9"/>
    <w:rsid w:val="007276E2"/>
    <w:rsid w:val="007277B3"/>
    <w:rsid w:val="007278F6"/>
    <w:rsid w:val="00727930"/>
    <w:rsid w:val="00727AAD"/>
    <w:rsid w:val="00727B27"/>
    <w:rsid w:val="00727C34"/>
    <w:rsid w:val="00727F6D"/>
    <w:rsid w:val="00730160"/>
    <w:rsid w:val="0073020B"/>
    <w:rsid w:val="00730501"/>
    <w:rsid w:val="007305AB"/>
    <w:rsid w:val="00730613"/>
    <w:rsid w:val="007306B8"/>
    <w:rsid w:val="0073072C"/>
    <w:rsid w:val="00730A67"/>
    <w:rsid w:val="00730BB2"/>
    <w:rsid w:val="00730CA9"/>
    <w:rsid w:val="00730CDF"/>
    <w:rsid w:val="00730E08"/>
    <w:rsid w:val="00730F1A"/>
    <w:rsid w:val="00730FE4"/>
    <w:rsid w:val="007312E8"/>
    <w:rsid w:val="0073130B"/>
    <w:rsid w:val="00731342"/>
    <w:rsid w:val="007315B5"/>
    <w:rsid w:val="00731721"/>
    <w:rsid w:val="00731769"/>
    <w:rsid w:val="007318EE"/>
    <w:rsid w:val="00731908"/>
    <w:rsid w:val="007319F8"/>
    <w:rsid w:val="00731C62"/>
    <w:rsid w:val="00731D43"/>
    <w:rsid w:val="00731EC7"/>
    <w:rsid w:val="00731EE6"/>
    <w:rsid w:val="0073211A"/>
    <w:rsid w:val="007324AE"/>
    <w:rsid w:val="0073271E"/>
    <w:rsid w:val="00732881"/>
    <w:rsid w:val="00732926"/>
    <w:rsid w:val="00732B10"/>
    <w:rsid w:val="00732B57"/>
    <w:rsid w:val="00732C26"/>
    <w:rsid w:val="00732C2F"/>
    <w:rsid w:val="00732D7D"/>
    <w:rsid w:val="00732F41"/>
    <w:rsid w:val="00733081"/>
    <w:rsid w:val="007331B9"/>
    <w:rsid w:val="0073321C"/>
    <w:rsid w:val="007332D3"/>
    <w:rsid w:val="0073335B"/>
    <w:rsid w:val="007333CA"/>
    <w:rsid w:val="0073347A"/>
    <w:rsid w:val="007334B5"/>
    <w:rsid w:val="007334DD"/>
    <w:rsid w:val="0073356D"/>
    <w:rsid w:val="0073359C"/>
    <w:rsid w:val="007336AE"/>
    <w:rsid w:val="007336EA"/>
    <w:rsid w:val="00733E17"/>
    <w:rsid w:val="007340B3"/>
    <w:rsid w:val="007341C4"/>
    <w:rsid w:val="00734249"/>
    <w:rsid w:val="007343D5"/>
    <w:rsid w:val="00734420"/>
    <w:rsid w:val="00734440"/>
    <w:rsid w:val="00734465"/>
    <w:rsid w:val="007344BD"/>
    <w:rsid w:val="007346E2"/>
    <w:rsid w:val="00734710"/>
    <w:rsid w:val="00734D16"/>
    <w:rsid w:val="00734F40"/>
    <w:rsid w:val="00734F7A"/>
    <w:rsid w:val="00734FA3"/>
    <w:rsid w:val="00735025"/>
    <w:rsid w:val="00735227"/>
    <w:rsid w:val="007354DB"/>
    <w:rsid w:val="00735537"/>
    <w:rsid w:val="007355A6"/>
    <w:rsid w:val="00735607"/>
    <w:rsid w:val="007357AD"/>
    <w:rsid w:val="007357D7"/>
    <w:rsid w:val="007358AD"/>
    <w:rsid w:val="0073595B"/>
    <w:rsid w:val="00735B64"/>
    <w:rsid w:val="00735BD9"/>
    <w:rsid w:val="00735C36"/>
    <w:rsid w:val="00735C3C"/>
    <w:rsid w:val="00735F43"/>
    <w:rsid w:val="00736083"/>
    <w:rsid w:val="007362FE"/>
    <w:rsid w:val="00736394"/>
    <w:rsid w:val="0073661A"/>
    <w:rsid w:val="00736675"/>
    <w:rsid w:val="007366EB"/>
    <w:rsid w:val="00736840"/>
    <w:rsid w:val="007368D0"/>
    <w:rsid w:val="00736915"/>
    <w:rsid w:val="00736D9D"/>
    <w:rsid w:val="00736E5C"/>
    <w:rsid w:val="00736EF7"/>
    <w:rsid w:val="00736F26"/>
    <w:rsid w:val="007370EC"/>
    <w:rsid w:val="007371A8"/>
    <w:rsid w:val="007371C6"/>
    <w:rsid w:val="007371D7"/>
    <w:rsid w:val="0073725F"/>
    <w:rsid w:val="007372F7"/>
    <w:rsid w:val="007373A3"/>
    <w:rsid w:val="00737503"/>
    <w:rsid w:val="00737742"/>
    <w:rsid w:val="00737819"/>
    <w:rsid w:val="0073792A"/>
    <w:rsid w:val="00737BFB"/>
    <w:rsid w:val="00737E19"/>
    <w:rsid w:val="00737F87"/>
    <w:rsid w:val="00740368"/>
    <w:rsid w:val="00740390"/>
    <w:rsid w:val="00740410"/>
    <w:rsid w:val="00740585"/>
    <w:rsid w:val="00740803"/>
    <w:rsid w:val="00740830"/>
    <w:rsid w:val="00740A71"/>
    <w:rsid w:val="00740C12"/>
    <w:rsid w:val="00740E94"/>
    <w:rsid w:val="00740FA6"/>
    <w:rsid w:val="00741064"/>
    <w:rsid w:val="007410D9"/>
    <w:rsid w:val="00741167"/>
    <w:rsid w:val="0074130B"/>
    <w:rsid w:val="0074132B"/>
    <w:rsid w:val="0074146C"/>
    <w:rsid w:val="00741A31"/>
    <w:rsid w:val="00741A49"/>
    <w:rsid w:val="00741AE4"/>
    <w:rsid w:val="00741B46"/>
    <w:rsid w:val="00741DC0"/>
    <w:rsid w:val="00741F69"/>
    <w:rsid w:val="00741F79"/>
    <w:rsid w:val="007420C7"/>
    <w:rsid w:val="0074223A"/>
    <w:rsid w:val="00742532"/>
    <w:rsid w:val="00742648"/>
    <w:rsid w:val="007429B5"/>
    <w:rsid w:val="00742CFE"/>
    <w:rsid w:val="00742D11"/>
    <w:rsid w:val="00742E6B"/>
    <w:rsid w:val="00742EBB"/>
    <w:rsid w:val="00743047"/>
    <w:rsid w:val="007431AA"/>
    <w:rsid w:val="00743569"/>
    <w:rsid w:val="00743579"/>
    <w:rsid w:val="00743589"/>
    <w:rsid w:val="007436B7"/>
    <w:rsid w:val="0074374B"/>
    <w:rsid w:val="00743891"/>
    <w:rsid w:val="0074396C"/>
    <w:rsid w:val="007439CC"/>
    <w:rsid w:val="00743CAC"/>
    <w:rsid w:val="00743CC3"/>
    <w:rsid w:val="00743E88"/>
    <w:rsid w:val="00743F25"/>
    <w:rsid w:val="00744015"/>
    <w:rsid w:val="00744041"/>
    <w:rsid w:val="00744062"/>
    <w:rsid w:val="0074406C"/>
    <w:rsid w:val="0074426B"/>
    <w:rsid w:val="0074436B"/>
    <w:rsid w:val="007445DF"/>
    <w:rsid w:val="007446F4"/>
    <w:rsid w:val="007447E4"/>
    <w:rsid w:val="00744A6A"/>
    <w:rsid w:val="00744AE1"/>
    <w:rsid w:val="00744D26"/>
    <w:rsid w:val="00744E10"/>
    <w:rsid w:val="00744F3B"/>
    <w:rsid w:val="007450A5"/>
    <w:rsid w:val="0074516C"/>
    <w:rsid w:val="00745190"/>
    <w:rsid w:val="007453BD"/>
    <w:rsid w:val="007453BE"/>
    <w:rsid w:val="007453E9"/>
    <w:rsid w:val="00745598"/>
    <w:rsid w:val="007458D5"/>
    <w:rsid w:val="00745937"/>
    <w:rsid w:val="00745C92"/>
    <w:rsid w:val="00745E43"/>
    <w:rsid w:val="007460DA"/>
    <w:rsid w:val="0074622A"/>
    <w:rsid w:val="0074622D"/>
    <w:rsid w:val="00746887"/>
    <w:rsid w:val="00746977"/>
    <w:rsid w:val="007469D6"/>
    <w:rsid w:val="00746CB2"/>
    <w:rsid w:val="00746D16"/>
    <w:rsid w:val="00746D8B"/>
    <w:rsid w:val="00746E67"/>
    <w:rsid w:val="00746EE8"/>
    <w:rsid w:val="00747126"/>
    <w:rsid w:val="007471C7"/>
    <w:rsid w:val="00747381"/>
    <w:rsid w:val="007473A2"/>
    <w:rsid w:val="007473CD"/>
    <w:rsid w:val="007476A0"/>
    <w:rsid w:val="00747739"/>
    <w:rsid w:val="007477C5"/>
    <w:rsid w:val="00747837"/>
    <w:rsid w:val="0074792C"/>
    <w:rsid w:val="00747938"/>
    <w:rsid w:val="00747B66"/>
    <w:rsid w:val="00747C6F"/>
    <w:rsid w:val="00747DA6"/>
    <w:rsid w:val="00747FB5"/>
    <w:rsid w:val="00747FBD"/>
    <w:rsid w:val="007500A2"/>
    <w:rsid w:val="0075010D"/>
    <w:rsid w:val="007503D3"/>
    <w:rsid w:val="007504D8"/>
    <w:rsid w:val="007509C4"/>
    <w:rsid w:val="00750A7F"/>
    <w:rsid w:val="00750BAB"/>
    <w:rsid w:val="00750C85"/>
    <w:rsid w:val="00750EC3"/>
    <w:rsid w:val="00750FCF"/>
    <w:rsid w:val="007510D7"/>
    <w:rsid w:val="007512B3"/>
    <w:rsid w:val="0075140C"/>
    <w:rsid w:val="00751551"/>
    <w:rsid w:val="007515D1"/>
    <w:rsid w:val="007517DA"/>
    <w:rsid w:val="0075191F"/>
    <w:rsid w:val="00751B95"/>
    <w:rsid w:val="00751E52"/>
    <w:rsid w:val="00751E5B"/>
    <w:rsid w:val="00751F70"/>
    <w:rsid w:val="00751FB5"/>
    <w:rsid w:val="0075200F"/>
    <w:rsid w:val="0075204A"/>
    <w:rsid w:val="007521C4"/>
    <w:rsid w:val="007521CE"/>
    <w:rsid w:val="00752939"/>
    <w:rsid w:val="007529A4"/>
    <w:rsid w:val="00752BEB"/>
    <w:rsid w:val="00752C31"/>
    <w:rsid w:val="00752D13"/>
    <w:rsid w:val="00752DD8"/>
    <w:rsid w:val="0075312C"/>
    <w:rsid w:val="0075319E"/>
    <w:rsid w:val="007532F6"/>
    <w:rsid w:val="007532FA"/>
    <w:rsid w:val="0075333A"/>
    <w:rsid w:val="00753671"/>
    <w:rsid w:val="00753757"/>
    <w:rsid w:val="0075377A"/>
    <w:rsid w:val="00753923"/>
    <w:rsid w:val="00753963"/>
    <w:rsid w:val="007539CD"/>
    <w:rsid w:val="00753A38"/>
    <w:rsid w:val="00753BA7"/>
    <w:rsid w:val="00753C7B"/>
    <w:rsid w:val="00753D0A"/>
    <w:rsid w:val="00753FEC"/>
    <w:rsid w:val="00754031"/>
    <w:rsid w:val="007541E4"/>
    <w:rsid w:val="0075446A"/>
    <w:rsid w:val="0075469A"/>
    <w:rsid w:val="00754A6C"/>
    <w:rsid w:val="00754A9C"/>
    <w:rsid w:val="00754E07"/>
    <w:rsid w:val="00755038"/>
    <w:rsid w:val="007550FD"/>
    <w:rsid w:val="007551F7"/>
    <w:rsid w:val="007553ED"/>
    <w:rsid w:val="007553FA"/>
    <w:rsid w:val="00755467"/>
    <w:rsid w:val="00755817"/>
    <w:rsid w:val="0075581D"/>
    <w:rsid w:val="00755A32"/>
    <w:rsid w:val="00755A6E"/>
    <w:rsid w:val="00755B12"/>
    <w:rsid w:val="00755B79"/>
    <w:rsid w:val="00755D93"/>
    <w:rsid w:val="00755DCB"/>
    <w:rsid w:val="00755E5C"/>
    <w:rsid w:val="007561BE"/>
    <w:rsid w:val="00756497"/>
    <w:rsid w:val="007564B8"/>
    <w:rsid w:val="0075678B"/>
    <w:rsid w:val="00756876"/>
    <w:rsid w:val="0075692B"/>
    <w:rsid w:val="00756A7B"/>
    <w:rsid w:val="00756B00"/>
    <w:rsid w:val="00756CCC"/>
    <w:rsid w:val="00756D60"/>
    <w:rsid w:val="00756D9D"/>
    <w:rsid w:val="00756EF9"/>
    <w:rsid w:val="00756FD7"/>
    <w:rsid w:val="00757035"/>
    <w:rsid w:val="007570C9"/>
    <w:rsid w:val="00757186"/>
    <w:rsid w:val="007573D6"/>
    <w:rsid w:val="007574A3"/>
    <w:rsid w:val="007578E1"/>
    <w:rsid w:val="00757A6A"/>
    <w:rsid w:val="00757AC0"/>
    <w:rsid w:val="00757B2D"/>
    <w:rsid w:val="00757CF3"/>
    <w:rsid w:val="00757D01"/>
    <w:rsid w:val="00757DB0"/>
    <w:rsid w:val="0076006D"/>
    <w:rsid w:val="007604D2"/>
    <w:rsid w:val="0076053D"/>
    <w:rsid w:val="00760768"/>
    <w:rsid w:val="00760889"/>
    <w:rsid w:val="00760B59"/>
    <w:rsid w:val="00760BCC"/>
    <w:rsid w:val="00760C0E"/>
    <w:rsid w:val="0076106B"/>
    <w:rsid w:val="00761269"/>
    <w:rsid w:val="00761320"/>
    <w:rsid w:val="0076134C"/>
    <w:rsid w:val="007613A9"/>
    <w:rsid w:val="0076152E"/>
    <w:rsid w:val="007617FB"/>
    <w:rsid w:val="00761830"/>
    <w:rsid w:val="00761A28"/>
    <w:rsid w:val="00761A7B"/>
    <w:rsid w:val="00761AB3"/>
    <w:rsid w:val="00761B1E"/>
    <w:rsid w:val="00761B62"/>
    <w:rsid w:val="00761EB7"/>
    <w:rsid w:val="00762154"/>
    <w:rsid w:val="007621D2"/>
    <w:rsid w:val="007621FF"/>
    <w:rsid w:val="00762286"/>
    <w:rsid w:val="00762325"/>
    <w:rsid w:val="007624D0"/>
    <w:rsid w:val="007625E9"/>
    <w:rsid w:val="0076261D"/>
    <w:rsid w:val="007628F7"/>
    <w:rsid w:val="00762A52"/>
    <w:rsid w:val="00762AFB"/>
    <w:rsid w:val="00762B3D"/>
    <w:rsid w:val="00762E5A"/>
    <w:rsid w:val="007630F5"/>
    <w:rsid w:val="00763275"/>
    <w:rsid w:val="00763388"/>
    <w:rsid w:val="007637BC"/>
    <w:rsid w:val="007639D9"/>
    <w:rsid w:val="00763ED0"/>
    <w:rsid w:val="00763F20"/>
    <w:rsid w:val="007640AF"/>
    <w:rsid w:val="00764348"/>
    <w:rsid w:val="0076440A"/>
    <w:rsid w:val="007644F6"/>
    <w:rsid w:val="007646DE"/>
    <w:rsid w:val="0076473B"/>
    <w:rsid w:val="0076475B"/>
    <w:rsid w:val="00764994"/>
    <w:rsid w:val="007649FA"/>
    <w:rsid w:val="00764AC3"/>
    <w:rsid w:val="00764B31"/>
    <w:rsid w:val="00764B34"/>
    <w:rsid w:val="00764B5D"/>
    <w:rsid w:val="00764C6E"/>
    <w:rsid w:val="00764D00"/>
    <w:rsid w:val="00764D72"/>
    <w:rsid w:val="00764FD5"/>
    <w:rsid w:val="00765118"/>
    <w:rsid w:val="0076517D"/>
    <w:rsid w:val="0076529F"/>
    <w:rsid w:val="007655A9"/>
    <w:rsid w:val="007656A1"/>
    <w:rsid w:val="007656CA"/>
    <w:rsid w:val="00765956"/>
    <w:rsid w:val="00765A07"/>
    <w:rsid w:val="00765AA2"/>
    <w:rsid w:val="00765BA8"/>
    <w:rsid w:val="00765E3A"/>
    <w:rsid w:val="00765EE8"/>
    <w:rsid w:val="00765FA6"/>
    <w:rsid w:val="00766007"/>
    <w:rsid w:val="007664F7"/>
    <w:rsid w:val="00766A53"/>
    <w:rsid w:val="00766B16"/>
    <w:rsid w:val="00766BD0"/>
    <w:rsid w:val="00766BE0"/>
    <w:rsid w:val="00766C39"/>
    <w:rsid w:val="00766C93"/>
    <w:rsid w:val="00766D36"/>
    <w:rsid w:val="0076705C"/>
    <w:rsid w:val="00767113"/>
    <w:rsid w:val="00767193"/>
    <w:rsid w:val="007673C8"/>
    <w:rsid w:val="00767570"/>
    <w:rsid w:val="00767768"/>
    <w:rsid w:val="00767846"/>
    <w:rsid w:val="0076784F"/>
    <w:rsid w:val="00767869"/>
    <w:rsid w:val="00767963"/>
    <w:rsid w:val="00767AC1"/>
    <w:rsid w:val="00767BF3"/>
    <w:rsid w:val="00767BF4"/>
    <w:rsid w:val="00767D63"/>
    <w:rsid w:val="00767D9C"/>
    <w:rsid w:val="00767FFC"/>
    <w:rsid w:val="007700EC"/>
    <w:rsid w:val="0077017D"/>
    <w:rsid w:val="0077018F"/>
    <w:rsid w:val="007704F1"/>
    <w:rsid w:val="00770A26"/>
    <w:rsid w:val="00770B1F"/>
    <w:rsid w:val="00770FA5"/>
    <w:rsid w:val="0077112A"/>
    <w:rsid w:val="00771170"/>
    <w:rsid w:val="00771331"/>
    <w:rsid w:val="0077138A"/>
    <w:rsid w:val="007713A4"/>
    <w:rsid w:val="007713BF"/>
    <w:rsid w:val="007715DE"/>
    <w:rsid w:val="00771608"/>
    <w:rsid w:val="0077163A"/>
    <w:rsid w:val="0077172C"/>
    <w:rsid w:val="007717E4"/>
    <w:rsid w:val="00771E7C"/>
    <w:rsid w:val="00771FB5"/>
    <w:rsid w:val="007722EC"/>
    <w:rsid w:val="007724A7"/>
    <w:rsid w:val="00772657"/>
    <w:rsid w:val="007726FA"/>
    <w:rsid w:val="00772945"/>
    <w:rsid w:val="00772B73"/>
    <w:rsid w:val="00772DAD"/>
    <w:rsid w:val="00773053"/>
    <w:rsid w:val="007730BE"/>
    <w:rsid w:val="007731BC"/>
    <w:rsid w:val="007732D7"/>
    <w:rsid w:val="0077330B"/>
    <w:rsid w:val="00773328"/>
    <w:rsid w:val="00773481"/>
    <w:rsid w:val="00773913"/>
    <w:rsid w:val="007739CF"/>
    <w:rsid w:val="00773C3D"/>
    <w:rsid w:val="007741E7"/>
    <w:rsid w:val="007746E8"/>
    <w:rsid w:val="007746ED"/>
    <w:rsid w:val="00774814"/>
    <w:rsid w:val="00774B93"/>
    <w:rsid w:val="00774BC7"/>
    <w:rsid w:val="00774EAF"/>
    <w:rsid w:val="00774F82"/>
    <w:rsid w:val="00774FC7"/>
    <w:rsid w:val="00775231"/>
    <w:rsid w:val="007752B0"/>
    <w:rsid w:val="007754C3"/>
    <w:rsid w:val="0077554D"/>
    <w:rsid w:val="00775567"/>
    <w:rsid w:val="00775630"/>
    <w:rsid w:val="007757C6"/>
    <w:rsid w:val="007757C9"/>
    <w:rsid w:val="00775B6B"/>
    <w:rsid w:val="00775C40"/>
    <w:rsid w:val="00775C59"/>
    <w:rsid w:val="00775C9B"/>
    <w:rsid w:val="0077629F"/>
    <w:rsid w:val="0077645D"/>
    <w:rsid w:val="00776542"/>
    <w:rsid w:val="0077657D"/>
    <w:rsid w:val="007765D0"/>
    <w:rsid w:val="00776685"/>
    <w:rsid w:val="00776749"/>
    <w:rsid w:val="00776856"/>
    <w:rsid w:val="00776ADA"/>
    <w:rsid w:val="00776E2E"/>
    <w:rsid w:val="00776E6F"/>
    <w:rsid w:val="00777087"/>
    <w:rsid w:val="0077720A"/>
    <w:rsid w:val="00777264"/>
    <w:rsid w:val="007772AC"/>
    <w:rsid w:val="00777442"/>
    <w:rsid w:val="00777451"/>
    <w:rsid w:val="00777786"/>
    <w:rsid w:val="0077791A"/>
    <w:rsid w:val="00777938"/>
    <w:rsid w:val="007779A3"/>
    <w:rsid w:val="00777ADC"/>
    <w:rsid w:val="00777B5C"/>
    <w:rsid w:val="00777C27"/>
    <w:rsid w:val="00777C68"/>
    <w:rsid w:val="007802E7"/>
    <w:rsid w:val="00780359"/>
    <w:rsid w:val="007803B6"/>
    <w:rsid w:val="007805FC"/>
    <w:rsid w:val="00780B1A"/>
    <w:rsid w:val="00780D45"/>
    <w:rsid w:val="00780F3F"/>
    <w:rsid w:val="00781260"/>
    <w:rsid w:val="007812E7"/>
    <w:rsid w:val="00781315"/>
    <w:rsid w:val="007814F8"/>
    <w:rsid w:val="00781546"/>
    <w:rsid w:val="0078159F"/>
    <w:rsid w:val="00781663"/>
    <w:rsid w:val="007819ED"/>
    <w:rsid w:val="00781A97"/>
    <w:rsid w:val="00781E7D"/>
    <w:rsid w:val="00781E8E"/>
    <w:rsid w:val="00782022"/>
    <w:rsid w:val="00782065"/>
    <w:rsid w:val="007822F0"/>
    <w:rsid w:val="0078238E"/>
    <w:rsid w:val="00782419"/>
    <w:rsid w:val="007824BC"/>
    <w:rsid w:val="00782612"/>
    <w:rsid w:val="00782680"/>
    <w:rsid w:val="0078299A"/>
    <w:rsid w:val="00782A10"/>
    <w:rsid w:val="00782D2D"/>
    <w:rsid w:val="00782DFC"/>
    <w:rsid w:val="00782EC4"/>
    <w:rsid w:val="00782EEE"/>
    <w:rsid w:val="00782F13"/>
    <w:rsid w:val="00783096"/>
    <w:rsid w:val="00783153"/>
    <w:rsid w:val="0078326A"/>
    <w:rsid w:val="00783331"/>
    <w:rsid w:val="0078390D"/>
    <w:rsid w:val="00783A74"/>
    <w:rsid w:val="00783AE5"/>
    <w:rsid w:val="00783F0C"/>
    <w:rsid w:val="0078421C"/>
    <w:rsid w:val="0078424C"/>
    <w:rsid w:val="00784789"/>
    <w:rsid w:val="00784846"/>
    <w:rsid w:val="00784847"/>
    <w:rsid w:val="00784B31"/>
    <w:rsid w:val="00784B98"/>
    <w:rsid w:val="00784EFF"/>
    <w:rsid w:val="00784F01"/>
    <w:rsid w:val="0078500E"/>
    <w:rsid w:val="0078502F"/>
    <w:rsid w:val="007852A3"/>
    <w:rsid w:val="0078539C"/>
    <w:rsid w:val="007853C2"/>
    <w:rsid w:val="00785601"/>
    <w:rsid w:val="00785777"/>
    <w:rsid w:val="007857DC"/>
    <w:rsid w:val="00785AEF"/>
    <w:rsid w:val="00785B36"/>
    <w:rsid w:val="00785C37"/>
    <w:rsid w:val="00785C83"/>
    <w:rsid w:val="00785DFE"/>
    <w:rsid w:val="00785F0D"/>
    <w:rsid w:val="00785F60"/>
    <w:rsid w:val="00785F68"/>
    <w:rsid w:val="0078602E"/>
    <w:rsid w:val="00786131"/>
    <w:rsid w:val="00786414"/>
    <w:rsid w:val="007864DA"/>
    <w:rsid w:val="00786524"/>
    <w:rsid w:val="007867D1"/>
    <w:rsid w:val="0078684E"/>
    <w:rsid w:val="007869E8"/>
    <w:rsid w:val="00786D79"/>
    <w:rsid w:val="00786ED8"/>
    <w:rsid w:val="007871BC"/>
    <w:rsid w:val="007873AA"/>
    <w:rsid w:val="00787457"/>
    <w:rsid w:val="00787491"/>
    <w:rsid w:val="0078759B"/>
    <w:rsid w:val="007875D7"/>
    <w:rsid w:val="00787641"/>
    <w:rsid w:val="007876BF"/>
    <w:rsid w:val="007876C2"/>
    <w:rsid w:val="00787807"/>
    <w:rsid w:val="00787825"/>
    <w:rsid w:val="00787985"/>
    <w:rsid w:val="007879B9"/>
    <w:rsid w:val="00787A15"/>
    <w:rsid w:val="00787CA6"/>
    <w:rsid w:val="00787CF3"/>
    <w:rsid w:val="00787D20"/>
    <w:rsid w:val="00787EB0"/>
    <w:rsid w:val="00787EE2"/>
    <w:rsid w:val="00787FD1"/>
    <w:rsid w:val="0079001F"/>
    <w:rsid w:val="00790362"/>
    <w:rsid w:val="007904EA"/>
    <w:rsid w:val="0079065C"/>
    <w:rsid w:val="007906A9"/>
    <w:rsid w:val="00790737"/>
    <w:rsid w:val="00790767"/>
    <w:rsid w:val="0079093F"/>
    <w:rsid w:val="00790A3B"/>
    <w:rsid w:val="00790B5E"/>
    <w:rsid w:val="00790B5F"/>
    <w:rsid w:val="00790EF1"/>
    <w:rsid w:val="00790F8B"/>
    <w:rsid w:val="0079108A"/>
    <w:rsid w:val="0079108D"/>
    <w:rsid w:val="0079119A"/>
    <w:rsid w:val="007911B6"/>
    <w:rsid w:val="00791414"/>
    <w:rsid w:val="00791433"/>
    <w:rsid w:val="00791A51"/>
    <w:rsid w:val="00791BC6"/>
    <w:rsid w:val="00791BF5"/>
    <w:rsid w:val="00791C07"/>
    <w:rsid w:val="00791D5B"/>
    <w:rsid w:val="00791E70"/>
    <w:rsid w:val="0079201D"/>
    <w:rsid w:val="00792061"/>
    <w:rsid w:val="007920FE"/>
    <w:rsid w:val="00792125"/>
    <w:rsid w:val="007922BF"/>
    <w:rsid w:val="00792431"/>
    <w:rsid w:val="0079243E"/>
    <w:rsid w:val="007925D2"/>
    <w:rsid w:val="0079293E"/>
    <w:rsid w:val="00792979"/>
    <w:rsid w:val="00793054"/>
    <w:rsid w:val="007930B7"/>
    <w:rsid w:val="00793237"/>
    <w:rsid w:val="00793434"/>
    <w:rsid w:val="00793541"/>
    <w:rsid w:val="0079366E"/>
    <w:rsid w:val="00793979"/>
    <w:rsid w:val="00793AC0"/>
    <w:rsid w:val="00793C0C"/>
    <w:rsid w:val="00793CCF"/>
    <w:rsid w:val="00794234"/>
    <w:rsid w:val="007942AC"/>
    <w:rsid w:val="007945D8"/>
    <w:rsid w:val="007946AA"/>
    <w:rsid w:val="0079479F"/>
    <w:rsid w:val="00794973"/>
    <w:rsid w:val="00794AD4"/>
    <w:rsid w:val="00794BB9"/>
    <w:rsid w:val="00794C66"/>
    <w:rsid w:val="00794CA5"/>
    <w:rsid w:val="00794D41"/>
    <w:rsid w:val="00794E54"/>
    <w:rsid w:val="00794E6A"/>
    <w:rsid w:val="00794F5F"/>
    <w:rsid w:val="00795263"/>
    <w:rsid w:val="007952DA"/>
    <w:rsid w:val="007953AE"/>
    <w:rsid w:val="00795432"/>
    <w:rsid w:val="007954CF"/>
    <w:rsid w:val="00795515"/>
    <w:rsid w:val="00795730"/>
    <w:rsid w:val="007958E5"/>
    <w:rsid w:val="007959CC"/>
    <w:rsid w:val="00795BCE"/>
    <w:rsid w:val="00795BD9"/>
    <w:rsid w:val="00795DB7"/>
    <w:rsid w:val="00795DF5"/>
    <w:rsid w:val="00795E2E"/>
    <w:rsid w:val="00796018"/>
    <w:rsid w:val="00796776"/>
    <w:rsid w:val="00796818"/>
    <w:rsid w:val="00796859"/>
    <w:rsid w:val="007968E1"/>
    <w:rsid w:val="0079691E"/>
    <w:rsid w:val="007969E4"/>
    <w:rsid w:val="00796CD0"/>
    <w:rsid w:val="00796D3F"/>
    <w:rsid w:val="00796E5B"/>
    <w:rsid w:val="00796E96"/>
    <w:rsid w:val="00797093"/>
    <w:rsid w:val="007970C0"/>
    <w:rsid w:val="007970FC"/>
    <w:rsid w:val="0079740E"/>
    <w:rsid w:val="007974B0"/>
    <w:rsid w:val="0079768A"/>
    <w:rsid w:val="0079776F"/>
    <w:rsid w:val="00797CD7"/>
    <w:rsid w:val="00797DB8"/>
    <w:rsid w:val="00797DDC"/>
    <w:rsid w:val="007A0003"/>
    <w:rsid w:val="007A0131"/>
    <w:rsid w:val="007A0133"/>
    <w:rsid w:val="007A0395"/>
    <w:rsid w:val="007A0433"/>
    <w:rsid w:val="007A04E1"/>
    <w:rsid w:val="007A05AD"/>
    <w:rsid w:val="007A06CB"/>
    <w:rsid w:val="007A0725"/>
    <w:rsid w:val="007A08CD"/>
    <w:rsid w:val="007A08CE"/>
    <w:rsid w:val="007A092C"/>
    <w:rsid w:val="007A0964"/>
    <w:rsid w:val="007A09C0"/>
    <w:rsid w:val="007A0BC8"/>
    <w:rsid w:val="007A0F3F"/>
    <w:rsid w:val="007A1214"/>
    <w:rsid w:val="007A130F"/>
    <w:rsid w:val="007A135E"/>
    <w:rsid w:val="007A1364"/>
    <w:rsid w:val="007A1785"/>
    <w:rsid w:val="007A17F1"/>
    <w:rsid w:val="007A1889"/>
    <w:rsid w:val="007A1939"/>
    <w:rsid w:val="007A1AA0"/>
    <w:rsid w:val="007A1E6F"/>
    <w:rsid w:val="007A1F2D"/>
    <w:rsid w:val="007A2179"/>
    <w:rsid w:val="007A2286"/>
    <w:rsid w:val="007A245F"/>
    <w:rsid w:val="007A2485"/>
    <w:rsid w:val="007A24A0"/>
    <w:rsid w:val="007A24F4"/>
    <w:rsid w:val="007A2542"/>
    <w:rsid w:val="007A264E"/>
    <w:rsid w:val="007A26A2"/>
    <w:rsid w:val="007A2702"/>
    <w:rsid w:val="007A2720"/>
    <w:rsid w:val="007A2723"/>
    <w:rsid w:val="007A2769"/>
    <w:rsid w:val="007A2824"/>
    <w:rsid w:val="007A2842"/>
    <w:rsid w:val="007A2853"/>
    <w:rsid w:val="007A28EC"/>
    <w:rsid w:val="007A28FC"/>
    <w:rsid w:val="007A2938"/>
    <w:rsid w:val="007A2CCB"/>
    <w:rsid w:val="007A2D49"/>
    <w:rsid w:val="007A2D81"/>
    <w:rsid w:val="007A2DB0"/>
    <w:rsid w:val="007A2E83"/>
    <w:rsid w:val="007A313E"/>
    <w:rsid w:val="007A332C"/>
    <w:rsid w:val="007A35AC"/>
    <w:rsid w:val="007A397F"/>
    <w:rsid w:val="007A3B9A"/>
    <w:rsid w:val="007A3BF5"/>
    <w:rsid w:val="007A3E5B"/>
    <w:rsid w:val="007A3FC1"/>
    <w:rsid w:val="007A4094"/>
    <w:rsid w:val="007A40C0"/>
    <w:rsid w:val="007A4171"/>
    <w:rsid w:val="007A41A1"/>
    <w:rsid w:val="007A41B9"/>
    <w:rsid w:val="007A4377"/>
    <w:rsid w:val="007A43C0"/>
    <w:rsid w:val="007A44B6"/>
    <w:rsid w:val="007A45FB"/>
    <w:rsid w:val="007A4637"/>
    <w:rsid w:val="007A48CA"/>
    <w:rsid w:val="007A498E"/>
    <w:rsid w:val="007A4AB2"/>
    <w:rsid w:val="007A4DB2"/>
    <w:rsid w:val="007A4DCB"/>
    <w:rsid w:val="007A4E13"/>
    <w:rsid w:val="007A4EDF"/>
    <w:rsid w:val="007A52BC"/>
    <w:rsid w:val="007A53CE"/>
    <w:rsid w:val="007A55A8"/>
    <w:rsid w:val="007A561B"/>
    <w:rsid w:val="007A563E"/>
    <w:rsid w:val="007A56A0"/>
    <w:rsid w:val="007A58DD"/>
    <w:rsid w:val="007A5AE0"/>
    <w:rsid w:val="007A5AFD"/>
    <w:rsid w:val="007A5BAA"/>
    <w:rsid w:val="007A5D78"/>
    <w:rsid w:val="007A5E68"/>
    <w:rsid w:val="007A6013"/>
    <w:rsid w:val="007A602B"/>
    <w:rsid w:val="007A6090"/>
    <w:rsid w:val="007A610C"/>
    <w:rsid w:val="007A6391"/>
    <w:rsid w:val="007A63C9"/>
    <w:rsid w:val="007A6405"/>
    <w:rsid w:val="007A64DE"/>
    <w:rsid w:val="007A6518"/>
    <w:rsid w:val="007A6673"/>
    <w:rsid w:val="007A681D"/>
    <w:rsid w:val="007A6945"/>
    <w:rsid w:val="007A6A1A"/>
    <w:rsid w:val="007A6B28"/>
    <w:rsid w:val="007A6B91"/>
    <w:rsid w:val="007A6CFC"/>
    <w:rsid w:val="007A71CE"/>
    <w:rsid w:val="007A73E9"/>
    <w:rsid w:val="007A7442"/>
    <w:rsid w:val="007A7825"/>
    <w:rsid w:val="007A78B8"/>
    <w:rsid w:val="007A7925"/>
    <w:rsid w:val="007A7D6A"/>
    <w:rsid w:val="007A7E68"/>
    <w:rsid w:val="007A7E82"/>
    <w:rsid w:val="007A7E8C"/>
    <w:rsid w:val="007A7F13"/>
    <w:rsid w:val="007A7F19"/>
    <w:rsid w:val="007B03A9"/>
    <w:rsid w:val="007B081E"/>
    <w:rsid w:val="007B08C9"/>
    <w:rsid w:val="007B0A22"/>
    <w:rsid w:val="007B0A5D"/>
    <w:rsid w:val="007B0B56"/>
    <w:rsid w:val="007B0C1A"/>
    <w:rsid w:val="007B0CAC"/>
    <w:rsid w:val="007B0E20"/>
    <w:rsid w:val="007B1206"/>
    <w:rsid w:val="007B12EC"/>
    <w:rsid w:val="007B14FD"/>
    <w:rsid w:val="007B1570"/>
    <w:rsid w:val="007B15A6"/>
    <w:rsid w:val="007B18D5"/>
    <w:rsid w:val="007B1962"/>
    <w:rsid w:val="007B199C"/>
    <w:rsid w:val="007B1B25"/>
    <w:rsid w:val="007B1B6D"/>
    <w:rsid w:val="007B1BF7"/>
    <w:rsid w:val="007B1CA5"/>
    <w:rsid w:val="007B1CB2"/>
    <w:rsid w:val="007B1D67"/>
    <w:rsid w:val="007B1DA8"/>
    <w:rsid w:val="007B202C"/>
    <w:rsid w:val="007B217B"/>
    <w:rsid w:val="007B22DE"/>
    <w:rsid w:val="007B2440"/>
    <w:rsid w:val="007B24E8"/>
    <w:rsid w:val="007B265A"/>
    <w:rsid w:val="007B26E2"/>
    <w:rsid w:val="007B27BE"/>
    <w:rsid w:val="007B2892"/>
    <w:rsid w:val="007B2965"/>
    <w:rsid w:val="007B29DF"/>
    <w:rsid w:val="007B2FD6"/>
    <w:rsid w:val="007B31A8"/>
    <w:rsid w:val="007B321C"/>
    <w:rsid w:val="007B32B6"/>
    <w:rsid w:val="007B33E5"/>
    <w:rsid w:val="007B3469"/>
    <w:rsid w:val="007B36BF"/>
    <w:rsid w:val="007B3770"/>
    <w:rsid w:val="007B390B"/>
    <w:rsid w:val="007B3911"/>
    <w:rsid w:val="007B3C14"/>
    <w:rsid w:val="007B3CD9"/>
    <w:rsid w:val="007B3D0B"/>
    <w:rsid w:val="007B3DF6"/>
    <w:rsid w:val="007B41EB"/>
    <w:rsid w:val="007B423E"/>
    <w:rsid w:val="007B44B1"/>
    <w:rsid w:val="007B454A"/>
    <w:rsid w:val="007B4591"/>
    <w:rsid w:val="007B45DE"/>
    <w:rsid w:val="007B46A6"/>
    <w:rsid w:val="007B4757"/>
    <w:rsid w:val="007B4A47"/>
    <w:rsid w:val="007B4A59"/>
    <w:rsid w:val="007B4D42"/>
    <w:rsid w:val="007B4F33"/>
    <w:rsid w:val="007B4FD1"/>
    <w:rsid w:val="007B51AA"/>
    <w:rsid w:val="007B5298"/>
    <w:rsid w:val="007B5502"/>
    <w:rsid w:val="007B5612"/>
    <w:rsid w:val="007B577C"/>
    <w:rsid w:val="007B598C"/>
    <w:rsid w:val="007B5A2F"/>
    <w:rsid w:val="007B5A92"/>
    <w:rsid w:val="007B5B27"/>
    <w:rsid w:val="007B5B32"/>
    <w:rsid w:val="007B5C11"/>
    <w:rsid w:val="007B5C24"/>
    <w:rsid w:val="007B5C75"/>
    <w:rsid w:val="007B5DBD"/>
    <w:rsid w:val="007B5E58"/>
    <w:rsid w:val="007B5FA4"/>
    <w:rsid w:val="007B608E"/>
    <w:rsid w:val="007B610F"/>
    <w:rsid w:val="007B629E"/>
    <w:rsid w:val="007B63CF"/>
    <w:rsid w:val="007B69D8"/>
    <w:rsid w:val="007B6A2C"/>
    <w:rsid w:val="007B6AEE"/>
    <w:rsid w:val="007B6F53"/>
    <w:rsid w:val="007B6FC4"/>
    <w:rsid w:val="007B6FFF"/>
    <w:rsid w:val="007B713D"/>
    <w:rsid w:val="007B71E3"/>
    <w:rsid w:val="007B7331"/>
    <w:rsid w:val="007B745C"/>
    <w:rsid w:val="007B7472"/>
    <w:rsid w:val="007B74FE"/>
    <w:rsid w:val="007B7573"/>
    <w:rsid w:val="007B782F"/>
    <w:rsid w:val="007B7A13"/>
    <w:rsid w:val="007B7AAB"/>
    <w:rsid w:val="007C0009"/>
    <w:rsid w:val="007C03BB"/>
    <w:rsid w:val="007C042D"/>
    <w:rsid w:val="007C06B2"/>
    <w:rsid w:val="007C0884"/>
    <w:rsid w:val="007C0E7F"/>
    <w:rsid w:val="007C10FC"/>
    <w:rsid w:val="007C118C"/>
    <w:rsid w:val="007C124B"/>
    <w:rsid w:val="007C124F"/>
    <w:rsid w:val="007C12A3"/>
    <w:rsid w:val="007C17C7"/>
    <w:rsid w:val="007C17C9"/>
    <w:rsid w:val="007C19D3"/>
    <w:rsid w:val="007C1D2E"/>
    <w:rsid w:val="007C1D9D"/>
    <w:rsid w:val="007C1DFA"/>
    <w:rsid w:val="007C1E1C"/>
    <w:rsid w:val="007C1F58"/>
    <w:rsid w:val="007C2198"/>
    <w:rsid w:val="007C223B"/>
    <w:rsid w:val="007C229C"/>
    <w:rsid w:val="007C25FD"/>
    <w:rsid w:val="007C263D"/>
    <w:rsid w:val="007C264C"/>
    <w:rsid w:val="007C2683"/>
    <w:rsid w:val="007C28CF"/>
    <w:rsid w:val="007C2941"/>
    <w:rsid w:val="007C29D7"/>
    <w:rsid w:val="007C2A9E"/>
    <w:rsid w:val="007C2E93"/>
    <w:rsid w:val="007C2FC6"/>
    <w:rsid w:val="007C3000"/>
    <w:rsid w:val="007C314F"/>
    <w:rsid w:val="007C3215"/>
    <w:rsid w:val="007C3329"/>
    <w:rsid w:val="007C346A"/>
    <w:rsid w:val="007C34B6"/>
    <w:rsid w:val="007C34DE"/>
    <w:rsid w:val="007C353A"/>
    <w:rsid w:val="007C362B"/>
    <w:rsid w:val="007C36C3"/>
    <w:rsid w:val="007C36CD"/>
    <w:rsid w:val="007C38B5"/>
    <w:rsid w:val="007C396B"/>
    <w:rsid w:val="007C39D0"/>
    <w:rsid w:val="007C404B"/>
    <w:rsid w:val="007C4077"/>
    <w:rsid w:val="007C40F5"/>
    <w:rsid w:val="007C4161"/>
    <w:rsid w:val="007C4187"/>
    <w:rsid w:val="007C41A0"/>
    <w:rsid w:val="007C42EC"/>
    <w:rsid w:val="007C4A68"/>
    <w:rsid w:val="007C4BAE"/>
    <w:rsid w:val="007C4BEE"/>
    <w:rsid w:val="007C4D64"/>
    <w:rsid w:val="007C4EF0"/>
    <w:rsid w:val="007C4FAE"/>
    <w:rsid w:val="007C5102"/>
    <w:rsid w:val="007C527B"/>
    <w:rsid w:val="007C55CF"/>
    <w:rsid w:val="007C5959"/>
    <w:rsid w:val="007C5BA9"/>
    <w:rsid w:val="007C5E0A"/>
    <w:rsid w:val="007C5F9F"/>
    <w:rsid w:val="007C5FCF"/>
    <w:rsid w:val="007C62AC"/>
    <w:rsid w:val="007C667A"/>
    <w:rsid w:val="007C6940"/>
    <w:rsid w:val="007C6A89"/>
    <w:rsid w:val="007C6C2A"/>
    <w:rsid w:val="007C6CD2"/>
    <w:rsid w:val="007C6D50"/>
    <w:rsid w:val="007C6F2E"/>
    <w:rsid w:val="007C6FF9"/>
    <w:rsid w:val="007C7316"/>
    <w:rsid w:val="007C73CF"/>
    <w:rsid w:val="007C75EB"/>
    <w:rsid w:val="007C7617"/>
    <w:rsid w:val="007C764E"/>
    <w:rsid w:val="007C77C5"/>
    <w:rsid w:val="007C7D1A"/>
    <w:rsid w:val="007C7D67"/>
    <w:rsid w:val="007C7DEA"/>
    <w:rsid w:val="007C7E37"/>
    <w:rsid w:val="007D01AF"/>
    <w:rsid w:val="007D039C"/>
    <w:rsid w:val="007D044C"/>
    <w:rsid w:val="007D0ABB"/>
    <w:rsid w:val="007D0AF4"/>
    <w:rsid w:val="007D0C38"/>
    <w:rsid w:val="007D0D32"/>
    <w:rsid w:val="007D0E7E"/>
    <w:rsid w:val="007D0FFB"/>
    <w:rsid w:val="007D10C8"/>
    <w:rsid w:val="007D11AB"/>
    <w:rsid w:val="007D1269"/>
    <w:rsid w:val="007D12A6"/>
    <w:rsid w:val="007D12B6"/>
    <w:rsid w:val="007D138D"/>
    <w:rsid w:val="007D1406"/>
    <w:rsid w:val="007D1445"/>
    <w:rsid w:val="007D1C9D"/>
    <w:rsid w:val="007D1CE2"/>
    <w:rsid w:val="007D1D3B"/>
    <w:rsid w:val="007D1D6C"/>
    <w:rsid w:val="007D1DF0"/>
    <w:rsid w:val="007D1E79"/>
    <w:rsid w:val="007D2009"/>
    <w:rsid w:val="007D20B0"/>
    <w:rsid w:val="007D20BE"/>
    <w:rsid w:val="007D20C1"/>
    <w:rsid w:val="007D2102"/>
    <w:rsid w:val="007D24CF"/>
    <w:rsid w:val="007D25E6"/>
    <w:rsid w:val="007D2937"/>
    <w:rsid w:val="007D2A15"/>
    <w:rsid w:val="007D2F38"/>
    <w:rsid w:val="007D3122"/>
    <w:rsid w:val="007D3165"/>
    <w:rsid w:val="007D31C1"/>
    <w:rsid w:val="007D32B3"/>
    <w:rsid w:val="007D33EB"/>
    <w:rsid w:val="007D3560"/>
    <w:rsid w:val="007D3696"/>
    <w:rsid w:val="007D36CB"/>
    <w:rsid w:val="007D36EC"/>
    <w:rsid w:val="007D372B"/>
    <w:rsid w:val="007D3BB3"/>
    <w:rsid w:val="007D3BF1"/>
    <w:rsid w:val="007D3C3B"/>
    <w:rsid w:val="007D3C6A"/>
    <w:rsid w:val="007D3CD3"/>
    <w:rsid w:val="007D3DF2"/>
    <w:rsid w:val="007D4068"/>
    <w:rsid w:val="007D41C3"/>
    <w:rsid w:val="007D4284"/>
    <w:rsid w:val="007D4621"/>
    <w:rsid w:val="007D47A8"/>
    <w:rsid w:val="007D4982"/>
    <w:rsid w:val="007D49BD"/>
    <w:rsid w:val="007D4BA8"/>
    <w:rsid w:val="007D4BCA"/>
    <w:rsid w:val="007D4D87"/>
    <w:rsid w:val="007D4E55"/>
    <w:rsid w:val="007D502F"/>
    <w:rsid w:val="007D5188"/>
    <w:rsid w:val="007D5311"/>
    <w:rsid w:val="007D54A2"/>
    <w:rsid w:val="007D5696"/>
    <w:rsid w:val="007D5787"/>
    <w:rsid w:val="007D578C"/>
    <w:rsid w:val="007D5793"/>
    <w:rsid w:val="007D5950"/>
    <w:rsid w:val="007D5960"/>
    <w:rsid w:val="007D5A97"/>
    <w:rsid w:val="007D5B0B"/>
    <w:rsid w:val="007D5D8F"/>
    <w:rsid w:val="007D5DF7"/>
    <w:rsid w:val="007D6002"/>
    <w:rsid w:val="007D606A"/>
    <w:rsid w:val="007D6193"/>
    <w:rsid w:val="007D639E"/>
    <w:rsid w:val="007D64E4"/>
    <w:rsid w:val="007D65F6"/>
    <w:rsid w:val="007D6637"/>
    <w:rsid w:val="007D6942"/>
    <w:rsid w:val="007D6B1B"/>
    <w:rsid w:val="007D6B7B"/>
    <w:rsid w:val="007D6C0C"/>
    <w:rsid w:val="007D7033"/>
    <w:rsid w:val="007D715C"/>
    <w:rsid w:val="007D76AA"/>
    <w:rsid w:val="007D7867"/>
    <w:rsid w:val="007D7882"/>
    <w:rsid w:val="007D7B82"/>
    <w:rsid w:val="007D7C07"/>
    <w:rsid w:val="007D7C3C"/>
    <w:rsid w:val="007D7D31"/>
    <w:rsid w:val="007E025A"/>
    <w:rsid w:val="007E0262"/>
    <w:rsid w:val="007E0269"/>
    <w:rsid w:val="007E0451"/>
    <w:rsid w:val="007E0521"/>
    <w:rsid w:val="007E065C"/>
    <w:rsid w:val="007E092B"/>
    <w:rsid w:val="007E0976"/>
    <w:rsid w:val="007E0B35"/>
    <w:rsid w:val="007E0D25"/>
    <w:rsid w:val="007E0D83"/>
    <w:rsid w:val="007E0E68"/>
    <w:rsid w:val="007E0F6C"/>
    <w:rsid w:val="007E114E"/>
    <w:rsid w:val="007E1182"/>
    <w:rsid w:val="007E1282"/>
    <w:rsid w:val="007E1416"/>
    <w:rsid w:val="007E146A"/>
    <w:rsid w:val="007E14D9"/>
    <w:rsid w:val="007E1524"/>
    <w:rsid w:val="007E15F0"/>
    <w:rsid w:val="007E16FB"/>
    <w:rsid w:val="007E17FA"/>
    <w:rsid w:val="007E1883"/>
    <w:rsid w:val="007E196F"/>
    <w:rsid w:val="007E19F8"/>
    <w:rsid w:val="007E1BA9"/>
    <w:rsid w:val="007E22D1"/>
    <w:rsid w:val="007E2367"/>
    <w:rsid w:val="007E2604"/>
    <w:rsid w:val="007E2836"/>
    <w:rsid w:val="007E284A"/>
    <w:rsid w:val="007E2851"/>
    <w:rsid w:val="007E2B82"/>
    <w:rsid w:val="007E2DD3"/>
    <w:rsid w:val="007E2E8D"/>
    <w:rsid w:val="007E32DF"/>
    <w:rsid w:val="007E33B9"/>
    <w:rsid w:val="007E3460"/>
    <w:rsid w:val="007E3588"/>
    <w:rsid w:val="007E36B8"/>
    <w:rsid w:val="007E36ED"/>
    <w:rsid w:val="007E378E"/>
    <w:rsid w:val="007E3852"/>
    <w:rsid w:val="007E3B21"/>
    <w:rsid w:val="007E3E58"/>
    <w:rsid w:val="007E3F37"/>
    <w:rsid w:val="007E3F39"/>
    <w:rsid w:val="007E4015"/>
    <w:rsid w:val="007E42E6"/>
    <w:rsid w:val="007E440A"/>
    <w:rsid w:val="007E4459"/>
    <w:rsid w:val="007E46BF"/>
    <w:rsid w:val="007E487F"/>
    <w:rsid w:val="007E491C"/>
    <w:rsid w:val="007E4A0D"/>
    <w:rsid w:val="007E4B2D"/>
    <w:rsid w:val="007E4B3A"/>
    <w:rsid w:val="007E4C3F"/>
    <w:rsid w:val="007E4E04"/>
    <w:rsid w:val="007E50E3"/>
    <w:rsid w:val="007E5265"/>
    <w:rsid w:val="007E5328"/>
    <w:rsid w:val="007E5388"/>
    <w:rsid w:val="007E54E0"/>
    <w:rsid w:val="007E5623"/>
    <w:rsid w:val="007E587D"/>
    <w:rsid w:val="007E58C0"/>
    <w:rsid w:val="007E5A26"/>
    <w:rsid w:val="007E5A40"/>
    <w:rsid w:val="007E5ADC"/>
    <w:rsid w:val="007E5B6B"/>
    <w:rsid w:val="007E5CE8"/>
    <w:rsid w:val="007E5F71"/>
    <w:rsid w:val="007E5FD7"/>
    <w:rsid w:val="007E6024"/>
    <w:rsid w:val="007E60C0"/>
    <w:rsid w:val="007E6447"/>
    <w:rsid w:val="007E6757"/>
    <w:rsid w:val="007E6845"/>
    <w:rsid w:val="007E68C0"/>
    <w:rsid w:val="007E6BD6"/>
    <w:rsid w:val="007E6CE0"/>
    <w:rsid w:val="007E6D75"/>
    <w:rsid w:val="007E6D9B"/>
    <w:rsid w:val="007E6DE7"/>
    <w:rsid w:val="007E6F7D"/>
    <w:rsid w:val="007E7124"/>
    <w:rsid w:val="007E71E9"/>
    <w:rsid w:val="007E72DE"/>
    <w:rsid w:val="007E73A1"/>
    <w:rsid w:val="007E74E3"/>
    <w:rsid w:val="007E76CB"/>
    <w:rsid w:val="007E7721"/>
    <w:rsid w:val="007E77E9"/>
    <w:rsid w:val="007E7802"/>
    <w:rsid w:val="007E7B1C"/>
    <w:rsid w:val="007E7C5C"/>
    <w:rsid w:val="007E7CB2"/>
    <w:rsid w:val="007E7CF2"/>
    <w:rsid w:val="007F029C"/>
    <w:rsid w:val="007F02B2"/>
    <w:rsid w:val="007F02C7"/>
    <w:rsid w:val="007F02D6"/>
    <w:rsid w:val="007F032B"/>
    <w:rsid w:val="007F032D"/>
    <w:rsid w:val="007F03E4"/>
    <w:rsid w:val="007F03FE"/>
    <w:rsid w:val="007F05C3"/>
    <w:rsid w:val="007F0651"/>
    <w:rsid w:val="007F07CB"/>
    <w:rsid w:val="007F086C"/>
    <w:rsid w:val="007F092E"/>
    <w:rsid w:val="007F0B02"/>
    <w:rsid w:val="007F0CBE"/>
    <w:rsid w:val="007F0E93"/>
    <w:rsid w:val="007F10CC"/>
    <w:rsid w:val="007F10D9"/>
    <w:rsid w:val="007F1181"/>
    <w:rsid w:val="007F11E8"/>
    <w:rsid w:val="007F11ED"/>
    <w:rsid w:val="007F12E0"/>
    <w:rsid w:val="007F160D"/>
    <w:rsid w:val="007F1873"/>
    <w:rsid w:val="007F18C4"/>
    <w:rsid w:val="007F198F"/>
    <w:rsid w:val="007F1BFB"/>
    <w:rsid w:val="007F1D06"/>
    <w:rsid w:val="007F1D2C"/>
    <w:rsid w:val="007F1D52"/>
    <w:rsid w:val="007F1DC7"/>
    <w:rsid w:val="007F1ECD"/>
    <w:rsid w:val="007F1F0D"/>
    <w:rsid w:val="007F2117"/>
    <w:rsid w:val="007F2335"/>
    <w:rsid w:val="007F27CD"/>
    <w:rsid w:val="007F287C"/>
    <w:rsid w:val="007F28DF"/>
    <w:rsid w:val="007F2ACA"/>
    <w:rsid w:val="007F2C72"/>
    <w:rsid w:val="007F2D94"/>
    <w:rsid w:val="007F2DFD"/>
    <w:rsid w:val="007F2EB2"/>
    <w:rsid w:val="007F2F7E"/>
    <w:rsid w:val="007F3034"/>
    <w:rsid w:val="007F3157"/>
    <w:rsid w:val="007F3398"/>
    <w:rsid w:val="007F33D1"/>
    <w:rsid w:val="007F344C"/>
    <w:rsid w:val="007F3745"/>
    <w:rsid w:val="007F37EF"/>
    <w:rsid w:val="007F3933"/>
    <w:rsid w:val="007F3A8F"/>
    <w:rsid w:val="007F3B0A"/>
    <w:rsid w:val="007F48A6"/>
    <w:rsid w:val="007F4B25"/>
    <w:rsid w:val="007F51E7"/>
    <w:rsid w:val="007F5268"/>
    <w:rsid w:val="007F5277"/>
    <w:rsid w:val="007F5287"/>
    <w:rsid w:val="007F52A7"/>
    <w:rsid w:val="007F547C"/>
    <w:rsid w:val="007F551A"/>
    <w:rsid w:val="007F5799"/>
    <w:rsid w:val="007F5A11"/>
    <w:rsid w:val="007F5B83"/>
    <w:rsid w:val="007F5BF1"/>
    <w:rsid w:val="007F6084"/>
    <w:rsid w:val="007F6128"/>
    <w:rsid w:val="007F62B9"/>
    <w:rsid w:val="007F62F3"/>
    <w:rsid w:val="007F6429"/>
    <w:rsid w:val="007F651C"/>
    <w:rsid w:val="007F6566"/>
    <w:rsid w:val="007F66F4"/>
    <w:rsid w:val="007F68DC"/>
    <w:rsid w:val="007F68DF"/>
    <w:rsid w:val="007F6A76"/>
    <w:rsid w:val="007F6B28"/>
    <w:rsid w:val="007F6C5F"/>
    <w:rsid w:val="007F6D6C"/>
    <w:rsid w:val="007F70A8"/>
    <w:rsid w:val="007F70B9"/>
    <w:rsid w:val="007F7137"/>
    <w:rsid w:val="007F72A5"/>
    <w:rsid w:val="007F72FB"/>
    <w:rsid w:val="007F731F"/>
    <w:rsid w:val="007F7566"/>
    <w:rsid w:val="007F7679"/>
    <w:rsid w:val="007F7A75"/>
    <w:rsid w:val="007F7C48"/>
    <w:rsid w:val="007F7CA1"/>
    <w:rsid w:val="007F7E33"/>
    <w:rsid w:val="007F7ECC"/>
    <w:rsid w:val="007F7F12"/>
    <w:rsid w:val="007F7F17"/>
    <w:rsid w:val="007F7F94"/>
    <w:rsid w:val="007F7F9E"/>
    <w:rsid w:val="0080006E"/>
    <w:rsid w:val="008001E6"/>
    <w:rsid w:val="0080032F"/>
    <w:rsid w:val="008003A9"/>
    <w:rsid w:val="00800462"/>
    <w:rsid w:val="0080048C"/>
    <w:rsid w:val="00800512"/>
    <w:rsid w:val="008008AD"/>
    <w:rsid w:val="00800956"/>
    <w:rsid w:val="00800AC8"/>
    <w:rsid w:val="00800BD7"/>
    <w:rsid w:val="00800D8D"/>
    <w:rsid w:val="00800E62"/>
    <w:rsid w:val="00800EB4"/>
    <w:rsid w:val="00800EE1"/>
    <w:rsid w:val="00800F35"/>
    <w:rsid w:val="00800F37"/>
    <w:rsid w:val="00801078"/>
    <w:rsid w:val="008010D7"/>
    <w:rsid w:val="008011D4"/>
    <w:rsid w:val="0080128D"/>
    <w:rsid w:val="00801451"/>
    <w:rsid w:val="00801475"/>
    <w:rsid w:val="0080147D"/>
    <w:rsid w:val="008016CA"/>
    <w:rsid w:val="00801717"/>
    <w:rsid w:val="008017B6"/>
    <w:rsid w:val="0080194B"/>
    <w:rsid w:val="00801B6B"/>
    <w:rsid w:val="00801D7E"/>
    <w:rsid w:val="00801DB0"/>
    <w:rsid w:val="00801DD1"/>
    <w:rsid w:val="00801FFB"/>
    <w:rsid w:val="00802754"/>
    <w:rsid w:val="00802A65"/>
    <w:rsid w:val="00802B07"/>
    <w:rsid w:val="00802C08"/>
    <w:rsid w:val="00802CEB"/>
    <w:rsid w:val="00802DDF"/>
    <w:rsid w:val="00802DF1"/>
    <w:rsid w:val="00802E06"/>
    <w:rsid w:val="00802F4C"/>
    <w:rsid w:val="008030EB"/>
    <w:rsid w:val="00803348"/>
    <w:rsid w:val="00803432"/>
    <w:rsid w:val="00803443"/>
    <w:rsid w:val="008036BB"/>
    <w:rsid w:val="008036C0"/>
    <w:rsid w:val="008037E5"/>
    <w:rsid w:val="00803BAA"/>
    <w:rsid w:val="00803C88"/>
    <w:rsid w:val="00803F2E"/>
    <w:rsid w:val="00803F8B"/>
    <w:rsid w:val="00803FB4"/>
    <w:rsid w:val="00804131"/>
    <w:rsid w:val="00804144"/>
    <w:rsid w:val="008041DE"/>
    <w:rsid w:val="008042B6"/>
    <w:rsid w:val="00804300"/>
    <w:rsid w:val="00804367"/>
    <w:rsid w:val="0080450E"/>
    <w:rsid w:val="00804530"/>
    <w:rsid w:val="00804753"/>
    <w:rsid w:val="008048F5"/>
    <w:rsid w:val="008049D5"/>
    <w:rsid w:val="00804A6F"/>
    <w:rsid w:val="00804B1E"/>
    <w:rsid w:val="00804C3C"/>
    <w:rsid w:val="00804D52"/>
    <w:rsid w:val="00805043"/>
    <w:rsid w:val="00805073"/>
    <w:rsid w:val="00805159"/>
    <w:rsid w:val="0080516A"/>
    <w:rsid w:val="00805259"/>
    <w:rsid w:val="008056CB"/>
    <w:rsid w:val="008056D5"/>
    <w:rsid w:val="0080578E"/>
    <w:rsid w:val="00805930"/>
    <w:rsid w:val="008059BB"/>
    <w:rsid w:val="00805ADC"/>
    <w:rsid w:val="00805B72"/>
    <w:rsid w:val="00805D9C"/>
    <w:rsid w:val="00805EDF"/>
    <w:rsid w:val="00805F32"/>
    <w:rsid w:val="008061D6"/>
    <w:rsid w:val="008062A4"/>
    <w:rsid w:val="008063E1"/>
    <w:rsid w:val="0080646D"/>
    <w:rsid w:val="0080659B"/>
    <w:rsid w:val="0080680D"/>
    <w:rsid w:val="008068A8"/>
    <w:rsid w:val="00806DE4"/>
    <w:rsid w:val="00806E2F"/>
    <w:rsid w:val="00806E75"/>
    <w:rsid w:val="00807016"/>
    <w:rsid w:val="00807138"/>
    <w:rsid w:val="00807233"/>
    <w:rsid w:val="0080743F"/>
    <w:rsid w:val="0080786A"/>
    <w:rsid w:val="00807AA3"/>
    <w:rsid w:val="00807EAC"/>
    <w:rsid w:val="00807F10"/>
    <w:rsid w:val="00810139"/>
    <w:rsid w:val="00810239"/>
    <w:rsid w:val="008102FF"/>
    <w:rsid w:val="00810552"/>
    <w:rsid w:val="008105B3"/>
    <w:rsid w:val="00810C66"/>
    <w:rsid w:val="00810CE3"/>
    <w:rsid w:val="00810D43"/>
    <w:rsid w:val="00810D84"/>
    <w:rsid w:val="00810ECC"/>
    <w:rsid w:val="00811058"/>
    <w:rsid w:val="008111CF"/>
    <w:rsid w:val="0081120C"/>
    <w:rsid w:val="0081163F"/>
    <w:rsid w:val="008116FB"/>
    <w:rsid w:val="00811CEA"/>
    <w:rsid w:val="00811D79"/>
    <w:rsid w:val="00811FCF"/>
    <w:rsid w:val="008121D5"/>
    <w:rsid w:val="00812213"/>
    <w:rsid w:val="008124C2"/>
    <w:rsid w:val="008125DF"/>
    <w:rsid w:val="0081269D"/>
    <w:rsid w:val="008127F9"/>
    <w:rsid w:val="00812959"/>
    <w:rsid w:val="00812A4B"/>
    <w:rsid w:val="00812C05"/>
    <w:rsid w:val="00812C53"/>
    <w:rsid w:val="00812CBA"/>
    <w:rsid w:val="00812DF0"/>
    <w:rsid w:val="00812E08"/>
    <w:rsid w:val="00812FA4"/>
    <w:rsid w:val="008130B3"/>
    <w:rsid w:val="008130C4"/>
    <w:rsid w:val="008130E0"/>
    <w:rsid w:val="0081322A"/>
    <w:rsid w:val="00813454"/>
    <w:rsid w:val="00813678"/>
    <w:rsid w:val="0081367C"/>
    <w:rsid w:val="00813706"/>
    <w:rsid w:val="008137B6"/>
    <w:rsid w:val="008138F7"/>
    <w:rsid w:val="0081391C"/>
    <w:rsid w:val="0081394E"/>
    <w:rsid w:val="00813A02"/>
    <w:rsid w:val="00813B8D"/>
    <w:rsid w:val="00813C26"/>
    <w:rsid w:val="00813DC6"/>
    <w:rsid w:val="00813DC9"/>
    <w:rsid w:val="00813DD1"/>
    <w:rsid w:val="00813E0F"/>
    <w:rsid w:val="00813EA2"/>
    <w:rsid w:val="00813F34"/>
    <w:rsid w:val="0081423C"/>
    <w:rsid w:val="0081425D"/>
    <w:rsid w:val="008143A1"/>
    <w:rsid w:val="00814693"/>
    <w:rsid w:val="008146F0"/>
    <w:rsid w:val="00814746"/>
    <w:rsid w:val="00814884"/>
    <w:rsid w:val="008148C2"/>
    <w:rsid w:val="008148CB"/>
    <w:rsid w:val="00814953"/>
    <w:rsid w:val="00814C4A"/>
    <w:rsid w:val="00814D1C"/>
    <w:rsid w:val="00814D2B"/>
    <w:rsid w:val="00814DE7"/>
    <w:rsid w:val="00814E0D"/>
    <w:rsid w:val="00814E16"/>
    <w:rsid w:val="00814FFC"/>
    <w:rsid w:val="0081500C"/>
    <w:rsid w:val="00815055"/>
    <w:rsid w:val="00815094"/>
    <w:rsid w:val="008151CC"/>
    <w:rsid w:val="0081521F"/>
    <w:rsid w:val="008153C9"/>
    <w:rsid w:val="00815405"/>
    <w:rsid w:val="008154DD"/>
    <w:rsid w:val="00815617"/>
    <w:rsid w:val="00815762"/>
    <w:rsid w:val="008158D5"/>
    <w:rsid w:val="00815925"/>
    <w:rsid w:val="00815963"/>
    <w:rsid w:val="008159EE"/>
    <w:rsid w:val="00815C3A"/>
    <w:rsid w:val="00815E12"/>
    <w:rsid w:val="00816008"/>
    <w:rsid w:val="008160F1"/>
    <w:rsid w:val="00816163"/>
    <w:rsid w:val="0081617E"/>
    <w:rsid w:val="008162AB"/>
    <w:rsid w:val="008164EB"/>
    <w:rsid w:val="00816573"/>
    <w:rsid w:val="0081659B"/>
    <w:rsid w:val="008166C1"/>
    <w:rsid w:val="008167A6"/>
    <w:rsid w:val="008167F6"/>
    <w:rsid w:val="008169C0"/>
    <w:rsid w:val="008169E7"/>
    <w:rsid w:val="00816BFF"/>
    <w:rsid w:val="00816E7C"/>
    <w:rsid w:val="00817302"/>
    <w:rsid w:val="00817438"/>
    <w:rsid w:val="0081766B"/>
    <w:rsid w:val="00817A08"/>
    <w:rsid w:val="00817A68"/>
    <w:rsid w:val="00817E1D"/>
    <w:rsid w:val="00817FEA"/>
    <w:rsid w:val="00820071"/>
    <w:rsid w:val="00820281"/>
    <w:rsid w:val="00820321"/>
    <w:rsid w:val="00820384"/>
    <w:rsid w:val="008203A2"/>
    <w:rsid w:val="008203C0"/>
    <w:rsid w:val="008203EF"/>
    <w:rsid w:val="0082040A"/>
    <w:rsid w:val="00820757"/>
    <w:rsid w:val="00820AD5"/>
    <w:rsid w:val="00820BC4"/>
    <w:rsid w:val="00820CB3"/>
    <w:rsid w:val="00820D00"/>
    <w:rsid w:val="00820E9F"/>
    <w:rsid w:val="00820FA5"/>
    <w:rsid w:val="00821255"/>
    <w:rsid w:val="0082126A"/>
    <w:rsid w:val="0082130E"/>
    <w:rsid w:val="0082132D"/>
    <w:rsid w:val="00821512"/>
    <w:rsid w:val="008216BC"/>
    <w:rsid w:val="00821747"/>
    <w:rsid w:val="0082187F"/>
    <w:rsid w:val="00821C6A"/>
    <w:rsid w:val="00821E1A"/>
    <w:rsid w:val="00821E5F"/>
    <w:rsid w:val="00821EDE"/>
    <w:rsid w:val="00821EE3"/>
    <w:rsid w:val="00822048"/>
    <w:rsid w:val="00822344"/>
    <w:rsid w:val="0082235F"/>
    <w:rsid w:val="0082253F"/>
    <w:rsid w:val="00822627"/>
    <w:rsid w:val="00822896"/>
    <w:rsid w:val="00822A40"/>
    <w:rsid w:val="00822AEA"/>
    <w:rsid w:val="00822B6B"/>
    <w:rsid w:val="00822C58"/>
    <w:rsid w:val="00822CC6"/>
    <w:rsid w:val="00822D50"/>
    <w:rsid w:val="00822D96"/>
    <w:rsid w:val="00822FE9"/>
    <w:rsid w:val="00823079"/>
    <w:rsid w:val="008233E7"/>
    <w:rsid w:val="0082353F"/>
    <w:rsid w:val="00823611"/>
    <w:rsid w:val="00823642"/>
    <w:rsid w:val="00823A0C"/>
    <w:rsid w:val="00823AEB"/>
    <w:rsid w:val="00823B79"/>
    <w:rsid w:val="00823C4B"/>
    <w:rsid w:val="00823D3D"/>
    <w:rsid w:val="00823E43"/>
    <w:rsid w:val="00823F22"/>
    <w:rsid w:val="00824174"/>
    <w:rsid w:val="008246C1"/>
    <w:rsid w:val="00824892"/>
    <w:rsid w:val="00824904"/>
    <w:rsid w:val="0082493C"/>
    <w:rsid w:val="00824960"/>
    <w:rsid w:val="00824997"/>
    <w:rsid w:val="008249A1"/>
    <w:rsid w:val="00824E21"/>
    <w:rsid w:val="008251F4"/>
    <w:rsid w:val="008252C7"/>
    <w:rsid w:val="008253BF"/>
    <w:rsid w:val="008256B0"/>
    <w:rsid w:val="008256FF"/>
    <w:rsid w:val="0082584C"/>
    <w:rsid w:val="00825933"/>
    <w:rsid w:val="008259A9"/>
    <w:rsid w:val="00825B20"/>
    <w:rsid w:val="00825FFF"/>
    <w:rsid w:val="0082603C"/>
    <w:rsid w:val="0082604B"/>
    <w:rsid w:val="00826220"/>
    <w:rsid w:val="0082626A"/>
    <w:rsid w:val="008264F4"/>
    <w:rsid w:val="00826747"/>
    <w:rsid w:val="008267A1"/>
    <w:rsid w:val="008267DA"/>
    <w:rsid w:val="00826816"/>
    <w:rsid w:val="0082689D"/>
    <w:rsid w:val="00826B6A"/>
    <w:rsid w:val="00826C83"/>
    <w:rsid w:val="00826CD3"/>
    <w:rsid w:val="00826D47"/>
    <w:rsid w:val="008270F0"/>
    <w:rsid w:val="00827368"/>
    <w:rsid w:val="008273F3"/>
    <w:rsid w:val="008273F7"/>
    <w:rsid w:val="008276F6"/>
    <w:rsid w:val="00827A5F"/>
    <w:rsid w:val="00827AAC"/>
    <w:rsid w:val="00827C83"/>
    <w:rsid w:val="00827D6E"/>
    <w:rsid w:val="00827DC0"/>
    <w:rsid w:val="00827DEF"/>
    <w:rsid w:val="00827E60"/>
    <w:rsid w:val="00827F0B"/>
    <w:rsid w:val="00827F65"/>
    <w:rsid w:val="00830040"/>
    <w:rsid w:val="0083010F"/>
    <w:rsid w:val="00830193"/>
    <w:rsid w:val="008301A4"/>
    <w:rsid w:val="008302B7"/>
    <w:rsid w:val="00830302"/>
    <w:rsid w:val="00830340"/>
    <w:rsid w:val="008303A5"/>
    <w:rsid w:val="008307A5"/>
    <w:rsid w:val="008308E1"/>
    <w:rsid w:val="00830A36"/>
    <w:rsid w:val="00830B2F"/>
    <w:rsid w:val="00830CCC"/>
    <w:rsid w:val="00830E84"/>
    <w:rsid w:val="00830F45"/>
    <w:rsid w:val="0083101F"/>
    <w:rsid w:val="0083115E"/>
    <w:rsid w:val="00831160"/>
    <w:rsid w:val="0083117D"/>
    <w:rsid w:val="008311BC"/>
    <w:rsid w:val="00831279"/>
    <w:rsid w:val="0083154C"/>
    <w:rsid w:val="0083171E"/>
    <w:rsid w:val="00831848"/>
    <w:rsid w:val="00831864"/>
    <w:rsid w:val="008318FD"/>
    <w:rsid w:val="00831A83"/>
    <w:rsid w:val="00831B72"/>
    <w:rsid w:val="00831BF4"/>
    <w:rsid w:val="00831E99"/>
    <w:rsid w:val="00831F0B"/>
    <w:rsid w:val="00831F7A"/>
    <w:rsid w:val="00831FC2"/>
    <w:rsid w:val="0083256E"/>
    <w:rsid w:val="008325F9"/>
    <w:rsid w:val="0083269B"/>
    <w:rsid w:val="0083271B"/>
    <w:rsid w:val="00832835"/>
    <w:rsid w:val="00832B42"/>
    <w:rsid w:val="00832BB0"/>
    <w:rsid w:val="00832D79"/>
    <w:rsid w:val="00832F98"/>
    <w:rsid w:val="008330FE"/>
    <w:rsid w:val="008333AF"/>
    <w:rsid w:val="0083356B"/>
    <w:rsid w:val="00833608"/>
    <w:rsid w:val="00833682"/>
    <w:rsid w:val="008337D2"/>
    <w:rsid w:val="00833923"/>
    <w:rsid w:val="00833A4C"/>
    <w:rsid w:val="00833A5A"/>
    <w:rsid w:val="00833A60"/>
    <w:rsid w:val="00833B23"/>
    <w:rsid w:val="00833DDB"/>
    <w:rsid w:val="00833E25"/>
    <w:rsid w:val="00833E6F"/>
    <w:rsid w:val="00833F3F"/>
    <w:rsid w:val="0083438F"/>
    <w:rsid w:val="0083447E"/>
    <w:rsid w:val="0083455A"/>
    <w:rsid w:val="00834608"/>
    <w:rsid w:val="008346F0"/>
    <w:rsid w:val="008349B6"/>
    <w:rsid w:val="00834C54"/>
    <w:rsid w:val="00834ED2"/>
    <w:rsid w:val="0083508E"/>
    <w:rsid w:val="008350EA"/>
    <w:rsid w:val="00835301"/>
    <w:rsid w:val="0083538A"/>
    <w:rsid w:val="008356BA"/>
    <w:rsid w:val="008356D3"/>
    <w:rsid w:val="008356DC"/>
    <w:rsid w:val="0083582D"/>
    <w:rsid w:val="00835904"/>
    <w:rsid w:val="00835B07"/>
    <w:rsid w:val="00835D78"/>
    <w:rsid w:val="00835ECE"/>
    <w:rsid w:val="00835F6A"/>
    <w:rsid w:val="0083608A"/>
    <w:rsid w:val="008360D0"/>
    <w:rsid w:val="0083639B"/>
    <w:rsid w:val="00836898"/>
    <w:rsid w:val="00836D98"/>
    <w:rsid w:val="00836F55"/>
    <w:rsid w:val="00836F8C"/>
    <w:rsid w:val="00837145"/>
    <w:rsid w:val="008372B3"/>
    <w:rsid w:val="008372F1"/>
    <w:rsid w:val="0083760E"/>
    <w:rsid w:val="0083764A"/>
    <w:rsid w:val="00837655"/>
    <w:rsid w:val="0083793B"/>
    <w:rsid w:val="00837AA4"/>
    <w:rsid w:val="00837B23"/>
    <w:rsid w:val="00837B3C"/>
    <w:rsid w:val="00837DB2"/>
    <w:rsid w:val="00837FA8"/>
    <w:rsid w:val="00837FBB"/>
    <w:rsid w:val="00840085"/>
    <w:rsid w:val="00840236"/>
    <w:rsid w:val="00840300"/>
    <w:rsid w:val="008403F8"/>
    <w:rsid w:val="008404F1"/>
    <w:rsid w:val="008404F3"/>
    <w:rsid w:val="0084089D"/>
    <w:rsid w:val="00840A12"/>
    <w:rsid w:val="00840A83"/>
    <w:rsid w:val="00840CA5"/>
    <w:rsid w:val="0084147D"/>
    <w:rsid w:val="008414E7"/>
    <w:rsid w:val="00841533"/>
    <w:rsid w:val="00841A52"/>
    <w:rsid w:val="00841B13"/>
    <w:rsid w:val="00841B90"/>
    <w:rsid w:val="00841D85"/>
    <w:rsid w:val="00841E92"/>
    <w:rsid w:val="00841F43"/>
    <w:rsid w:val="00842304"/>
    <w:rsid w:val="008423C8"/>
    <w:rsid w:val="008426E1"/>
    <w:rsid w:val="0084298E"/>
    <w:rsid w:val="00842AB6"/>
    <w:rsid w:val="00842AC4"/>
    <w:rsid w:val="00842B4E"/>
    <w:rsid w:val="00842C65"/>
    <w:rsid w:val="00842CD5"/>
    <w:rsid w:val="00842E09"/>
    <w:rsid w:val="00842E47"/>
    <w:rsid w:val="00843016"/>
    <w:rsid w:val="008430CE"/>
    <w:rsid w:val="0084316B"/>
    <w:rsid w:val="008431CA"/>
    <w:rsid w:val="0084352F"/>
    <w:rsid w:val="00843577"/>
    <w:rsid w:val="00843687"/>
    <w:rsid w:val="008437D4"/>
    <w:rsid w:val="008438AB"/>
    <w:rsid w:val="0084396E"/>
    <w:rsid w:val="00843ABA"/>
    <w:rsid w:val="00843BD7"/>
    <w:rsid w:val="00843C48"/>
    <w:rsid w:val="00843CE5"/>
    <w:rsid w:val="00843E6F"/>
    <w:rsid w:val="00844102"/>
    <w:rsid w:val="008441CE"/>
    <w:rsid w:val="008443E7"/>
    <w:rsid w:val="0084444F"/>
    <w:rsid w:val="00844562"/>
    <w:rsid w:val="00844879"/>
    <w:rsid w:val="00844890"/>
    <w:rsid w:val="008449D4"/>
    <w:rsid w:val="00844A90"/>
    <w:rsid w:val="00844B92"/>
    <w:rsid w:val="00844C88"/>
    <w:rsid w:val="00844CB7"/>
    <w:rsid w:val="00844E7A"/>
    <w:rsid w:val="00844F83"/>
    <w:rsid w:val="008450D0"/>
    <w:rsid w:val="0084524A"/>
    <w:rsid w:val="0084541E"/>
    <w:rsid w:val="00845487"/>
    <w:rsid w:val="00845499"/>
    <w:rsid w:val="008454CC"/>
    <w:rsid w:val="008455E3"/>
    <w:rsid w:val="00845601"/>
    <w:rsid w:val="008456CE"/>
    <w:rsid w:val="00845881"/>
    <w:rsid w:val="008458B0"/>
    <w:rsid w:val="008459D4"/>
    <w:rsid w:val="008459D5"/>
    <w:rsid w:val="00845B62"/>
    <w:rsid w:val="00845D66"/>
    <w:rsid w:val="008460D6"/>
    <w:rsid w:val="00846171"/>
    <w:rsid w:val="0084644C"/>
    <w:rsid w:val="008464A6"/>
    <w:rsid w:val="00846739"/>
    <w:rsid w:val="008469C6"/>
    <w:rsid w:val="00846C00"/>
    <w:rsid w:val="00846E05"/>
    <w:rsid w:val="00846E4A"/>
    <w:rsid w:val="00846F19"/>
    <w:rsid w:val="00846F45"/>
    <w:rsid w:val="008470D6"/>
    <w:rsid w:val="008471D5"/>
    <w:rsid w:val="00847517"/>
    <w:rsid w:val="00847697"/>
    <w:rsid w:val="0084787B"/>
    <w:rsid w:val="00847BA0"/>
    <w:rsid w:val="00847C2B"/>
    <w:rsid w:val="00847C6E"/>
    <w:rsid w:val="00847D45"/>
    <w:rsid w:val="00847E52"/>
    <w:rsid w:val="008500A4"/>
    <w:rsid w:val="00850128"/>
    <w:rsid w:val="008501FC"/>
    <w:rsid w:val="008503D0"/>
    <w:rsid w:val="00850581"/>
    <w:rsid w:val="0085074A"/>
    <w:rsid w:val="00850832"/>
    <w:rsid w:val="00850858"/>
    <w:rsid w:val="00850A66"/>
    <w:rsid w:val="00850CCC"/>
    <w:rsid w:val="00851046"/>
    <w:rsid w:val="00851100"/>
    <w:rsid w:val="00851111"/>
    <w:rsid w:val="008511A9"/>
    <w:rsid w:val="00851201"/>
    <w:rsid w:val="0085127C"/>
    <w:rsid w:val="008512B5"/>
    <w:rsid w:val="0085159D"/>
    <w:rsid w:val="00851654"/>
    <w:rsid w:val="0085199F"/>
    <w:rsid w:val="00851AF5"/>
    <w:rsid w:val="00851CB0"/>
    <w:rsid w:val="00851DAA"/>
    <w:rsid w:val="00851E3A"/>
    <w:rsid w:val="00851EA9"/>
    <w:rsid w:val="00851FB5"/>
    <w:rsid w:val="008521DB"/>
    <w:rsid w:val="008522D5"/>
    <w:rsid w:val="008523B5"/>
    <w:rsid w:val="008523F2"/>
    <w:rsid w:val="00852409"/>
    <w:rsid w:val="008524E2"/>
    <w:rsid w:val="00852677"/>
    <w:rsid w:val="00852766"/>
    <w:rsid w:val="0085276B"/>
    <w:rsid w:val="008527D1"/>
    <w:rsid w:val="0085288C"/>
    <w:rsid w:val="00852984"/>
    <w:rsid w:val="00852A40"/>
    <w:rsid w:val="00852B63"/>
    <w:rsid w:val="00852B97"/>
    <w:rsid w:val="00852DB9"/>
    <w:rsid w:val="00852EC6"/>
    <w:rsid w:val="00852F82"/>
    <w:rsid w:val="008533EE"/>
    <w:rsid w:val="00853921"/>
    <w:rsid w:val="00853A0E"/>
    <w:rsid w:val="00853AE6"/>
    <w:rsid w:val="00853B1F"/>
    <w:rsid w:val="00853B4B"/>
    <w:rsid w:val="00853D89"/>
    <w:rsid w:val="0085404C"/>
    <w:rsid w:val="0085431F"/>
    <w:rsid w:val="00854332"/>
    <w:rsid w:val="008543AB"/>
    <w:rsid w:val="00854670"/>
    <w:rsid w:val="008546A9"/>
    <w:rsid w:val="0085470A"/>
    <w:rsid w:val="00854724"/>
    <w:rsid w:val="00854A61"/>
    <w:rsid w:val="00854CBF"/>
    <w:rsid w:val="00854DAA"/>
    <w:rsid w:val="00854F94"/>
    <w:rsid w:val="008550CB"/>
    <w:rsid w:val="00855513"/>
    <w:rsid w:val="00855761"/>
    <w:rsid w:val="008557EF"/>
    <w:rsid w:val="00855B60"/>
    <w:rsid w:val="00855BEE"/>
    <w:rsid w:val="00855D7F"/>
    <w:rsid w:val="00855E0B"/>
    <w:rsid w:val="00855FD9"/>
    <w:rsid w:val="00856084"/>
    <w:rsid w:val="008560B9"/>
    <w:rsid w:val="008561E8"/>
    <w:rsid w:val="00856324"/>
    <w:rsid w:val="0085647D"/>
    <w:rsid w:val="00856A0E"/>
    <w:rsid w:val="00856A20"/>
    <w:rsid w:val="00856D81"/>
    <w:rsid w:val="00856DB3"/>
    <w:rsid w:val="00856DDE"/>
    <w:rsid w:val="00856E4E"/>
    <w:rsid w:val="00856E5A"/>
    <w:rsid w:val="008570DB"/>
    <w:rsid w:val="0085710F"/>
    <w:rsid w:val="0085718B"/>
    <w:rsid w:val="0085724D"/>
    <w:rsid w:val="0085755B"/>
    <w:rsid w:val="0085776F"/>
    <w:rsid w:val="00857897"/>
    <w:rsid w:val="00857A69"/>
    <w:rsid w:val="00857B40"/>
    <w:rsid w:val="00857BAE"/>
    <w:rsid w:val="00857BB7"/>
    <w:rsid w:val="00857C14"/>
    <w:rsid w:val="00857D13"/>
    <w:rsid w:val="00857F01"/>
    <w:rsid w:val="00857F57"/>
    <w:rsid w:val="008601FB"/>
    <w:rsid w:val="00860224"/>
    <w:rsid w:val="0086028E"/>
    <w:rsid w:val="008602EC"/>
    <w:rsid w:val="0086032B"/>
    <w:rsid w:val="008603CB"/>
    <w:rsid w:val="0086044F"/>
    <w:rsid w:val="00860589"/>
    <w:rsid w:val="0086065A"/>
    <w:rsid w:val="00860793"/>
    <w:rsid w:val="00860878"/>
    <w:rsid w:val="008608A3"/>
    <w:rsid w:val="00860917"/>
    <w:rsid w:val="0086092E"/>
    <w:rsid w:val="008609F5"/>
    <w:rsid w:val="00860A51"/>
    <w:rsid w:val="00860A8F"/>
    <w:rsid w:val="00860B4C"/>
    <w:rsid w:val="00860D6C"/>
    <w:rsid w:val="00860EAE"/>
    <w:rsid w:val="00860F5F"/>
    <w:rsid w:val="0086103A"/>
    <w:rsid w:val="0086104B"/>
    <w:rsid w:val="008612B7"/>
    <w:rsid w:val="008612F0"/>
    <w:rsid w:val="0086134B"/>
    <w:rsid w:val="0086151D"/>
    <w:rsid w:val="0086153A"/>
    <w:rsid w:val="0086169D"/>
    <w:rsid w:val="0086181C"/>
    <w:rsid w:val="008619D2"/>
    <w:rsid w:val="00861B3D"/>
    <w:rsid w:val="00861B8D"/>
    <w:rsid w:val="00861C56"/>
    <w:rsid w:val="00862017"/>
    <w:rsid w:val="00862196"/>
    <w:rsid w:val="00862255"/>
    <w:rsid w:val="008622FB"/>
    <w:rsid w:val="008623AF"/>
    <w:rsid w:val="0086242C"/>
    <w:rsid w:val="0086256A"/>
    <w:rsid w:val="008626B9"/>
    <w:rsid w:val="00862721"/>
    <w:rsid w:val="008628F2"/>
    <w:rsid w:val="00862AC4"/>
    <w:rsid w:val="00862BA3"/>
    <w:rsid w:val="00862BB2"/>
    <w:rsid w:val="00862C09"/>
    <w:rsid w:val="00863136"/>
    <w:rsid w:val="0086315A"/>
    <w:rsid w:val="00863389"/>
    <w:rsid w:val="0086362C"/>
    <w:rsid w:val="008636FC"/>
    <w:rsid w:val="00863847"/>
    <w:rsid w:val="008638A5"/>
    <w:rsid w:val="0086396F"/>
    <w:rsid w:val="00863A17"/>
    <w:rsid w:val="00863C20"/>
    <w:rsid w:val="00863CF0"/>
    <w:rsid w:val="008640F0"/>
    <w:rsid w:val="0086417B"/>
    <w:rsid w:val="00864453"/>
    <w:rsid w:val="0086447F"/>
    <w:rsid w:val="008646C0"/>
    <w:rsid w:val="00864737"/>
    <w:rsid w:val="008647DE"/>
    <w:rsid w:val="008648C7"/>
    <w:rsid w:val="00864953"/>
    <w:rsid w:val="00864A8A"/>
    <w:rsid w:val="00864B95"/>
    <w:rsid w:val="00864BC9"/>
    <w:rsid w:val="00864BD3"/>
    <w:rsid w:val="00864C3F"/>
    <w:rsid w:val="00864DEB"/>
    <w:rsid w:val="00864E48"/>
    <w:rsid w:val="00864E69"/>
    <w:rsid w:val="008653CE"/>
    <w:rsid w:val="0086549E"/>
    <w:rsid w:val="00865544"/>
    <w:rsid w:val="0086559D"/>
    <w:rsid w:val="008656A2"/>
    <w:rsid w:val="00865737"/>
    <w:rsid w:val="008658CB"/>
    <w:rsid w:val="00865931"/>
    <w:rsid w:val="00865B13"/>
    <w:rsid w:val="00865B60"/>
    <w:rsid w:val="00865D1C"/>
    <w:rsid w:val="00865E72"/>
    <w:rsid w:val="00865F33"/>
    <w:rsid w:val="00866142"/>
    <w:rsid w:val="00866277"/>
    <w:rsid w:val="0086631B"/>
    <w:rsid w:val="008663C9"/>
    <w:rsid w:val="0086663F"/>
    <w:rsid w:val="00866788"/>
    <w:rsid w:val="008667B8"/>
    <w:rsid w:val="00866864"/>
    <w:rsid w:val="00866884"/>
    <w:rsid w:val="008668F6"/>
    <w:rsid w:val="00866A85"/>
    <w:rsid w:val="00866CC0"/>
    <w:rsid w:val="00866E03"/>
    <w:rsid w:val="00866EFA"/>
    <w:rsid w:val="00867003"/>
    <w:rsid w:val="00867339"/>
    <w:rsid w:val="00867488"/>
    <w:rsid w:val="008675B1"/>
    <w:rsid w:val="00867692"/>
    <w:rsid w:val="0086774E"/>
    <w:rsid w:val="00867A3C"/>
    <w:rsid w:val="00867B06"/>
    <w:rsid w:val="00867DA2"/>
    <w:rsid w:val="00870122"/>
    <w:rsid w:val="00870291"/>
    <w:rsid w:val="008704E3"/>
    <w:rsid w:val="008705D6"/>
    <w:rsid w:val="008705ED"/>
    <w:rsid w:val="00870715"/>
    <w:rsid w:val="00870B7E"/>
    <w:rsid w:val="00870BFB"/>
    <w:rsid w:val="00870C2B"/>
    <w:rsid w:val="00870CDD"/>
    <w:rsid w:val="00870E05"/>
    <w:rsid w:val="00871012"/>
    <w:rsid w:val="008712E0"/>
    <w:rsid w:val="008713BA"/>
    <w:rsid w:val="0087151C"/>
    <w:rsid w:val="0087153B"/>
    <w:rsid w:val="00871733"/>
    <w:rsid w:val="00871B8B"/>
    <w:rsid w:val="00871C23"/>
    <w:rsid w:val="00871C8A"/>
    <w:rsid w:val="00871C95"/>
    <w:rsid w:val="00871DDA"/>
    <w:rsid w:val="00871E56"/>
    <w:rsid w:val="00872175"/>
    <w:rsid w:val="00872295"/>
    <w:rsid w:val="008723B7"/>
    <w:rsid w:val="008724D1"/>
    <w:rsid w:val="00872735"/>
    <w:rsid w:val="008727F1"/>
    <w:rsid w:val="0087295E"/>
    <w:rsid w:val="008729F2"/>
    <w:rsid w:val="008731B8"/>
    <w:rsid w:val="0087324C"/>
    <w:rsid w:val="00873269"/>
    <w:rsid w:val="008735C6"/>
    <w:rsid w:val="00873620"/>
    <w:rsid w:val="00873BDE"/>
    <w:rsid w:val="00873C67"/>
    <w:rsid w:val="00873EFF"/>
    <w:rsid w:val="00873F6B"/>
    <w:rsid w:val="00874159"/>
    <w:rsid w:val="008743F0"/>
    <w:rsid w:val="00874474"/>
    <w:rsid w:val="00874545"/>
    <w:rsid w:val="008745A5"/>
    <w:rsid w:val="00874609"/>
    <w:rsid w:val="0087460A"/>
    <w:rsid w:val="008747A6"/>
    <w:rsid w:val="00874ABD"/>
    <w:rsid w:val="00874AD0"/>
    <w:rsid w:val="00874C00"/>
    <w:rsid w:val="00874DB0"/>
    <w:rsid w:val="00874E42"/>
    <w:rsid w:val="00874E64"/>
    <w:rsid w:val="00874E91"/>
    <w:rsid w:val="00874FB6"/>
    <w:rsid w:val="00875037"/>
    <w:rsid w:val="0087524A"/>
    <w:rsid w:val="0087543C"/>
    <w:rsid w:val="00875806"/>
    <w:rsid w:val="00875941"/>
    <w:rsid w:val="00875A5A"/>
    <w:rsid w:val="00875A72"/>
    <w:rsid w:val="00875B59"/>
    <w:rsid w:val="00875D51"/>
    <w:rsid w:val="00875DD2"/>
    <w:rsid w:val="00875F57"/>
    <w:rsid w:val="00876024"/>
    <w:rsid w:val="00876069"/>
    <w:rsid w:val="008760EF"/>
    <w:rsid w:val="008761C0"/>
    <w:rsid w:val="00876363"/>
    <w:rsid w:val="0087650B"/>
    <w:rsid w:val="00876567"/>
    <w:rsid w:val="008767E4"/>
    <w:rsid w:val="008767E6"/>
    <w:rsid w:val="0087693A"/>
    <w:rsid w:val="00876B8D"/>
    <w:rsid w:val="00876E08"/>
    <w:rsid w:val="00876E1E"/>
    <w:rsid w:val="00876F19"/>
    <w:rsid w:val="00877051"/>
    <w:rsid w:val="008771EA"/>
    <w:rsid w:val="00877277"/>
    <w:rsid w:val="008772DB"/>
    <w:rsid w:val="008772EE"/>
    <w:rsid w:val="008773A1"/>
    <w:rsid w:val="008774ED"/>
    <w:rsid w:val="00877727"/>
    <w:rsid w:val="008778DE"/>
    <w:rsid w:val="008779FE"/>
    <w:rsid w:val="00877A14"/>
    <w:rsid w:val="00877A66"/>
    <w:rsid w:val="00877B1A"/>
    <w:rsid w:val="00877BCF"/>
    <w:rsid w:val="00877E7E"/>
    <w:rsid w:val="00877E9C"/>
    <w:rsid w:val="00877F9A"/>
    <w:rsid w:val="00880017"/>
    <w:rsid w:val="0088009E"/>
    <w:rsid w:val="008800D3"/>
    <w:rsid w:val="00880159"/>
    <w:rsid w:val="00880623"/>
    <w:rsid w:val="008806AF"/>
    <w:rsid w:val="00880860"/>
    <w:rsid w:val="008808B6"/>
    <w:rsid w:val="00880C56"/>
    <w:rsid w:val="00880C84"/>
    <w:rsid w:val="00880CC3"/>
    <w:rsid w:val="00880CE0"/>
    <w:rsid w:val="00880D8E"/>
    <w:rsid w:val="00880E6D"/>
    <w:rsid w:val="00880F1A"/>
    <w:rsid w:val="00881037"/>
    <w:rsid w:val="00881051"/>
    <w:rsid w:val="008811DF"/>
    <w:rsid w:val="008812AB"/>
    <w:rsid w:val="0088141F"/>
    <w:rsid w:val="008816A8"/>
    <w:rsid w:val="00881A9C"/>
    <w:rsid w:val="00881ADB"/>
    <w:rsid w:val="00881B11"/>
    <w:rsid w:val="00881B16"/>
    <w:rsid w:val="00881C85"/>
    <w:rsid w:val="00881DB5"/>
    <w:rsid w:val="00882021"/>
    <w:rsid w:val="008820F8"/>
    <w:rsid w:val="00882181"/>
    <w:rsid w:val="00882308"/>
    <w:rsid w:val="0088233F"/>
    <w:rsid w:val="0088236F"/>
    <w:rsid w:val="00882748"/>
    <w:rsid w:val="00882888"/>
    <w:rsid w:val="00882A66"/>
    <w:rsid w:val="00882D12"/>
    <w:rsid w:val="00882F76"/>
    <w:rsid w:val="008831D1"/>
    <w:rsid w:val="008835D7"/>
    <w:rsid w:val="00883A62"/>
    <w:rsid w:val="00883AAB"/>
    <w:rsid w:val="00883ADA"/>
    <w:rsid w:val="00883B56"/>
    <w:rsid w:val="00883B61"/>
    <w:rsid w:val="00883B6D"/>
    <w:rsid w:val="00883CA4"/>
    <w:rsid w:val="00883CD4"/>
    <w:rsid w:val="00883D0E"/>
    <w:rsid w:val="00883E2B"/>
    <w:rsid w:val="00883EC1"/>
    <w:rsid w:val="008840E7"/>
    <w:rsid w:val="008840F0"/>
    <w:rsid w:val="008841C5"/>
    <w:rsid w:val="00884395"/>
    <w:rsid w:val="008847A2"/>
    <w:rsid w:val="0088481B"/>
    <w:rsid w:val="00884A3C"/>
    <w:rsid w:val="00884B69"/>
    <w:rsid w:val="00884DAC"/>
    <w:rsid w:val="00884EA2"/>
    <w:rsid w:val="0088502A"/>
    <w:rsid w:val="00885218"/>
    <w:rsid w:val="00885306"/>
    <w:rsid w:val="008853B4"/>
    <w:rsid w:val="008853C3"/>
    <w:rsid w:val="008853C7"/>
    <w:rsid w:val="00885453"/>
    <w:rsid w:val="008855BF"/>
    <w:rsid w:val="008857C2"/>
    <w:rsid w:val="00885825"/>
    <w:rsid w:val="008858CE"/>
    <w:rsid w:val="008859C2"/>
    <w:rsid w:val="00885B9B"/>
    <w:rsid w:val="00885BED"/>
    <w:rsid w:val="00885BF3"/>
    <w:rsid w:val="00885CF9"/>
    <w:rsid w:val="00885D5E"/>
    <w:rsid w:val="00885E38"/>
    <w:rsid w:val="00885E4E"/>
    <w:rsid w:val="00886030"/>
    <w:rsid w:val="00886107"/>
    <w:rsid w:val="0088638D"/>
    <w:rsid w:val="00886478"/>
    <w:rsid w:val="00886501"/>
    <w:rsid w:val="00886520"/>
    <w:rsid w:val="00886531"/>
    <w:rsid w:val="008866D1"/>
    <w:rsid w:val="0088674E"/>
    <w:rsid w:val="008869BB"/>
    <w:rsid w:val="008869F6"/>
    <w:rsid w:val="00886A76"/>
    <w:rsid w:val="00886A87"/>
    <w:rsid w:val="00886B8B"/>
    <w:rsid w:val="00886CDD"/>
    <w:rsid w:val="00886DAB"/>
    <w:rsid w:val="00886F36"/>
    <w:rsid w:val="00886F38"/>
    <w:rsid w:val="00886F4A"/>
    <w:rsid w:val="00886FF6"/>
    <w:rsid w:val="00887112"/>
    <w:rsid w:val="00887462"/>
    <w:rsid w:val="0088767D"/>
    <w:rsid w:val="008877E0"/>
    <w:rsid w:val="00887891"/>
    <w:rsid w:val="00887957"/>
    <w:rsid w:val="008879A9"/>
    <w:rsid w:val="00887A37"/>
    <w:rsid w:val="00887E16"/>
    <w:rsid w:val="00887E1E"/>
    <w:rsid w:val="00890079"/>
    <w:rsid w:val="008900D4"/>
    <w:rsid w:val="008904BF"/>
    <w:rsid w:val="008904EA"/>
    <w:rsid w:val="00890C90"/>
    <w:rsid w:val="00890F38"/>
    <w:rsid w:val="00891112"/>
    <w:rsid w:val="0089128A"/>
    <w:rsid w:val="008914FB"/>
    <w:rsid w:val="00891502"/>
    <w:rsid w:val="008915B6"/>
    <w:rsid w:val="00891ACF"/>
    <w:rsid w:val="00891D47"/>
    <w:rsid w:val="00891DD9"/>
    <w:rsid w:val="00892109"/>
    <w:rsid w:val="0089214D"/>
    <w:rsid w:val="008922AD"/>
    <w:rsid w:val="008923BC"/>
    <w:rsid w:val="00892705"/>
    <w:rsid w:val="00892778"/>
    <w:rsid w:val="00892899"/>
    <w:rsid w:val="008928D3"/>
    <w:rsid w:val="0089291E"/>
    <w:rsid w:val="00892B00"/>
    <w:rsid w:val="00892B2A"/>
    <w:rsid w:val="00892B2D"/>
    <w:rsid w:val="00892D20"/>
    <w:rsid w:val="00892E10"/>
    <w:rsid w:val="00892F83"/>
    <w:rsid w:val="00893501"/>
    <w:rsid w:val="008936A8"/>
    <w:rsid w:val="00893749"/>
    <w:rsid w:val="0089394F"/>
    <w:rsid w:val="00893950"/>
    <w:rsid w:val="00893C0D"/>
    <w:rsid w:val="00893C6E"/>
    <w:rsid w:val="00893D72"/>
    <w:rsid w:val="00893E6B"/>
    <w:rsid w:val="00893E84"/>
    <w:rsid w:val="00893FD0"/>
    <w:rsid w:val="00894081"/>
    <w:rsid w:val="008940BD"/>
    <w:rsid w:val="00894125"/>
    <w:rsid w:val="00894143"/>
    <w:rsid w:val="0089435A"/>
    <w:rsid w:val="00894692"/>
    <w:rsid w:val="00894781"/>
    <w:rsid w:val="0089485F"/>
    <w:rsid w:val="0089491A"/>
    <w:rsid w:val="00894A50"/>
    <w:rsid w:val="00894AA7"/>
    <w:rsid w:val="00894E26"/>
    <w:rsid w:val="00894E3A"/>
    <w:rsid w:val="008950EF"/>
    <w:rsid w:val="008954D0"/>
    <w:rsid w:val="008954F9"/>
    <w:rsid w:val="00895653"/>
    <w:rsid w:val="008957DD"/>
    <w:rsid w:val="008957DE"/>
    <w:rsid w:val="00895BC0"/>
    <w:rsid w:val="00895E30"/>
    <w:rsid w:val="008960E3"/>
    <w:rsid w:val="00896168"/>
    <w:rsid w:val="008963AF"/>
    <w:rsid w:val="00896449"/>
    <w:rsid w:val="0089648F"/>
    <w:rsid w:val="0089675B"/>
    <w:rsid w:val="00896781"/>
    <w:rsid w:val="00896790"/>
    <w:rsid w:val="00896E7F"/>
    <w:rsid w:val="00897194"/>
    <w:rsid w:val="008971D1"/>
    <w:rsid w:val="0089724F"/>
    <w:rsid w:val="008972DC"/>
    <w:rsid w:val="0089754C"/>
    <w:rsid w:val="008977D5"/>
    <w:rsid w:val="008978B8"/>
    <w:rsid w:val="0089792A"/>
    <w:rsid w:val="00897B2E"/>
    <w:rsid w:val="00897B5E"/>
    <w:rsid w:val="00897BC6"/>
    <w:rsid w:val="00897C29"/>
    <w:rsid w:val="00897D8B"/>
    <w:rsid w:val="00897DC3"/>
    <w:rsid w:val="00897F9D"/>
    <w:rsid w:val="008A002A"/>
    <w:rsid w:val="008A014D"/>
    <w:rsid w:val="008A0163"/>
    <w:rsid w:val="008A02DB"/>
    <w:rsid w:val="008A02EC"/>
    <w:rsid w:val="008A0886"/>
    <w:rsid w:val="008A0957"/>
    <w:rsid w:val="008A0E11"/>
    <w:rsid w:val="008A10E5"/>
    <w:rsid w:val="008A12E4"/>
    <w:rsid w:val="008A12ED"/>
    <w:rsid w:val="008A1458"/>
    <w:rsid w:val="008A17B5"/>
    <w:rsid w:val="008A17FD"/>
    <w:rsid w:val="008A1B0F"/>
    <w:rsid w:val="008A1B5D"/>
    <w:rsid w:val="008A1BC8"/>
    <w:rsid w:val="008A1DC0"/>
    <w:rsid w:val="008A20DA"/>
    <w:rsid w:val="008A21C0"/>
    <w:rsid w:val="008A22FC"/>
    <w:rsid w:val="008A27EA"/>
    <w:rsid w:val="008A287D"/>
    <w:rsid w:val="008A28B1"/>
    <w:rsid w:val="008A298B"/>
    <w:rsid w:val="008A2C24"/>
    <w:rsid w:val="008A2D0B"/>
    <w:rsid w:val="008A2D18"/>
    <w:rsid w:val="008A2F5B"/>
    <w:rsid w:val="008A304A"/>
    <w:rsid w:val="008A3068"/>
    <w:rsid w:val="008A3163"/>
    <w:rsid w:val="008A3283"/>
    <w:rsid w:val="008A3370"/>
    <w:rsid w:val="008A3540"/>
    <w:rsid w:val="008A36C1"/>
    <w:rsid w:val="008A3838"/>
    <w:rsid w:val="008A3CC4"/>
    <w:rsid w:val="008A3D8F"/>
    <w:rsid w:val="008A4019"/>
    <w:rsid w:val="008A40FE"/>
    <w:rsid w:val="008A436D"/>
    <w:rsid w:val="008A4398"/>
    <w:rsid w:val="008A4424"/>
    <w:rsid w:val="008A4566"/>
    <w:rsid w:val="008A4769"/>
    <w:rsid w:val="008A4858"/>
    <w:rsid w:val="008A4D27"/>
    <w:rsid w:val="008A4EEC"/>
    <w:rsid w:val="008A4F1F"/>
    <w:rsid w:val="008A4FA3"/>
    <w:rsid w:val="008A4FEE"/>
    <w:rsid w:val="008A534C"/>
    <w:rsid w:val="008A556B"/>
    <w:rsid w:val="008A5616"/>
    <w:rsid w:val="008A562D"/>
    <w:rsid w:val="008A581A"/>
    <w:rsid w:val="008A5945"/>
    <w:rsid w:val="008A5AF8"/>
    <w:rsid w:val="008A5CC3"/>
    <w:rsid w:val="008A5CE4"/>
    <w:rsid w:val="008A5FB5"/>
    <w:rsid w:val="008A6027"/>
    <w:rsid w:val="008A612D"/>
    <w:rsid w:val="008A62ED"/>
    <w:rsid w:val="008A6395"/>
    <w:rsid w:val="008A63B8"/>
    <w:rsid w:val="008A6508"/>
    <w:rsid w:val="008A6537"/>
    <w:rsid w:val="008A6B0E"/>
    <w:rsid w:val="008A6B2C"/>
    <w:rsid w:val="008A6B43"/>
    <w:rsid w:val="008A6BBE"/>
    <w:rsid w:val="008A6D58"/>
    <w:rsid w:val="008A6DA7"/>
    <w:rsid w:val="008A6DD8"/>
    <w:rsid w:val="008A6E00"/>
    <w:rsid w:val="008A7185"/>
    <w:rsid w:val="008A71FC"/>
    <w:rsid w:val="008A7878"/>
    <w:rsid w:val="008A7C16"/>
    <w:rsid w:val="008A7CA8"/>
    <w:rsid w:val="008A7D04"/>
    <w:rsid w:val="008A7FE2"/>
    <w:rsid w:val="008B0001"/>
    <w:rsid w:val="008B0164"/>
    <w:rsid w:val="008B0254"/>
    <w:rsid w:val="008B0343"/>
    <w:rsid w:val="008B044E"/>
    <w:rsid w:val="008B0526"/>
    <w:rsid w:val="008B0527"/>
    <w:rsid w:val="008B062C"/>
    <w:rsid w:val="008B08AF"/>
    <w:rsid w:val="008B08FF"/>
    <w:rsid w:val="008B0C0F"/>
    <w:rsid w:val="008B0C8A"/>
    <w:rsid w:val="008B0F41"/>
    <w:rsid w:val="008B1415"/>
    <w:rsid w:val="008B14EC"/>
    <w:rsid w:val="008B1614"/>
    <w:rsid w:val="008B16CC"/>
    <w:rsid w:val="008B1ABF"/>
    <w:rsid w:val="008B1BE8"/>
    <w:rsid w:val="008B1F04"/>
    <w:rsid w:val="008B1F63"/>
    <w:rsid w:val="008B20E3"/>
    <w:rsid w:val="008B22DC"/>
    <w:rsid w:val="008B22E8"/>
    <w:rsid w:val="008B240D"/>
    <w:rsid w:val="008B2466"/>
    <w:rsid w:val="008B253B"/>
    <w:rsid w:val="008B259C"/>
    <w:rsid w:val="008B261F"/>
    <w:rsid w:val="008B2636"/>
    <w:rsid w:val="008B2654"/>
    <w:rsid w:val="008B2769"/>
    <w:rsid w:val="008B2884"/>
    <w:rsid w:val="008B2A0D"/>
    <w:rsid w:val="008B2B11"/>
    <w:rsid w:val="008B2B14"/>
    <w:rsid w:val="008B2BEE"/>
    <w:rsid w:val="008B3208"/>
    <w:rsid w:val="008B3247"/>
    <w:rsid w:val="008B3337"/>
    <w:rsid w:val="008B33DE"/>
    <w:rsid w:val="008B3612"/>
    <w:rsid w:val="008B3634"/>
    <w:rsid w:val="008B36DC"/>
    <w:rsid w:val="008B3745"/>
    <w:rsid w:val="008B3750"/>
    <w:rsid w:val="008B39F6"/>
    <w:rsid w:val="008B3B06"/>
    <w:rsid w:val="008B3C5E"/>
    <w:rsid w:val="008B4026"/>
    <w:rsid w:val="008B406E"/>
    <w:rsid w:val="008B4093"/>
    <w:rsid w:val="008B40F2"/>
    <w:rsid w:val="008B4106"/>
    <w:rsid w:val="008B418C"/>
    <w:rsid w:val="008B429F"/>
    <w:rsid w:val="008B4389"/>
    <w:rsid w:val="008B43EF"/>
    <w:rsid w:val="008B44AF"/>
    <w:rsid w:val="008B4573"/>
    <w:rsid w:val="008B47C0"/>
    <w:rsid w:val="008B4861"/>
    <w:rsid w:val="008B49A3"/>
    <w:rsid w:val="008B4D3E"/>
    <w:rsid w:val="008B4D41"/>
    <w:rsid w:val="008B5177"/>
    <w:rsid w:val="008B51AD"/>
    <w:rsid w:val="008B5487"/>
    <w:rsid w:val="008B558C"/>
    <w:rsid w:val="008B56A3"/>
    <w:rsid w:val="008B5ACB"/>
    <w:rsid w:val="008B5B63"/>
    <w:rsid w:val="008B5BA7"/>
    <w:rsid w:val="008B5C8F"/>
    <w:rsid w:val="008B5DD6"/>
    <w:rsid w:val="008B5F16"/>
    <w:rsid w:val="008B6080"/>
    <w:rsid w:val="008B63A6"/>
    <w:rsid w:val="008B6582"/>
    <w:rsid w:val="008B658E"/>
    <w:rsid w:val="008B66B3"/>
    <w:rsid w:val="008B67D8"/>
    <w:rsid w:val="008B6AF5"/>
    <w:rsid w:val="008B6B1E"/>
    <w:rsid w:val="008B6B70"/>
    <w:rsid w:val="008B6D8D"/>
    <w:rsid w:val="008B6F7C"/>
    <w:rsid w:val="008B6FAD"/>
    <w:rsid w:val="008B7183"/>
    <w:rsid w:val="008B722F"/>
    <w:rsid w:val="008B7234"/>
    <w:rsid w:val="008B735C"/>
    <w:rsid w:val="008B7451"/>
    <w:rsid w:val="008B745C"/>
    <w:rsid w:val="008B7491"/>
    <w:rsid w:val="008B7722"/>
    <w:rsid w:val="008B77CE"/>
    <w:rsid w:val="008B7868"/>
    <w:rsid w:val="008B786F"/>
    <w:rsid w:val="008B792C"/>
    <w:rsid w:val="008B7A65"/>
    <w:rsid w:val="008B7CA2"/>
    <w:rsid w:val="008B7EAB"/>
    <w:rsid w:val="008B7F2E"/>
    <w:rsid w:val="008B7F9A"/>
    <w:rsid w:val="008C00B0"/>
    <w:rsid w:val="008C02BE"/>
    <w:rsid w:val="008C02E7"/>
    <w:rsid w:val="008C031A"/>
    <w:rsid w:val="008C0475"/>
    <w:rsid w:val="008C066D"/>
    <w:rsid w:val="008C07DA"/>
    <w:rsid w:val="008C084B"/>
    <w:rsid w:val="008C0921"/>
    <w:rsid w:val="008C0A10"/>
    <w:rsid w:val="008C0AFA"/>
    <w:rsid w:val="008C0B6A"/>
    <w:rsid w:val="008C0DAB"/>
    <w:rsid w:val="008C0E5C"/>
    <w:rsid w:val="008C109F"/>
    <w:rsid w:val="008C10F7"/>
    <w:rsid w:val="008C121D"/>
    <w:rsid w:val="008C128A"/>
    <w:rsid w:val="008C12CF"/>
    <w:rsid w:val="008C1466"/>
    <w:rsid w:val="008C158F"/>
    <w:rsid w:val="008C184B"/>
    <w:rsid w:val="008C18BC"/>
    <w:rsid w:val="008C18D6"/>
    <w:rsid w:val="008C1ADE"/>
    <w:rsid w:val="008C1B45"/>
    <w:rsid w:val="008C1B9C"/>
    <w:rsid w:val="008C1BD9"/>
    <w:rsid w:val="008C1E2C"/>
    <w:rsid w:val="008C2004"/>
    <w:rsid w:val="008C2260"/>
    <w:rsid w:val="008C2510"/>
    <w:rsid w:val="008C26EC"/>
    <w:rsid w:val="008C26ED"/>
    <w:rsid w:val="008C28D0"/>
    <w:rsid w:val="008C2981"/>
    <w:rsid w:val="008C29FE"/>
    <w:rsid w:val="008C2B72"/>
    <w:rsid w:val="008C2BB5"/>
    <w:rsid w:val="008C2E55"/>
    <w:rsid w:val="008C314F"/>
    <w:rsid w:val="008C33A2"/>
    <w:rsid w:val="008C343F"/>
    <w:rsid w:val="008C34E7"/>
    <w:rsid w:val="008C355E"/>
    <w:rsid w:val="008C36BD"/>
    <w:rsid w:val="008C3856"/>
    <w:rsid w:val="008C3861"/>
    <w:rsid w:val="008C3920"/>
    <w:rsid w:val="008C3977"/>
    <w:rsid w:val="008C39E1"/>
    <w:rsid w:val="008C3B3A"/>
    <w:rsid w:val="008C3C2E"/>
    <w:rsid w:val="008C3C50"/>
    <w:rsid w:val="008C3C63"/>
    <w:rsid w:val="008C3D6F"/>
    <w:rsid w:val="008C3E08"/>
    <w:rsid w:val="008C4206"/>
    <w:rsid w:val="008C43BE"/>
    <w:rsid w:val="008C43E2"/>
    <w:rsid w:val="008C4581"/>
    <w:rsid w:val="008C489E"/>
    <w:rsid w:val="008C48C8"/>
    <w:rsid w:val="008C4CED"/>
    <w:rsid w:val="008C4EF6"/>
    <w:rsid w:val="008C4FA9"/>
    <w:rsid w:val="008C504D"/>
    <w:rsid w:val="008C5164"/>
    <w:rsid w:val="008C5335"/>
    <w:rsid w:val="008C56E7"/>
    <w:rsid w:val="008C59DF"/>
    <w:rsid w:val="008C5A33"/>
    <w:rsid w:val="008C5D0F"/>
    <w:rsid w:val="008C5D76"/>
    <w:rsid w:val="008C5DBB"/>
    <w:rsid w:val="008C5EE3"/>
    <w:rsid w:val="008C6014"/>
    <w:rsid w:val="008C6092"/>
    <w:rsid w:val="008C6514"/>
    <w:rsid w:val="008C6805"/>
    <w:rsid w:val="008C6829"/>
    <w:rsid w:val="008C6B32"/>
    <w:rsid w:val="008C6E40"/>
    <w:rsid w:val="008C6EE9"/>
    <w:rsid w:val="008C6F52"/>
    <w:rsid w:val="008C6FBE"/>
    <w:rsid w:val="008C6FFE"/>
    <w:rsid w:val="008C7138"/>
    <w:rsid w:val="008C72B7"/>
    <w:rsid w:val="008C73B9"/>
    <w:rsid w:val="008C7446"/>
    <w:rsid w:val="008C7584"/>
    <w:rsid w:val="008C7788"/>
    <w:rsid w:val="008C7941"/>
    <w:rsid w:val="008C79A1"/>
    <w:rsid w:val="008C7B4B"/>
    <w:rsid w:val="008C7C0D"/>
    <w:rsid w:val="008C7C57"/>
    <w:rsid w:val="008D00CD"/>
    <w:rsid w:val="008D018E"/>
    <w:rsid w:val="008D0369"/>
    <w:rsid w:val="008D043E"/>
    <w:rsid w:val="008D0519"/>
    <w:rsid w:val="008D06C2"/>
    <w:rsid w:val="008D07EA"/>
    <w:rsid w:val="008D08F8"/>
    <w:rsid w:val="008D0902"/>
    <w:rsid w:val="008D0B43"/>
    <w:rsid w:val="008D0CFD"/>
    <w:rsid w:val="008D0D8A"/>
    <w:rsid w:val="008D0ED4"/>
    <w:rsid w:val="008D0FCA"/>
    <w:rsid w:val="008D100D"/>
    <w:rsid w:val="008D1110"/>
    <w:rsid w:val="008D1174"/>
    <w:rsid w:val="008D117A"/>
    <w:rsid w:val="008D1497"/>
    <w:rsid w:val="008D1526"/>
    <w:rsid w:val="008D15FB"/>
    <w:rsid w:val="008D1A06"/>
    <w:rsid w:val="008D1A3F"/>
    <w:rsid w:val="008D1C1A"/>
    <w:rsid w:val="008D1E44"/>
    <w:rsid w:val="008D1F23"/>
    <w:rsid w:val="008D1FB9"/>
    <w:rsid w:val="008D205D"/>
    <w:rsid w:val="008D2099"/>
    <w:rsid w:val="008D2174"/>
    <w:rsid w:val="008D225F"/>
    <w:rsid w:val="008D2389"/>
    <w:rsid w:val="008D248E"/>
    <w:rsid w:val="008D248F"/>
    <w:rsid w:val="008D25C5"/>
    <w:rsid w:val="008D264B"/>
    <w:rsid w:val="008D2724"/>
    <w:rsid w:val="008D2809"/>
    <w:rsid w:val="008D283F"/>
    <w:rsid w:val="008D28C3"/>
    <w:rsid w:val="008D2D3A"/>
    <w:rsid w:val="008D2FC4"/>
    <w:rsid w:val="008D32FC"/>
    <w:rsid w:val="008D335A"/>
    <w:rsid w:val="008D3415"/>
    <w:rsid w:val="008D348B"/>
    <w:rsid w:val="008D356F"/>
    <w:rsid w:val="008D3596"/>
    <w:rsid w:val="008D366D"/>
    <w:rsid w:val="008D38E2"/>
    <w:rsid w:val="008D3C94"/>
    <w:rsid w:val="008D3D96"/>
    <w:rsid w:val="008D3DA4"/>
    <w:rsid w:val="008D3E3A"/>
    <w:rsid w:val="008D4006"/>
    <w:rsid w:val="008D4177"/>
    <w:rsid w:val="008D4269"/>
    <w:rsid w:val="008D4398"/>
    <w:rsid w:val="008D44B5"/>
    <w:rsid w:val="008D4593"/>
    <w:rsid w:val="008D4629"/>
    <w:rsid w:val="008D4658"/>
    <w:rsid w:val="008D46EE"/>
    <w:rsid w:val="008D4837"/>
    <w:rsid w:val="008D4A17"/>
    <w:rsid w:val="008D4B60"/>
    <w:rsid w:val="008D4E5B"/>
    <w:rsid w:val="008D50F5"/>
    <w:rsid w:val="008D516A"/>
    <w:rsid w:val="008D521C"/>
    <w:rsid w:val="008D5391"/>
    <w:rsid w:val="008D55D1"/>
    <w:rsid w:val="008D5705"/>
    <w:rsid w:val="008D5986"/>
    <w:rsid w:val="008D5FB4"/>
    <w:rsid w:val="008D6146"/>
    <w:rsid w:val="008D635F"/>
    <w:rsid w:val="008D6600"/>
    <w:rsid w:val="008D66E6"/>
    <w:rsid w:val="008D670F"/>
    <w:rsid w:val="008D6782"/>
    <w:rsid w:val="008D69C9"/>
    <w:rsid w:val="008D6A98"/>
    <w:rsid w:val="008D6C04"/>
    <w:rsid w:val="008D6C0A"/>
    <w:rsid w:val="008D6C74"/>
    <w:rsid w:val="008D6D34"/>
    <w:rsid w:val="008D6E7B"/>
    <w:rsid w:val="008D7098"/>
    <w:rsid w:val="008D70A2"/>
    <w:rsid w:val="008D7194"/>
    <w:rsid w:val="008D73A4"/>
    <w:rsid w:val="008D7710"/>
    <w:rsid w:val="008D7715"/>
    <w:rsid w:val="008D7815"/>
    <w:rsid w:val="008D7B92"/>
    <w:rsid w:val="008D7CD8"/>
    <w:rsid w:val="008D7E57"/>
    <w:rsid w:val="008D7EE9"/>
    <w:rsid w:val="008E006C"/>
    <w:rsid w:val="008E00AC"/>
    <w:rsid w:val="008E027A"/>
    <w:rsid w:val="008E0337"/>
    <w:rsid w:val="008E0367"/>
    <w:rsid w:val="008E0629"/>
    <w:rsid w:val="008E074F"/>
    <w:rsid w:val="008E07EB"/>
    <w:rsid w:val="008E097D"/>
    <w:rsid w:val="008E0F90"/>
    <w:rsid w:val="008E13C9"/>
    <w:rsid w:val="008E14F9"/>
    <w:rsid w:val="008E1617"/>
    <w:rsid w:val="008E1619"/>
    <w:rsid w:val="008E168A"/>
    <w:rsid w:val="008E16A3"/>
    <w:rsid w:val="008E174F"/>
    <w:rsid w:val="008E1A52"/>
    <w:rsid w:val="008E1B8E"/>
    <w:rsid w:val="008E1BF5"/>
    <w:rsid w:val="008E1C90"/>
    <w:rsid w:val="008E1D7E"/>
    <w:rsid w:val="008E1FC2"/>
    <w:rsid w:val="008E2136"/>
    <w:rsid w:val="008E21BD"/>
    <w:rsid w:val="008E2243"/>
    <w:rsid w:val="008E22D4"/>
    <w:rsid w:val="008E230B"/>
    <w:rsid w:val="008E24E6"/>
    <w:rsid w:val="008E26F9"/>
    <w:rsid w:val="008E27A2"/>
    <w:rsid w:val="008E28B0"/>
    <w:rsid w:val="008E2935"/>
    <w:rsid w:val="008E2BE4"/>
    <w:rsid w:val="008E2CBC"/>
    <w:rsid w:val="008E2D39"/>
    <w:rsid w:val="008E2D87"/>
    <w:rsid w:val="008E309F"/>
    <w:rsid w:val="008E3191"/>
    <w:rsid w:val="008E326A"/>
    <w:rsid w:val="008E32CC"/>
    <w:rsid w:val="008E3357"/>
    <w:rsid w:val="008E345C"/>
    <w:rsid w:val="008E3613"/>
    <w:rsid w:val="008E3749"/>
    <w:rsid w:val="008E380D"/>
    <w:rsid w:val="008E3810"/>
    <w:rsid w:val="008E39BF"/>
    <w:rsid w:val="008E39F8"/>
    <w:rsid w:val="008E3A3F"/>
    <w:rsid w:val="008E3B97"/>
    <w:rsid w:val="008E3DD7"/>
    <w:rsid w:val="008E3E07"/>
    <w:rsid w:val="008E3ED5"/>
    <w:rsid w:val="008E40DD"/>
    <w:rsid w:val="008E41BE"/>
    <w:rsid w:val="008E41F7"/>
    <w:rsid w:val="008E4254"/>
    <w:rsid w:val="008E436C"/>
    <w:rsid w:val="008E43B9"/>
    <w:rsid w:val="008E456A"/>
    <w:rsid w:val="008E464A"/>
    <w:rsid w:val="008E46DF"/>
    <w:rsid w:val="008E485A"/>
    <w:rsid w:val="008E4875"/>
    <w:rsid w:val="008E49F3"/>
    <w:rsid w:val="008E4A5B"/>
    <w:rsid w:val="008E4FAE"/>
    <w:rsid w:val="008E5047"/>
    <w:rsid w:val="008E50D4"/>
    <w:rsid w:val="008E5175"/>
    <w:rsid w:val="008E538E"/>
    <w:rsid w:val="008E53A2"/>
    <w:rsid w:val="008E5405"/>
    <w:rsid w:val="008E547A"/>
    <w:rsid w:val="008E54BA"/>
    <w:rsid w:val="008E564D"/>
    <w:rsid w:val="008E5786"/>
    <w:rsid w:val="008E58F0"/>
    <w:rsid w:val="008E5912"/>
    <w:rsid w:val="008E592E"/>
    <w:rsid w:val="008E5B20"/>
    <w:rsid w:val="008E5EC6"/>
    <w:rsid w:val="008E62D2"/>
    <w:rsid w:val="008E6390"/>
    <w:rsid w:val="008E65FF"/>
    <w:rsid w:val="008E66B3"/>
    <w:rsid w:val="008E6790"/>
    <w:rsid w:val="008E68E5"/>
    <w:rsid w:val="008E6901"/>
    <w:rsid w:val="008E69DA"/>
    <w:rsid w:val="008E6A61"/>
    <w:rsid w:val="008E6B4E"/>
    <w:rsid w:val="008E6B79"/>
    <w:rsid w:val="008E6B99"/>
    <w:rsid w:val="008E6CE6"/>
    <w:rsid w:val="008E6DC0"/>
    <w:rsid w:val="008E6E17"/>
    <w:rsid w:val="008E6F90"/>
    <w:rsid w:val="008E7144"/>
    <w:rsid w:val="008E72EE"/>
    <w:rsid w:val="008E731B"/>
    <w:rsid w:val="008E7455"/>
    <w:rsid w:val="008E7970"/>
    <w:rsid w:val="008E7B02"/>
    <w:rsid w:val="008E7B40"/>
    <w:rsid w:val="008E7C34"/>
    <w:rsid w:val="008E7DAB"/>
    <w:rsid w:val="008E7F12"/>
    <w:rsid w:val="008E7F4A"/>
    <w:rsid w:val="008F0069"/>
    <w:rsid w:val="008F0077"/>
    <w:rsid w:val="008F0155"/>
    <w:rsid w:val="008F03A7"/>
    <w:rsid w:val="008F03D5"/>
    <w:rsid w:val="008F0440"/>
    <w:rsid w:val="008F0487"/>
    <w:rsid w:val="008F0ABC"/>
    <w:rsid w:val="008F0B57"/>
    <w:rsid w:val="008F0C36"/>
    <w:rsid w:val="008F0C63"/>
    <w:rsid w:val="008F0C8B"/>
    <w:rsid w:val="008F0EB2"/>
    <w:rsid w:val="008F1016"/>
    <w:rsid w:val="008F107F"/>
    <w:rsid w:val="008F10B3"/>
    <w:rsid w:val="008F10D9"/>
    <w:rsid w:val="008F10DD"/>
    <w:rsid w:val="008F10F1"/>
    <w:rsid w:val="008F12B8"/>
    <w:rsid w:val="008F1349"/>
    <w:rsid w:val="008F15C9"/>
    <w:rsid w:val="008F17A6"/>
    <w:rsid w:val="008F187A"/>
    <w:rsid w:val="008F1959"/>
    <w:rsid w:val="008F19EC"/>
    <w:rsid w:val="008F1A7B"/>
    <w:rsid w:val="008F1BDA"/>
    <w:rsid w:val="008F1C38"/>
    <w:rsid w:val="008F1E3C"/>
    <w:rsid w:val="008F1E8F"/>
    <w:rsid w:val="008F1F91"/>
    <w:rsid w:val="008F2041"/>
    <w:rsid w:val="008F20F7"/>
    <w:rsid w:val="008F21B8"/>
    <w:rsid w:val="008F224A"/>
    <w:rsid w:val="008F22F1"/>
    <w:rsid w:val="008F23D3"/>
    <w:rsid w:val="008F2451"/>
    <w:rsid w:val="008F258F"/>
    <w:rsid w:val="008F2847"/>
    <w:rsid w:val="008F287F"/>
    <w:rsid w:val="008F2946"/>
    <w:rsid w:val="008F2A20"/>
    <w:rsid w:val="008F2A50"/>
    <w:rsid w:val="008F2B4C"/>
    <w:rsid w:val="008F2F7D"/>
    <w:rsid w:val="008F328D"/>
    <w:rsid w:val="008F334F"/>
    <w:rsid w:val="008F344B"/>
    <w:rsid w:val="008F344E"/>
    <w:rsid w:val="008F34E4"/>
    <w:rsid w:val="008F36E2"/>
    <w:rsid w:val="008F377B"/>
    <w:rsid w:val="008F39EF"/>
    <w:rsid w:val="008F3B8A"/>
    <w:rsid w:val="008F3C24"/>
    <w:rsid w:val="008F3C4B"/>
    <w:rsid w:val="008F3CDD"/>
    <w:rsid w:val="008F3CE9"/>
    <w:rsid w:val="008F3D94"/>
    <w:rsid w:val="008F3ECE"/>
    <w:rsid w:val="008F3F08"/>
    <w:rsid w:val="008F4033"/>
    <w:rsid w:val="008F42B0"/>
    <w:rsid w:val="008F43F5"/>
    <w:rsid w:val="008F4453"/>
    <w:rsid w:val="008F44F1"/>
    <w:rsid w:val="008F45BD"/>
    <w:rsid w:val="008F4823"/>
    <w:rsid w:val="008F4835"/>
    <w:rsid w:val="008F48F6"/>
    <w:rsid w:val="008F4A43"/>
    <w:rsid w:val="008F4E23"/>
    <w:rsid w:val="008F4F1B"/>
    <w:rsid w:val="008F4FC9"/>
    <w:rsid w:val="008F50A6"/>
    <w:rsid w:val="008F51B4"/>
    <w:rsid w:val="008F51DA"/>
    <w:rsid w:val="008F529B"/>
    <w:rsid w:val="008F54E8"/>
    <w:rsid w:val="008F56DE"/>
    <w:rsid w:val="008F5D89"/>
    <w:rsid w:val="008F5E4C"/>
    <w:rsid w:val="008F6075"/>
    <w:rsid w:val="008F60D4"/>
    <w:rsid w:val="008F61A0"/>
    <w:rsid w:val="008F621C"/>
    <w:rsid w:val="008F650A"/>
    <w:rsid w:val="008F65F8"/>
    <w:rsid w:val="008F6653"/>
    <w:rsid w:val="008F67CC"/>
    <w:rsid w:val="008F67EB"/>
    <w:rsid w:val="008F68AB"/>
    <w:rsid w:val="008F6A5F"/>
    <w:rsid w:val="008F6AD6"/>
    <w:rsid w:val="008F6F0D"/>
    <w:rsid w:val="008F6FC8"/>
    <w:rsid w:val="008F7257"/>
    <w:rsid w:val="008F756C"/>
    <w:rsid w:val="008F75E0"/>
    <w:rsid w:val="008F78F0"/>
    <w:rsid w:val="008F7A6D"/>
    <w:rsid w:val="00900257"/>
    <w:rsid w:val="00900259"/>
    <w:rsid w:val="009002D4"/>
    <w:rsid w:val="00900493"/>
    <w:rsid w:val="009007FC"/>
    <w:rsid w:val="00900827"/>
    <w:rsid w:val="00900831"/>
    <w:rsid w:val="0090087F"/>
    <w:rsid w:val="00900898"/>
    <w:rsid w:val="00900B47"/>
    <w:rsid w:val="00900C35"/>
    <w:rsid w:val="00900F6E"/>
    <w:rsid w:val="00900F9F"/>
    <w:rsid w:val="00901012"/>
    <w:rsid w:val="009010C2"/>
    <w:rsid w:val="009010E9"/>
    <w:rsid w:val="009011CE"/>
    <w:rsid w:val="00901329"/>
    <w:rsid w:val="009017A1"/>
    <w:rsid w:val="00901831"/>
    <w:rsid w:val="00901AB8"/>
    <w:rsid w:val="00901B0A"/>
    <w:rsid w:val="00901B99"/>
    <w:rsid w:val="00901C5A"/>
    <w:rsid w:val="00901D41"/>
    <w:rsid w:val="00901D5B"/>
    <w:rsid w:val="00901E24"/>
    <w:rsid w:val="0090201D"/>
    <w:rsid w:val="00902050"/>
    <w:rsid w:val="0090247B"/>
    <w:rsid w:val="0090252A"/>
    <w:rsid w:val="0090258C"/>
    <w:rsid w:val="009025AB"/>
    <w:rsid w:val="00902601"/>
    <w:rsid w:val="009027F4"/>
    <w:rsid w:val="00902B8E"/>
    <w:rsid w:val="00902C00"/>
    <w:rsid w:val="00902CA5"/>
    <w:rsid w:val="00902D4F"/>
    <w:rsid w:val="009030E3"/>
    <w:rsid w:val="009031E7"/>
    <w:rsid w:val="00903393"/>
    <w:rsid w:val="0090348D"/>
    <w:rsid w:val="009034B9"/>
    <w:rsid w:val="009034C6"/>
    <w:rsid w:val="0090350E"/>
    <w:rsid w:val="00903797"/>
    <w:rsid w:val="00903869"/>
    <w:rsid w:val="00903BE2"/>
    <w:rsid w:val="00903F34"/>
    <w:rsid w:val="00903FB3"/>
    <w:rsid w:val="009042CD"/>
    <w:rsid w:val="0090430D"/>
    <w:rsid w:val="00904482"/>
    <w:rsid w:val="00904690"/>
    <w:rsid w:val="009048C3"/>
    <w:rsid w:val="00905336"/>
    <w:rsid w:val="009055FE"/>
    <w:rsid w:val="0090594A"/>
    <w:rsid w:val="00905B91"/>
    <w:rsid w:val="00905E55"/>
    <w:rsid w:val="00905FD6"/>
    <w:rsid w:val="009060FF"/>
    <w:rsid w:val="009062CD"/>
    <w:rsid w:val="00906546"/>
    <w:rsid w:val="009065DF"/>
    <w:rsid w:val="0090661D"/>
    <w:rsid w:val="009066DC"/>
    <w:rsid w:val="00906DA0"/>
    <w:rsid w:val="00906DC1"/>
    <w:rsid w:val="00906E19"/>
    <w:rsid w:val="00906E22"/>
    <w:rsid w:val="00906E85"/>
    <w:rsid w:val="00906FB9"/>
    <w:rsid w:val="009071F8"/>
    <w:rsid w:val="0090728D"/>
    <w:rsid w:val="00907441"/>
    <w:rsid w:val="009074D8"/>
    <w:rsid w:val="00907542"/>
    <w:rsid w:val="00907583"/>
    <w:rsid w:val="0090758F"/>
    <w:rsid w:val="0090766F"/>
    <w:rsid w:val="009076D9"/>
    <w:rsid w:val="0090779A"/>
    <w:rsid w:val="0090780A"/>
    <w:rsid w:val="0090787E"/>
    <w:rsid w:val="0090798F"/>
    <w:rsid w:val="00907CC2"/>
    <w:rsid w:val="00907D70"/>
    <w:rsid w:val="00907DD0"/>
    <w:rsid w:val="0091004B"/>
    <w:rsid w:val="0091007C"/>
    <w:rsid w:val="0091015A"/>
    <w:rsid w:val="009102B4"/>
    <w:rsid w:val="009102C8"/>
    <w:rsid w:val="0091052B"/>
    <w:rsid w:val="00910715"/>
    <w:rsid w:val="009107FF"/>
    <w:rsid w:val="00910873"/>
    <w:rsid w:val="0091091D"/>
    <w:rsid w:val="00910975"/>
    <w:rsid w:val="009109E1"/>
    <w:rsid w:val="00910AF6"/>
    <w:rsid w:val="00910E8C"/>
    <w:rsid w:val="00910F7C"/>
    <w:rsid w:val="009110E2"/>
    <w:rsid w:val="00911247"/>
    <w:rsid w:val="0091131D"/>
    <w:rsid w:val="00911327"/>
    <w:rsid w:val="00911406"/>
    <w:rsid w:val="009114AB"/>
    <w:rsid w:val="0091189A"/>
    <w:rsid w:val="00911986"/>
    <w:rsid w:val="009119F2"/>
    <w:rsid w:val="00911B8D"/>
    <w:rsid w:val="00911C3A"/>
    <w:rsid w:val="00911D30"/>
    <w:rsid w:val="00911E54"/>
    <w:rsid w:val="00911EC2"/>
    <w:rsid w:val="00911ED7"/>
    <w:rsid w:val="00911ED8"/>
    <w:rsid w:val="00911F72"/>
    <w:rsid w:val="00911F7E"/>
    <w:rsid w:val="009122CA"/>
    <w:rsid w:val="009122DB"/>
    <w:rsid w:val="0091275D"/>
    <w:rsid w:val="00912848"/>
    <w:rsid w:val="00912902"/>
    <w:rsid w:val="00912B56"/>
    <w:rsid w:val="00912BE2"/>
    <w:rsid w:val="00912C6F"/>
    <w:rsid w:val="00912D88"/>
    <w:rsid w:val="00912E50"/>
    <w:rsid w:val="00912E60"/>
    <w:rsid w:val="00912E6B"/>
    <w:rsid w:val="00912EA2"/>
    <w:rsid w:val="009131F2"/>
    <w:rsid w:val="009133D4"/>
    <w:rsid w:val="009133EA"/>
    <w:rsid w:val="0091358F"/>
    <w:rsid w:val="009136D9"/>
    <w:rsid w:val="00913C3E"/>
    <w:rsid w:val="00913DB7"/>
    <w:rsid w:val="00913E42"/>
    <w:rsid w:val="00913F98"/>
    <w:rsid w:val="0091415B"/>
    <w:rsid w:val="009144CD"/>
    <w:rsid w:val="00914908"/>
    <w:rsid w:val="0091496D"/>
    <w:rsid w:val="00914AEF"/>
    <w:rsid w:val="00914B9A"/>
    <w:rsid w:val="00914C0D"/>
    <w:rsid w:val="00914C36"/>
    <w:rsid w:val="00914CE5"/>
    <w:rsid w:val="00914D25"/>
    <w:rsid w:val="00914D48"/>
    <w:rsid w:val="00914EB5"/>
    <w:rsid w:val="00915339"/>
    <w:rsid w:val="00915512"/>
    <w:rsid w:val="0091568F"/>
    <w:rsid w:val="00915711"/>
    <w:rsid w:val="009157A1"/>
    <w:rsid w:val="00915D3A"/>
    <w:rsid w:val="00915EF5"/>
    <w:rsid w:val="00915F04"/>
    <w:rsid w:val="00916223"/>
    <w:rsid w:val="00916269"/>
    <w:rsid w:val="009163A0"/>
    <w:rsid w:val="00916516"/>
    <w:rsid w:val="009165A9"/>
    <w:rsid w:val="0091696F"/>
    <w:rsid w:val="00916AAB"/>
    <w:rsid w:val="00916C31"/>
    <w:rsid w:val="00916C99"/>
    <w:rsid w:val="00916EE9"/>
    <w:rsid w:val="00917159"/>
    <w:rsid w:val="00917210"/>
    <w:rsid w:val="00917369"/>
    <w:rsid w:val="00917406"/>
    <w:rsid w:val="00917690"/>
    <w:rsid w:val="00917751"/>
    <w:rsid w:val="00917C84"/>
    <w:rsid w:val="00917D6B"/>
    <w:rsid w:val="00917F86"/>
    <w:rsid w:val="0092031E"/>
    <w:rsid w:val="009205CD"/>
    <w:rsid w:val="00920874"/>
    <w:rsid w:val="00920FCF"/>
    <w:rsid w:val="0092111F"/>
    <w:rsid w:val="0092119F"/>
    <w:rsid w:val="009214D2"/>
    <w:rsid w:val="00921889"/>
    <w:rsid w:val="00921892"/>
    <w:rsid w:val="009218A2"/>
    <w:rsid w:val="0092191B"/>
    <w:rsid w:val="00921C28"/>
    <w:rsid w:val="00921D86"/>
    <w:rsid w:val="00921E20"/>
    <w:rsid w:val="00921E67"/>
    <w:rsid w:val="00921EE9"/>
    <w:rsid w:val="00921F1C"/>
    <w:rsid w:val="00921F40"/>
    <w:rsid w:val="00921FE8"/>
    <w:rsid w:val="0092241F"/>
    <w:rsid w:val="009224A3"/>
    <w:rsid w:val="009224B7"/>
    <w:rsid w:val="0092261B"/>
    <w:rsid w:val="009227D9"/>
    <w:rsid w:val="009228E6"/>
    <w:rsid w:val="00922925"/>
    <w:rsid w:val="00922A44"/>
    <w:rsid w:val="00922C29"/>
    <w:rsid w:val="00922E03"/>
    <w:rsid w:val="00922E3B"/>
    <w:rsid w:val="00922FD8"/>
    <w:rsid w:val="00922FFA"/>
    <w:rsid w:val="009230B4"/>
    <w:rsid w:val="00923261"/>
    <w:rsid w:val="00923281"/>
    <w:rsid w:val="00923316"/>
    <w:rsid w:val="009233CC"/>
    <w:rsid w:val="00923509"/>
    <w:rsid w:val="00923551"/>
    <w:rsid w:val="009235FC"/>
    <w:rsid w:val="0092360F"/>
    <w:rsid w:val="00923633"/>
    <w:rsid w:val="00923651"/>
    <w:rsid w:val="009238B9"/>
    <w:rsid w:val="00923900"/>
    <w:rsid w:val="00923A1B"/>
    <w:rsid w:val="00923A81"/>
    <w:rsid w:val="00923AAE"/>
    <w:rsid w:val="00923C11"/>
    <w:rsid w:val="00923CA1"/>
    <w:rsid w:val="00923E1F"/>
    <w:rsid w:val="009240D8"/>
    <w:rsid w:val="009240FF"/>
    <w:rsid w:val="009242AE"/>
    <w:rsid w:val="00924502"/>
    <w:rsid w:val="0092452C"/>
    <w:rsid w:val="00924AA0"/>
    <w:rsid w:val="00924AA7"/>
    <w:rsid w:val="00924DE0"/>
    <w:rsid w:val="00924EC9"/>
    <w:rsid w:val="009250DB"/>
    <w:rsid w:val="0092518C"/>
    <w:rsid w:val="0092523D"/>
    <w:rsid w:val="009252C7"/>
    <w:rsid w:val="00925402"/>
    <w:rsid w:val="00925440"/>
    <w:rsid w:val="0092571D"/>
    <w:rsid w:val="00925833"/>
    <w:rsid w:val="0092586A"/>
    <w:rsid w:val="009259B7"/>
    <w:rsid w:val="00925AA0"/>
    <w:rsid w:val="00925C60"/>
    <w:rsid w:val="00925CE0"/>
    <w:rsid w:val="00925E08"/>
    <w:rsid w:val="00925EF6"/>
    <w:rsid w:val="00925F7F"/>
    <w:rsid w:val="00925FB4"/>
    <w:rsid w:val="009260FB"/>
    <w:rsid w:val="009262B7"/>
    <w:rsid w:val="00926354"/>
    <w:rsid w:val="009264CA"/>
    <w:rsid w:val="00926B29"/>
    <w:rsid w:val="00926F34"/>
    <w:rsid w:val="00927038"/>
    <w:rsid w:val="009271EE"/>
    <w:rsid w:val="009271FD"/>
    <w:rsid w:val="009273B7"/>
    <w:rsid w:val="0092785A"/>
    <w:rsid w:val="0092789F"/>
    <w:rsid w:val="0092793D"/>
    <w:rsid w:val="00927A08"/>
    <w:rsid w:val="00927B08"/>
    <w:rsid w:val="00927C6E"/>
    <w:rsid w:val="00927DAA"/>
    <w:rsid w:val="00927F26"/>
    <w:rsid w:val="00927FCB"/>
    <w:rsid w:val="00930077"/>
    <w:rsid w:val="00930378"/>
    <w:rsid w:val="009303C3"/>
    <w:rsid w:val="00930560"/>
    <w:rsid w:val="0093066B"/>
    <w:rsid w:val="0093069F"/>
    <w:rsid w:val="00930745"/>
    <w:rsid w:val="00930809"/>
    <w:rsid w:val="00930812"/>
    <w:rsid w:val="00930948"/>
    <w:rsid w:val="00930987"/>
    <w:rsid w:val="009309F6"/>
    <w:rsid w:val="00930A39"/>
    <w:rsid w:val="00930A74"/>
    <w:rsid w:val="00930B3D"/>
    <w:rsid w:val="00930B8C"/>
    <w:rsid w:val="00930BCE"/>
    <w:rsid w:val="00930E1C"/>
    <w:rsid w:val="00930EA1"/>
    <w:rsid w:val="00930EC0"/>
    <w:rsid w:val="00930F79"/>
    <w:rsid w:val="009310EB"/>
    <w:rsid w:val="00931112"/>
    <w:rsid w:val="00931338"/>
    <w:rsid w:val="00931472"/>
    <w:rsid w:val="009316A4"/>
    <w:rsid w:val="0093176E"/>
    <w:rsid w:val="00931789"/>
    <w:rsid w:val="009317AA"/>
    <w:rsid w:val="00931852"/>
    <w:rsid w:val="00931B5E"/>
    <w:rsid w:val="00931BDE"/>
    <w:rsid w:val="00931C54"/>
    <w:rsid w:val="00931CE5"/>
    <w:rsid w:val="0093204D"/>
    <w:rsid w:val="00932100"/>
    <w:rsid w:val="009321D1"/>
    <w:rsid w:val="009322A1"/>
    <w:rsid w:val="009322E1"/>
    <w:rsid w:val="00932482"/>
    <w:rsid w:val="00932509"/>
    <w:rsid w:val="00932929"/>
    <w:rsid w:val="00932983"/>
    <w:rsid w:val="009329B0"/>
    <w:rsid w:val="009329B2"/>
    <w:rsid w:val="00932A24"/>
    <w:rsid w:val="00932EA1"/>
    <w:rsid w:val="00933130"/>
    <w:rsid w:val="009332E2"/>
    <w:rsid w:val="009334B7"/>
    <w:rsid w:val="00933531"/>
    <w:rsid w:val="00933817"/>
    <w:rsid w:val="0093387F"/>
    <w:rsid w:val="00933945"/>
    <w:rsid w:val="00933A28"/>
    <w:rsid w:val="00933A35"/>
    <w:rsid w:val="00933D45"/>
    <w:rsid w:val="00933D8F"/>
    <w:rsid w:val="00933FB6"/>
    <w:rsid w:val="00933FE3"/>
    <w:rsid w:val="00933FFD"/>
    <w:rsid w:val="0093409F"/>
    <w:rsid w:val="009346B0"/>
    <w:rsid w:val="009347E7"/>
    <w:rsid w:val="009349F6"/>
    <w:rsid w:val="00934B9E"/>
    <w:rsid w:val="00934C5D"/>
    <w:rsid w:val="00934CFB"/>
    <w:rsid w:val="00934E29"/>
    <w:rsid w:val="00934EAC"/>
    <w:rsid w:val="009350E4"/>
    <w:rsid w:val="009354E5"/>
    <w:rsid w:val="00935753"/>
    <w:rsid w:val="00935807"/>
    <w:rsid w:val="009359DF"/>
    <w:rsid w:val="00935A5A"/>
    <w:rsid w:val="0093603C"/>
    <w:rsid w:val="0093603E"/>
    <w:rsid w:val="009360AA"/>
    <w:rsid w:val="009360D7"/>
    <w:rsid w:val="009360E7"/>
    <w:rsid w:val="009362C9"/>
    <w:rsid w:val="009362F1"/>
    <w:rsid w:val="00936305"/>
    <w:rsid w:val="0093636D"/>
    <w:rsid w:val="0093680B"/>
    <w:rsid w:val="00936A6B"/>
    <w:rsid w:val="00936CC3"/>
    <w:rsid w:val="00936E59"/>
    <w:rsid w:val="009371C9"/>
    <w:rsid w:val="00937208"/>
    <w:rsid w:val="00937331"/>
    <w:rsid w:val="0093743C"/>
    <w:rsid w:val="00937498"/>
    <w:rsid w:val="00937509"/>
    <w:rsid w:val="0093753F"/>
    <w:rsid w:val="009378C9"/>
    <w:rsid w:val="009378DE"/>
    <w:rsid w:val="00937935"/>
    <w:rsid w:val="009379D9"/>
    <w:rsid w:val="00937A77"/>
    <w:rsid w:val="00937B11"/>
    <w:rsid w:val="00937D88"/>
    <w:rsid w:val="00937E54"/>
    <w:rsid w:val="00937F67"/>
    <w:rsid w:val="009404D7"/>
    <w:rsid w:val="009405A4"/>
    <w:rsid w:val="0094068B"/>
    <w:rsid w:val="009407AA"/>
    <w:rsid w:val="00940991"/>
    <w:rsid w:val="00940AD1"/>
    <w:rsid w:val="00940B8C"/>
    <w:rsid w:val="00940BBF"/>
    <w:rsid w:val="00940E50"/>
    <w:rsid w:val="00940E5C"/>
    <w:rsid w:val="00941026"/>
    <w:rsid w:val="0094106F"/>
    <w:rsid w:val="009410A4"/>
    <w:rsid w:val="00941225"/>
    <w:rsid w:val="0094143F"/>
    <w:rsid w:val="009414C7"/>
    <w:rsid w:val="00941536"/>
    <w:rsid w:val="009415A3"/>
    <w:rsid w:val="009415C3"/>
    <w:rsid w:val="00941754"/>
    <w:rsid w:val="00941769"/>
    <w:rsid w:val="009418A3"/>
    <w:rsid w:val="00941BF6"/>
    <w:rsid w:val="00941CE2"/>
    <w:rsid w:val="00941D13"/>
    <w:rsid w:val="00941E49"/>
    <w:rsid w:val="00942058"/>
    <w:rsid w:val="00942179"/>
    <w:rsid w:val="0094218A"/>
    <w:rsid w:val="00942226"/>
    <w:rsid w:val="00942387"/>
    <w:rsid w:val="009423B4"/>
    <w:rsid w:val="00942418"/>
    <w:rsid w:val="009429BD"/>
    <w:rsid w:val="00942A1E"/>
    <w:rsid w:val="00942B05"/>
    <w:rsid w:val="00942B13"/>
    <w:rsid w:val="00942C8F"/>
    <w:rsid w:val="00942D49"/>
    <w:rsid w:val="0094318D"/>
    <w:rsid w:val="009435DA"/>
    <w:rsid w:val="0094380C"/>
    <w:rsid w:val="0094385A"/>
    <w:rsid w:val="009438FE"/>
    <w:rsid w:val="00943AD9"/>
    <w:rsid w:val="00943AE3"/>
    <w:rsid w:val="00943F82"/>
    <w:rsid w:val="00944199"/>
    <w:rsid w:val="00944236"/>
    <w:rsid w:val="00944423"/>
    <w:rsid w:val="00944482"/>
    <w:rsid w:val="009444F4"/>
    <w:rsid w:val="00944614"/>
    <w:rsid w:val="00944672"/>
    <w:rsid w:val="0094468B"/>
    <w:rsid w:val="009448BE"/>
    <w:rsid w:val="00944959"/>
    <w:rsid w:val="00944A9A"/>
    <w:rsid w:val="00944D7B"/>
    <w:rsid w:val="00944EAE"/>
    <w:rsid w:val="00945120"/>
    <w:rsid w:val="0094517F"/>
    <w:rsid w:val="009451A4"/>
    <w:rsid w:val="00945223"/>
    <w:rsid w:val="00945379"/>
    <w:rsid w:val="0094553C"/>
    <w:rsid w:val="00945613"/>
    <w:rsid w:val="0094573D"/>
    <w:rsid w:val="009457B0"/>
    <w:rsid w:val="00945A08"/>
    <w:rsid w:val="00945A16"/>
    <w:rsid w:val="00945B2C"/>
    <w:rsid w:val="00945BEC"/>
    <w:rsid w:val="00945C27"/>
    <w:rsid w:val="00945CE3"/>
    <w:rsid w:val="00945D86"/>
    <w:rsid w:val="00945DCE"/>
    <w:rsid w:val="00945EBE"/>
    <w:rsid w:val="00945EF3"/>
    <w:rsid w:val="00946019"/>
    <w:rsid w:val="009460A4"/>
    <w:rsid w:val="00946223"/>
    <w:rsid w:val="00946261"/>
    <w:rsid w:val="0094626F"/>
    <w:rsid w:val="009462D2"/>
    <w:rsid w:val="009466FC"/>
    <w:rsid w:val="0094692B"/>
    <w:rsid w:val="00946A1D"/>
    <w:rsid w:val="00946A9F"/>
    <w:rsid w:val="00947171"/>
    <w:rsid w:val="009472A8"/>
    <w:rsid w:val="0094743A"/>
    <w:rsid w:val="00947596"/>
    <w:rsid w:val="0094768D"/>
    <w:rsid w:val="009476AB"/>
    <w:rsid w:val="009476E5"/>
    <w:rsid w:val="009477B6"/>
    <w:rsid w:val="00947943"/>
    <w:rsid w:val="009479A6"/>
    <w:rsid w:val="009479F5"/>
    <w:rsid w:val="009479F7"/>
    <w:rsid w:val="00947B8F"/>
    <w:rsid w:val="00947E56"/>
    <w:rsid w:val="009500DC"/>
    <w:rsid w:val="00950241"/>
    <w:rsid w:val="009502CD"/>
    <w:rsid w:val="009503B3"/>
    <w:rsid w:val="0095047F"/>
    <w:rsid w:val="009505EE"/>
    <w:rsid w:val="00950624"/>
    <w:rsid w:val="00950733"/>
    <w:rsid w:val="0095092F"/>
    <w:rsid w:val="00950A20"/>
    <w:rsid w:val="00950CD5"/>
    <w:rsid w:val="00950D16"/>
    <w:rsid w:val="0095101B"/>
    <w:rsid w:val="0095118D"/>
    <w:rsid w:val="00951195"/>
    <w:rsid w:val="009511FF"/>
    <w:rsid w:val="00951282"/>
    <w:rsid w:val="009513CB"/>
    <w:rsid w:val="009513F2"/>
    <w:rsid w:val="0095144C"/>
    <w:rsid w:val="00951467"/>
    <w:rsid w:val="009514B8"/>
    <w:rsid w:val="009515F4"/>
    <w:rsid w:val="0095165B"/>
    <w:rsid w:val="00951758"/>
    <w:rsid w:val="009517D9"/>
    <w:rsid w:val="00951888"/>
    <w:rsid w:val="009519D1"/>
    <w:rsid w:val="00951BD0"/>
    <w:rsid w:val="00951D17"/>
    <w:rsid w:val="00952548"/>
    <w:rsid w:val="00952844"/>
    <w:rsid w:val="00952AB3"/>
    <w:rsid w:val="00952B15"/>
    <w:rsid w:val="00952E0F"/>
    <w:rsid w:val="009531B5"/>
    <w:rsid w:val="00953572"/>
    <w:rsid w:val="0095358B"/>
    <w:rsid w:val="00953777"/>
    <w:rsid w:val="00953825"/>
    <w:rsid w:val="00953832"/>
    <w:rsid w:val="0095383F"/>
    <w:rsid w:val="009538C2"/>
    <w:rsid w:val="00953D79"/>
    <w:rsid w:val="00953D7B"/>
    <w:rsid w:val="00953D91"/>
    <w:rsid w:val="00953E02"/>
    <w:rsid w:val="00953F5C"/>
    <w:rsid w:val="00954003"/>
    <w:rsid w:val="00954148"/>
    <w:rsid w:val="0095418A"/>
    <w:rsid w:val="009542ED"/>
    <w:rsid w:val="0095434A"/>
    <w:rsid w:val="00954361"/>
    <w:rsid w:val="00954466"/>
    <w:rsid w:val="009545BA"/>
    <w:rsid w:val="00954621"/>
    <w:rsid w:val="00954939"/>
    <w:rsid w:val="009549E8"/>
    <w:rsid w:val="00954A8B"/>
    <w:rsid w:val="00954E38"/>
    <w:rsid w:val="00954FEB"/>
    <w:rsid w:val="00955029"/>
    <w:rsid w:val="00955101"/>
    <w:rsid w:val="009553B4"/>
    <w:rsid w:val="009553C6"/>
    <w:rsid w:val="009553DD"/>
    <w:rsid w:val="009554B5"/>
    <w:rsid w:val="0095554D"/>
    <w:rsid w:val="0095575A"/>
    <w:rsid w:val="00955845"/>
    <w:rsid w:val="00955943"/>
    <w:rsid w:val="009559B8"/>
    <w:rsid w:val="00955A9B"/>
    <w:rsid w:val="00955AC4"/>
    <w:rsid w:val="00955B82"/>
    <w:rsid w:val="00955BD8"/>
    <w:rsid w:val="00955BEC"/>
    <w:rsid w:val="00955DF3"/>
    <w:rsid w:val="00955F6F"/>
    <w:rsid w:val="0095608E"/>
    <w:rsid w:val="0095610B"/>
    <w:rsid w:val="009561A6"/>
    <w:rsid w:val="0095622B"/>
    <w:rsid w:val="009562DA"/>
    <w:rsid w:val="00956380"/>
    <w:rsid w:val="009564AC"/>
    <w:rsid w:val="0095654C"/>
    <w:rsid w:val="009566A5"/>
    <w:rsid w:val="009567C1"/>
    <w:rsid w:val="0095680C"/>
    <w:rsid w:val="0095686C"/>
    <w:rsid w:val="009568CE"/>
    <w:rsid w:val="00956B13"/>
    <w:rsid w:val="00956C4E"/>
    <w:rsid w:val="00956F39"/>
    <w:rsid w:val="00956FA7"/>
    <w:rsid w:val="0095751D"/>
    <w:rsid w:val="00957569"/>
    <w:rsid w:val="009576FE"/>
    <w:rsid w:val="009577C8"/>
    <w:rsid w:val="009578AE"/>
    <w:rsid w:val="00957975"/>
    <w:rsid w:val="00957A77"/>
    <w:rsid w:val="00957CBB"/>
    <w:rsid w:val="00957CC7"/>
    <w:rsid w:val="00957D18"/>
    <w:rsid w:val="00957D54"/>
    <w:rsid w:val="00957D5D"/>
    <w:rsid w:val="00957D81"/>
    <w:rsid w:val="0096002A"/>
    <w:rsid w:val="009601E7"/>
    <w:rsid w:val="00960571"/>
    <w:rsid w:val="009606CE"/>
    <w:rsid w:val="009608B0"/>
    <w:rsid w:val="009608B3"/>
    <w:rsid w:val="00960A5A"/>
    <w:rsid w:val="00960B2A"/>
    <w:rsid w:val="00960E2F"/>
    <w:rsid w:val="00960E96"/>
    <w:rsid w:val="00961623"/>
    <w:rsid w:val="00961685"/>
    <w:rsid w:val="00961902"/>
    <w:rsid w:val="009619B3"/>
    <w:rsid w:val="00961C84"/>
    <w:rsid w:val="00961EF6"/>
    <w:rsid w:val="00961F90"/>
    <w:rsid w:val="00961F98"/>
    <w:rsid w:val="00961F9F"/>
    <w:rsid w:val="00961FF0"/>
    <w:rsid w:val="00962021"/>
    <w:rsid w:val="0096202B"/>
    <w:rsid w:val="009620CC"/>
    <w:rsid w:val="00962150"/>
    <w:rsid w:val="009621B6"/>
    <w:rsid w:val="00962200"/>
    <w:rsid w:val="00962323"/>
    <w:rsid w:val="00962671"/>
    <w:rsid w:val="009626AC"/>
    <w:rsid w:val="0096297B"/>
    <w:rsid w:val="00962AEE"/>
    <w:rsid w:val="00962E4A"/>
    <w:rsid w:val="00962E5C"/>
    <w:rsid w:val="00963209"/>
    <w:rsid w:val="00963269"/>
    <w:rsid w:val="009633D7"/>
    <w:rsid w:val="0096365B"/>
    <w:rsid w:val="009637F5"/>
    <w:rsid w:val="00963959"/>
    <w:rsid w:val="009639A8"/>
    <w:rsid w:val="009639E1"/>
    <w:rsid w:val="00963ACD"/>
    <w:rsid w:val="00963B31"/>
    <w:rsid w:val="00963B85"/>
    <w:rsid w:val="00963C1F"/>
    <w:rsid w:val="00963DA1"/>
    <w:rsid w:val="009642DE"/>
    <w:rsid w:val="00964460"/>
    <w:rsid w:val="00964499"/>
    <w:rsid w:val="009644AA"/>
    <w:rsid w:val="00964723"/>
    <w:rsid w:val="009649B8"/>
    <w:rsid w:val="00964A1C"/>
    <w:rsid w:val="00964A79"/>
    <w:rsid w:val="00964AA5"/>
    <w:rsid w:val="00964B60"/>
    <w:rsid w:val="00964B74"/>
    <w:rsid w:val="00964C14"/>
    <w:rsid w:val="00964C2F"/>
    <w:rsid w:val="00964CF1"/>
    <w:rsid w:val="00964DA6"/>
    <w:rsid w:val="00964FE5"/>
    <w:rsid w:val="00965117"/>
    <w:rsid w:val="009652D5"/>
    <w:rsid w:val="00965550"/>
    <w:rsid w:val="00965592"/>
    <w:rsid w:val="00965625"/>
    <w:rsid w:val="0096565E"/>
    <w:rsid w:val="00965671"/>
    <w:rsid w:val="0096592A"/>
    <w:rsid w:val="00965CF8"/>
    <w:rsid w:val="00966130"/>
    <w:rsid w:val="00966329"/>
    <w:rsid w:val="009664FD"/>
    <w:rsid w:val="00966561"/>
    <w:rsid w:val="00966C16"/>
    <w:rsid w:val="00966C64"/>
    <w:rsid w:val="00966CA9"/>
    <w:rsid w:val="00966D01"/>
    <w:rsid w:val="00966D7E"/>
    <w:rsid w:val="009671F5"/>
    <w:rsid w:val="009673BF"/>
    <w:rsid w:val="0096761A"/>
    <w:rsid w:val="009677F8"/>
    <w:rsid w:val="00967EB8"/>
    <w:rsid w:val="00967F62"/>
    <w:rsid w:val="0097036B"/>
    <w:rsid w:val="0097054C"/>
    <w:rsid w:val="009705FE"/>
    <w:rsid w:val="009706C8"/>
    <w:rsid w:val="00970803"/>
    <w:rsid w:val="00970910"/>
    <w:rsid w:val="00970A5C"/>
    <w:rsid w:val="00970C35"/>
    <w:rsid w:val="00970C46"/>
    <w:rsid w:val="00970D1A"/>
    <w:rsid w:val="00970D28"/>
    <w:rsid w:val="00970E55"/>
    <w:rsid w:val="00970E96"/>
    <w:rsid w:val="00970EF1"/>
    <w:rsid w:val="00970F09"/>
    <w:rsid w:val="00970F7A"/>
    <w:rsid w:val="00971146"/>
    <w:rsid w:val="00971201"/>
    <w:rsid w:val="0097120A"/>
    <w:rsid w:val="0097127A"/>
    <w:rsid w:val="009713AE"/>
    <w:rsid w:val="009713E2"/>
    <w:rsid w:val="009713EB"/>
    <w:rsid w:val="0097141D"/>
    <w:rsid w:val="009714E1"/>
    <w:rsid w:val="009717BC"/>
    <w:rsid w:val="009717F0"/>
    <w:rsid w:val="009718C4"/>
    <w:rsid w:val="0097198B"/>
    <w:rsid w:val="00971A00"/>
    <w:rsid w:val="00971A6E"/>
    <w:rsid w:val="00971AA1"/>
    <w:rsid w:val="00971C26"/>
    <w:rsid w:val="00971C3A"/>
    <w:rsid w:val="00971DC0"/>
    <w:rsid w:val="0097203E"/>
    <w:rsid w:val="00972278"/>
    <w:rsid w:val="0097229F"/>
    <w:rsid w:val="009723EC"/>
    <w:rsid w:val="009724BC"/>
    <w:rsid w:val="009725F2"/>
    <w:rsid w:val="00972636"/>
    <w:rsid w:val="009726BA"/>
    <w:rsid w:val="00972847"/>
    <w:rsid w:val="00972916"/>
    <w:rsid w:val="00972A9A"/>
    <w:rsid w:val="00972AFF"/>
    <w:rsid w:val="00972B99"/>
    <w:rsid w:val="00972E8E"/>
    <w:rsid w:val="009730F0"/>
    <w:rsid w:val="0097331F"/>
    <w:rsid w:val="009733A6"/>
    <w:rsid w:val="00973582"/>
    <w:rsid w:val="009735BF"/>
    <w:rsid w:val="009735FB"/>
    <w:rsid w:val="00973738"/>
    <w:rsid w:val="0097374B"/>
    <w:rsid w:val="009737F7"/>
    <w:rsid w:val="009738F2"/>
    <w:rsid w:val="0097394A"/>
    <w:rsid w:val="00973A6B"/>
    <w:rsid w:val="00973C85"/>
    <w:rsid w:val="00973DFD"/>
    <w:rsid w:val="00973F26"/>
    <w:rsid w:val="00974091"/>
    <w:rsid w:val="0097429B"/>
    <w:rsid w:val="00974435"/>
    <w:rsid w:val="00974513"/>
    <w:rsid w:val="009746C6"/>
    <w:rsid w:val="0097498A"/>
    <w:rsid w:val="009749F7"/>
    <w:rsid w:val="00974D9C"/>
    <w:rsid w:val="00974F5C"/>
    <w:rsid w:val="00974FF5"/>
    <w:rsid w:val="00975080"/>
    <w:rsid w:val="00975320"/>
    <w:rsid w:val="00975431"/>
    <w:rsid w:val="009755A3"/>
    <w:rsid w:val="009755AF"/>
    <w:rsid w:val="009757B3"/>
    <w:rsid w:val="00975A78"/>
    <w:rsid w:val="00975B8C"/>
    <w:rsid w:val="00976002"/>
    <w:rsid w:val="00976009"/>
    <w:rsid w:val="0097600B"/>
    <w:rsid w:val="0097681D"/>
    <w:rsid w:val="009768BB"/>
    <w:rsid w:val="0097691F"/>
    <w:rsid w:val="00976985"/>
    <w:rsid w:val="009769C3"/>
    <w:rsid w:val="00976A7F"/>
    <w:rsid w:val="00976CCB"/>
    <w:rsid w:val="00976F1E"/>
    <w:rsid w:val="00976F48"/>
    <w:rsid w:val="00977263"/>
    <w:rsid w:val="00977707"/>
    <w:rsid w:val="0097783B"/>
    <w:rsid w:val="00977A34"/>
    <w:rsid w:val="00977D37"/>
    <w:rsid w:val="00977D75"/>
    <w:rsid w:val="00977FE8"/>
    <w:rsid w:val="009805DD"/>
    <w:rsid w:val="009809DC"/>
    <w:rsid w:val="00980AF1"/>
    <w:rsid w:val="00980BE7"/>
    <w:rsid w:val="00980C1C"/>
    <w:rsid w:val="00980C4C"/>
    <w:rsid w:val="00980CA4"/>
    <w:rsid w:val="00980E88"/>
    <w:rsid w:val="00981126"/>
    <w:rsid w:val="00981219"/>
    <w:rsid w:val="00981301"/>
    <w:rsid w:val="0098149F"/>
    <w:rsid w:val="0098151D"/>
    <w:rsid w:val="00981723"/>
    <w:rsid w:val="0098193C"/>
    <w:rsid w:val="00981B53"/>
    <w:rsid w:val="00981BFE"/>
    <w:rsid w:val="00981C05"/>
    <w:rsid w:val="00981C23"/>
    <w:rsid w:val="00981D7C"/>
    <w:rsid w:val="00981E75"/>
    <w:rsid w:val="00981E93"/>
    <w:rsid w:val="00981F1C"/>
    <w:rsid w:val="009820A8"/>
    <w:rsid w:val="00982104"/>
    <w:rsid w:val="009821F9"/>
    <w:rsid w:val="00982435"/>
    <w:rsid w:val="00982534"/>
    <w:rsid w:val="00982559"/>
    <w:rsid w:val="00982627"/>
    <w:rsid w:val="009826FC"/>
    <w:rsid w:val="00982719"/>
    <w:rsid w:val="00982745"/>
    <w:rsid w:val="0098280F"/>
    <w:rsid w:val="0098291E"/>
    <w:rsid w:val="00982A67"/>
    <w:rsid w:val="00982C0B"/>
    <w:rsid w:val="0098307E"/>
    <w:rsid w:val="00983096"/>
    <w:rsid w:val="00983174"/>
    <w:rsid w:val="00983219"/>
    <w:rsid w:val="009832DC"/>
    <w:rsid w:val="0098338D"/>
    <w:rsid w:val="00983773"/>
    <w:rsid w:val="009837CE"/>
    <w:rsid w:val="00983847"/>
    <w:rsid w:val="009839D2"/>
    <w:rsid w:val="00983A0F"/>
    <w:rsid w:val="00983A1A"/>
    <w:rsid w:val="00983A94"/>
    <w:rsid w:val="00983C31"/>
    <w:rsid w:val="00983DFB"/>
    <w:rsid w:val="00983E7E"/>
    <w:rsid w:val="00983EF1"/>
    <w:rsid w:val="0098401C"/>
    <w:rsid w:val="00984061"/>
    <w:rsid w:val="009841C1"/>
    <w:rsid w:val="009841F3"/>
    <w:rsid w:val="00984466"/>
    <w:rsid w:val="0098461A"/>
    <w:rsid w:val="00984835"/>
    <w:rsid w:val="00984A1E"/>
    <w:rsid w:val="00984B63"/>
    <w:rsid w:val="00984E8C"/>
    <w:rsid w:val="00985008"/>
    <w:rsid w:val="00985121"/>
    <w:rsid w:val="0098513A"/>
    <w:rsid w:val="00985203"/>
    <w:rsid w:val="00985428"/>
    <w:rsid w:val="009856C3"/>
    <w:rsid w:val="0098580B"/>
    <w:rsid w:val="00985B37"/>
    <w:rsid w:val="00985BB2"/>
    <w:rsid w:val="00985CF9"/>
    <w:rsid w:val="00985E04"/>
    <w:rsid w:val="00985E0E"/>
    <w:rsid w:val="00985F30"/>
    <w:rsid w:val="0098606C"/>
    <w:rsid w:val="00986090"/>
    <w:rsid w:val="00986427"/>
    <w:rsid w:val="009865DA"/>
    <w:rsid w:val="0098668E"/>
    <w:rsid w:val="009866A4"/>
    <w:rsid w:val="00986A1F"/>
    <w:rsid w:val="00986A2B"/>
    <w:rsid w:val="00986B68"/>
    <w:rsid w:val="00986D31"/>
    <w:rsid w:val="00986DA8"/>
    <w:rsid w:val="00987008"/>
    <w:rsid w:val="00987291"/>
    <w:rsid w:val="00987347"/>
    <w:rsid w:val="009874D7"/>
    <w:rsid w:val="00987582"/>
    <w:rsid w:val="0098765E"/>
    <w:rsid w:val="00987711"/>
    <w:rsid w:val="00987893"/>
    <w:rsid w:val="009878C6"/>
    <w:rsid w:val="009879E3"/>
    <w:rsid w:val="00987A51"/>
    <w:rsid w:val="00987A6D"/>
    <w:rsid w:val="00987BAC"/>
    <w:rsid w:val="00987BB1"/>
    <w:rsid w:val="00987C50"/>
    <w:rsid w:val="00987C8C"/>
    <w:rsid w:val="009900AF"/>
    <w:rsid w:val="009900D2"/>
    <w:rsid w:val="00990169"/>
    <w:rsid w:val="009902F9"/>
    <w:rsid w:val="009905FF"/>
    <w:rsid w:val="00990672"/>
    <w:rsid w:val="00990CB5"/>
    <w:rsid w:val="00990CF1"/>
    <w:rsid w:val="00990D40"/>
    <w:rsid w:val="00990D5A"/>
    <w:rsid w:val="00990F98"/>
    <w:rsid w:val="0099102D"/>
    <w:rsid w:val="009913B7"/>
    <w:rsid w:val="009914B1"/>
    <w:rsid w:val="00991675"/>
    <w:rsid w:val="0099173D"/>
    <w:rsid w:val="00991780"/>
    <w:rsid w:val="00991F4E"/>
    <w:rsid w:val="00991FFA"/>
    <w:rsid w:val="00992008"/>
    <w:rsid w:val="009922DE"/>
    <w:rsid w:val="0099249E"/>
    <w:rsid w:val="00992813"/>
    <w:rsid w:val="009928FE"/>
    <w:rsid w:val="00992A0D"/>
    <w:rsid w:val="00992B05"/>
    <w:rsid w:val="00992B76"/>
    <w:rsid w:val="00992BBD"/>
    <w:rsid w:val="00992BC7"/>
    <w:rsid w:val="00992E8B"/>
    <w:rsid w:val="0099306B"/>
    <w:rsid w:val="00993266"/>
    <w:rsid w:val="00993387"/>
    <w:rsid w:val="00993431"/>
    <w:rsid w:val="009936B3"/>
    <w:rsid w:val="009938F6"/>
    <w:rsid w:val="009939C8"/>
    <w:rsid w:val="00993A90"/>
    <w:rsid w:val="00993D73"/>
    <w:rsid w:val="00993E8E"/>
    <w:rsid w:val="00993EC9"/>
    <w:rsid w:val="00993F9C"/>
    <w:rsid w:val="00994041"/>
    <w:rsid w:val="009940BB"/>
    <w:rsid w:val="00994395"/>
    <w:rsid w:val="00994540"/>
    <w:rsid w:val="0099478E"/>
    <w:rsid w:val="00994879"/>
    <w:rsid w:val="0099499C"/>
    <w:rsid w:val="0099499F"/>
    <w:rsid w:val="00994B8D"/>
    <w:rsid w:val="00994BD5"/>
    <w:rsid w:val="00994D12"/>
    <w:rsid w:val="0099513F"/>
    <w:rsid w:val="00995563"/>
    <w:rsid w:val="0099566F"/>
    <w:rsid w:val="009956C3"/>
    <w:rsid w:val="00995794"/>
    <w:rsid w:val="00995920"/>
    <w:rsid w:val="009959EC"/>
    <w:rsid w:val="00995D8B"/>
    <w:rsid w:val="00995F55"/>
    <w:rsid w:val="00995F67"/>
    <w:rsid w:val="0099606C"/>
    <w:rsid w:val="0099609E"/>
    <w:rsid w:val="009960A1"/>
    <w:rsid w:val="00996409"/>
    <w:rsid w:val="00996499"/>
    <w:rsid w:val="009965BC"/>
    <w:rsid w:val="00996750"/>
    <w:rsid w:val="00996780"/>
    <w:rsid w:val="00996830"/>
    <w:rsid w:val="009968BF"/>
    <w:rsid w:val="0099699D"/>
    <w:rsid w:val="009969D4"/>
    <w:rsid w:val="00996A39"/>
    <w:rsid w:val="00996AA3"/>
    <w:rsid w:val="00996ACD"/>
    <w:rsid w:val="00996BB0"/>
    <w:rsid w:val="00996C50"/>
    <w:rsid w:val="00996D00"/>
    <w:rsid w:val="00996D2C"/>
    <w:rsid w:val="00996D57"/>
    <w:rsid w:val="00996EC7"/>
    <w:rsid w:val="0099752F"/>
    <w:rsid w:val="00997670"/>
    <w:rsid w:val="009976DF"/>
    <w:rsid w:val="00997B29"/>
    <w:rsid w:val="00997B48"/>
    <w:rsid w:val="00997B82"/>
    <w:rsid w:val="00997BB2"/>
    <w:rsid w:val="00997ED6"/>
    <w:rsid w:val="009A004D"/>
    <w:rsid w:val="009A00C8"/>
    <w:rsid w:val="009A0382"/>
    <w:rsid w:val="009A03DC"/>
    <w:rsid w:val="009A0474"/>
    <w:rsid w:val="009A0481"/>
    <w:rsid w:val="009A058D"/>
    <w:rsid w:val="009A0827"/>
    <w:rsid w:val="009A0C48"/>
    <w:rsid w:val="009A0CB9"/>
    <w:rsid w:val="009A0ECD"/>
    <w:rsid w:val="009A0FD4"/>
    <w:rsid w:val="009A143F"/>
    <w:rsid w:val="009A1683"/>
    <w:rsid w:val="009A16C3"/>
    <w:rsid w:val="009A16FC"/>
    <w:rsid w:val="009A1BBE"/>
    <w:rsid w:val="009A2217"/>
    <w:rsid w:val="009A228E"/>
    <w:rsid w:val="009A2521"/>
    <w:rsid w:val="009A2700"/>
    <w:rsid w:val="009A27A9"/>
    <w:rsid w:val="009A2C2C"/>
    <w:rsid w:val="009A2C92"/>
    <w:rsid w:val="009A2ED2"/>
    <w:rsid w:val="009A3215"/>
    <w:rsid w:val="009A34D9"/>
    <w:rsid w:val="009A34F4"/>
    <w:rsid w:val="009A35F7"/>
    <w:rsid w:val="009A39DF"/>
    <w:rsid w:val="009A3AB3"/>
    <w:rsid w:val="009A3B8A"/>
    <w:rsid w:val="009A3C12"/>
    <w:rsid w:val="009A3D6B"/>
    <w:rsid w:val="009A3E36"/>
    <w:rsid w:val="009A41A1"/>
    <w:rsid w:val="009A4392"/>
    <w:rsid w:val="009A4529"/>
    <w:rsid w:val="009A464D"/>
    <w:rsid w:val="009A48AD"/>
    <w:rsid w:val="009A48BF"/>
    <w:rsid w:val="009A49DF"/>
    <w:rsid w:val="009A4E00"/>
    <w:rsid w:val="009A4E3A"/>
    <w:rsid w:val="009A4ECD"/>
    <w:rsid w:val="009A4F65"/>
    <w:rsid w:val="009A5006"/>
    <w:rsid w:val="009A5339"/>
    <w:rsid w:val="009A5486"/>
    <w:rsid w:val="009A561E"/>
    <w:rsid w:val="009A567A"/>
    <w:rsid w:val="009A5765"/>
    <w:rsid w:val="009A5975"/>
    <w:rsid w:val="009A643D"/>
    <w:rsid w:val="009A6598"/>
    <w:rsid w:val="009A6B7B"/>
    <w:rsid w:val="009A6CAB"/>
    <w:rsid w:val="009A6CF3"/>
    <w:rsid w:val="009A6DAB"/>
    <w:rsid w:val="009A7080"/>
    <w:rsid w:val="009A7199"/>
    <w:rsid w:val="009A72F5"/>
    <w:rsid w:val="009A7397"/>
    <w:rsid w:val="009A74E4"/>
    <w:rsid w:val="009A769A"/>
    <w:rsid w:val="009A76F7"/>
    <w:rsid w:val="009A7729"/>
    <w:rsid w:val="009A7860"/>
    <w:rsid w:val="009A789D"/>
    <w:rsid w:val="009A7999"/>
    <w:rsid w:val="009A7CA5"/>
    <w:rsid w:val="009B0009"/>
    <w:rsid w:val="009B0134"/>
    <w:rsid w:val="009B01F2"/>
    <w:rsid w:val="009B03EA"/>
    <w:rsid w:val="009B05DE"/>
    <w:rsid w:val="009B0655"/>
    <w:rsid w:val="009B08A0"/>
    <w:rsid w:val="009B0988"/>
    <w:rsid w:val="009B0CE8"/>
    <w:rsid w:val="009B0CFE"/>
    <w:rsid w:val="009B0E88"/>
    <w:rsid w:val="009B1300"/>
    <w:rsid w:val="009B15D3"/>
    <w:rsid w:val="009B1A42"/>
    <w:rsid w:val="009B1A57"/>
    <w:rsid w:val="009B1FE8"/>
    <w:rsid w:val="009B2020"/>
    <w:rsid w:val="009B20E3"/>
    <w:rsid w:val="009B2127"/>
    <w:rsid w:val="009B23E4"/>
    <w:rsid w:val="009B24F2"/>
    <w:rsid w:val="009B252F"/>
    <w:rsid w:val="009B2785"/>
    <w:rsid w:val="009B27A4"/>
    <w:rsid w:val="009B2BD1"/>
    <w:rsid w:val="009B2D15"/>
    <w:rsid w:val="009B2DBA"/>
    <w:rsid w:val="009B2DD0"/>
    <w:rsid w:val="009B2F62"/>
    <w:rsid w:val="009B3133"/>
    <w:rsid w:val="009B3208"/>
    <w:rsid w:val="009B32AE"/>
    <w:rsid w:val="009B3302"/>
    <w:rsid w:val="009B3504"/>
    <w:rsid w:val="009B3594"/>
    <w:rsid w:val="009B35FA"/>
    <w:rsid w:val="009B366F"/>
    <w:rsid w:val="009B37D6"/>
    <w:rsid w:val="009B38BC"/>
    <w:rsid w:val="009B3D1C"/>
    <w:rsid w:val="009B3DA4"/>
    <w:rsid w:val="009B42DD"/>
    <w:rsid w:val="009B43BF"/>
    <w:rsid w:val="009B449D"/>
    <w:rsid w:val="009B466B"/>
    <w:rsid w:val="009B4693"/>
    <w:rsid w:val="009B46DC"/>
    <w:rsid w:val="009B496E"/>
    <w:rsid w:val="009B4A2D"/>
    <w:rsid w:val="009B4A90"/>
    <w:rsid w:val="009B4C12"/>
    <w:rsid w:val="009B4C2A"/>
    <w:rsid w:val="009B4CC4"/>
    <w:rsid w:val="009B4D9E"/>
    <w:rsid w:val="009B4F03"/>
    <w:rsid w:val="009B5025"/>
    <w:rsid w:val="009B50B2"/>
    <w:rsid w:val="009B540B"/>
    <w:rsid w:val="009B54E0"/>
    <w:rsid w:val="009B56F5"/>
    <w:rsid w:val="009B56F9"/>
    <w:rsid w:val="009B57B8"/>
    <w:rsid w:val="009B591D"/>
    <w:rsid w:val="009B5A07"/>
    <w:rsid w:val="009B5CD6"/>
    <w:rsid w:val="009B6196"/>
    <w:rsid w:val="009B631F"/>
    <w:rsid w:val="009B638D"/>
    <w:rsid w:val="009B63AD"/>
    <w:rsid w:val="009B64D1"/>
    <w:rsid w:val="009B64D4"/>
    <w:rsid w:val="009B655D"/>
    <w:rsid w:val="009B65A6"/>
    <w:rsid w:val="009B6884"/>
    <w:rsid w:val="009B68F4"/>
    <w:rsid w:val="009B690A"/>
    <w:rsid w:val="009B6B7F"/>
    <w:rsid w:val="009B6BC6"/>
    <w:rsid w:val="009B6EAB"/>
    <w:rsid w:val="009B6FBD"/>
    <w:rsid w:val="009B72A4"/>
    <w:rsid w:val="009B73FF"/>
    <w:rsid w:val="009B7470"/>
    <w:rsid w:val="009B74D3"/>
    <w:rsid w:val="009B757A"/>
    <w:rsid w:val="009B7846"/>
    <w:rsid w:val="009B7A08"/>
    <w:rsid w:val="009B7B47"/>
    <w:rsid w:val="009B7B4A"/>
    <w:rsid w:val="009B7D3F"/>
    <w:rsid w:val="009C01A9"/>
    <w:rsid w:val="009C01EA"/>
    <w:rsid w:val="009C02CA"/>
    <w:rsid w:val="009C039C"/>
    <w:rsid w:val="009C04A0"/>
    <w:rsid w:val="009C0521"/>
    <w:rsid w:val="009C065D"/>
    <w:rsid w:val="009C07AD"/>
    <w:rsid w:val="009C0807"/>
    <w:rsid w:val="009C086C"/>
    <w:rsid w:val="009C08A9"/>
    <w:rsid w:val="009C09C4"/>
    <w:rsid w:val="009C0A4F"/>
    <w:rsid w:val="009C0AB3"/>
    <w:rsid w:val="009C0D78"/>
    <w:rsid w:val="009C0E6A"/>
    <w:rsid w:val="009C0E96"/>
    <w:rsid w:val="009C0F8E"/>
    <w:rsid w:val="009C10FA"/>
    <w:rsid w:val="009C1363"/>
    <w:rsid w:val="009C14A4"/>
    <w:rsid w:val="009C168C"/>
    <w:rsid w:val="009C16B9"/>
    <w:rsid w:val="009C18AC"/>
    <w:rsid w:val="009C18B8"/>
    <w:rsid w:val="009C18FE"/>
    <w:rsid w:val="009C1A33"/>
    <w:rsid w:val="009C1B3C"/>
    <w:rsid w:val="009C1B99"/>
    <w:rsid w:val="009C1E01"/>
    <w:rsid w:val="009C1E0B"/>
    <w:rsid w:val="009C2018"/>
    <w:rsid w:val="009C2259"/>
    <w:rsid w:val="009C231E"/>
    <w:rsid w:val="009C2338"/>
    <w:rsid w:val="009C26C9"/>
    <w:rsid w:val="009C2871"/>
    <w:rsid w:val="009C29F7"/>
    <w:rsid w:val="009C2BEE"/>
    <w:rsid w:val="009C2EC5"/>
    <w:rsid w:val="009C2EC7"/>
    <w:rsid w:val="009C2F02"/>
    <w:rsid w:val="009C3111"/>
    <w:rsid w:val="009C321C"/>
    <w:rsid w:val="009C329A"/>
    <w:rsid w:val="009C3301"/>
    <w:rsid w:val="009C33ED"/>
    <w:rsid w:val="009C36D3"/>
    <w:rsid w:val="009C376B"/>
    <w:rsid w:val="009C3840"/>
    <w:rsid w:val="009C4132"/>
    <w:rsid w:val="009C442C"/>
    <w:rsid w:val="009C4851"/>
    <w:rsid w:val="009C4884"/>
    <w:rsid w:val="009C4A9D"/>
    <w:rsid w:val="009C4A9E"/>
    <w:rsid w:val="009C4AD3"/>
    <w:rsid w:val="009C52A7"/>
    <w:rsid w:val="009C5334"/>
    <w:rsid w:val="009C5421"/>
    <w:rsid w:val="009C5665"/>
    <w:rsid w:val="009C56C2"/>
    <w:rsid w:val="009C571C"/>
    <w:rsid w:val="009C57A4"/>
    <w:rsid w:val="009C5898"/>
    <w:rsid w:val="009C5ADA"/>
    <w:rsid w:val="009C5AFF"/>
    <w:rsid w:val="009C5D80"/>
    <w:rsid w:val="009C5DF6"/>
    <w:rsid w:val="009C5DFA"/>
    <w:rsid w:val="009C601F"/>
    <w:rsid w:val="009C62F8"/>
    <w:rsid w:val="009C64AF"/>
    <w:rsid w:val="009C65D7"/>
    <w:rsid w:val="009C6609"/>
    <w:rsid w:val="009C6745"/>
    <w:rsid w:val="009C679F"/>
    <w:rsid w:val="009C6A8B"/>
    <w:rsid w:val="009C6A90"/>
    <w:rsid w:val="009C6C73"/>
    <w:rsid w:val="009C6E59"/>
    <w:rsid w:val="009C73AF"/>
    <w:rsid w:val="009C73CB"/>
    <w:rsid w:val="009C7856"/>
    <w:rsid w:val="009C7951"/>
    <w:rsid w:val="009C7B7D"/>
    <w:rsid w:val="009C7C66"/>
    <w:rsid w:val="009C7C8A"/>
    <w:rsid w:val="009C7CB3"/>
    <w:rsid w:val="009C7CFE"/>
    <w:rsid w:val="009C7D6A"/>
    <w:rsid w:val="009C7EB3"/>
    <w:rsid w:val="009C7F80"/>
    <w:rsid w:val="009C7F9D"/>
    <w:rsid w:val="009D0187"/>
    <w:rsid w:val="009D03E1"/>
    <w:rsid w:val="009D046F"/>
    <w:rsid w:val="009D057F"/>
    <w:rsid w:val="009D0581"/>
    <w:rsid w:val="009D0629"/>
    <w:rsid w:val="009D078F"/>
    <w:rsid w:val="009D07C3"/>
    <w:rsid w:val="009D08AB"/>
    <w:rsid w:val="009D0946"/>
    <w:rsid w:val="009D097D"/>
    <w:rsid w:val="009D09FF"/>
    <w:rsid w:val="009D0A3B"/>
    <w:rsid w:val="009D0A8B"/>
    <w:rsid w:val="009D0B8E"/>
    <w:rsid w:val="009D0C97"/>
    <w:rsid w:val="009D0CA6"/>
    <w:rsid w:val="009D0D3A"/>
    <w:rsid w:val="009D0D49"/>
    <w:rsid w:val="009D0F03"/>
    <w:rsid w:val="009D0F39"/>
    <w:rsid w:val="009D0FE1"/>
    <w:rsid w:val="009D1113"/>
    <w:rsid w:val="009D11EE"/>
    <w:rsid w:val="009D1296"/>
    <w:rsid w:val="009D14FE"/>
    <w:rsid w:val="009D1559"/>
    <w:rsid w:val="009D15C6"/>
    <w:rsid w:val="009D172C"/>
    <w:rsid w:val="009D17B9"/>
    <w:rsid w:val="009D1928"/>
    <w:rsid w:val="009D1A4E"/>
    <w:rsid w:val="009D1A67"/>
    <w:rsid w:val="009D1D5D"/>
    <w:rsid w:val="009D1D9E"/>
    <w:rsid w:val="009D1ED1"/>
    <w:rsid w:val="009D1F69"/>
    <w:rsid w:val="009D204F"/>
    <w:rsid w:val="009D22BF"/>
    <w:rsid w:val="009D2362"/>
    <w:rsid w:val="009D23F9"/>
    <w:rsid w:val="009D24BC"/>
    <w:rsid w:val="009D270A"/>
    <w:rsid w:val="009D2788"/>
    <w:rsid w:val="009D28E6"/>
    <w:rsid w:val="009D28F9"/>
    <w:rsid w:val="009D2992"/>
    <w:rsid w:val="009D2BD9"/>
    <w:rsid w:val="009D2DE1"/>
    <w:rsid w:val="009D2EEA"/>
    <w:rsid w:val="009D3001"/>
    <w:rsid w:val="009D3006"/>
    <w:rsid w:val="009D3054"/>
    <w:rsid w:val="009D321C"/>
    <w:rsid w:val="009D330F"/>
    <w:rsid w:val="009D3707"/>
    <w:rsid w:val="009D37B5"/>
    <w:rsid w:val="009D38F7"/>
    <w:rsid w:val="009D393C"/>
    <w:rsid w:val="009D3B10"/>
    <w:rsid w:val="009D3B4C"/>
    <w:rsid w:val="009D3D43"/>
    <w:rsid w:val="009D3DD0"/>
    <w:rsid w:val="009D3EBF"/>
    <w:rsid w:val="009D3FF4"/>
    <w:rsid w:val="009D406F"/>
    <w:rsid w:val="009D4088"/>
    <w:rsid w:val="009D44D7"/>
    <w:rsid w:val="009D44D8"/>
    <w:rsid w:val="009D4558"/>
    <w:rsid w:val="009D4B20"/>
    <w:rsid w:val="009D5196"/>
    <w:rsid w:val="009D545A"/>
    <w:rsid w:val="009D558A"/>
    <w:rsid w:val="009D5786"/>
    <w:rsid w:val="009D59C8"/>
    <w:rsid w:val="009D5ACA"/>
    <w:rsid w:val="009D5BCD"/>
    <w:rsid w:val="009D5BF0"/>
    <w:rsid w:val="009D5DB0"/>
    <w:rsid w:val="009D5E81"/>
    <w:rsid w:val="009D5F00"/>
    <w:rsid w:val="009D6195"/>
    <w:rsid w:val="009D6211"/>
    <w:rsid w:val="009D62A2"/>
    <w:rsid w:val="009D631E"/>
    <w:rsid w:val="009D6321"/>
    <w:rsid w:val="009D6322"/>
    <w:rsid w:val="009D6606"/>
    <w:rsid w:val="009D669A"/>
    <w:rsid w:val="009D6745"/>
    <w:rsid w:val="009D686D"/>
    <w:rsid w:val="009D6A9C"/>
    <w:rsid w:val="009D6B83"/>
    <w:rsid w:val="009D6B9B"/>
    <w:rsid w:val="009D6C3E"/>
    <w:rsid w:val="009D6CDA"/>
    <w:rsid w:val="009D6D39"/>
    <w:rsid w:val="009D6D44"/>
    <w:rsid w:val="009D6E91"/>
    <w:rsid w:val="009D70A5"/>
    <w:rsid w:val="009D7225"/>
    <w:rsid w:val="009D7500"/>
    <w:rsid w:val="009D76BE"/>
    <w:rsid w:val="009D7A61"/>
    <w:rsid w:val="009D7ECE"/>
    <w:rsid w:val="009E00EA"/>
    <w:rsid w:val="009E01D7"/>
    <w:rsid w:val="009E0299"/>
    <w:rsid w:val="009E02E3"/>
    <w:rsid w:val="009E031A"/>
    <w:rsid w:val="009E031F"/>
    <w:rsid w:val="009E037D"/>
    <w:rsid w:val="009E0506"/>
    <w:rsid w:val="009E0511"/>
    <w:rsid w:val="009E0593"/>
    <w:rsid w:val="009E074F"/>
    <w:rsid w:val="009E0990"/>
    <w:rsid w:val="009E0CC9"/>
    <w:rsid w:val="009E0CCB"/>
    <w:rsid w:val="009E0D23"/>
    <w:rsid w:val="009E0D9D"/>
    <w:rsid w:val="009E0DF3"/>
    <w:rsid w:val="009E0F4D"/>
    <w:rsid w:val="009E10D6"/>
    <w:rsid w:val="009E1146"/>
    <w:rsid w:val="009E11F6"/>
    <w:rsid w:val="009E1445"/>
    <w:rsid w:val="009E145D"/>
    <w:rsid w:val="009E165F"/>
    <w:rsid w:val="009E16E8"/>
    <w:rsid w:val="009E171C"/>
    <w:rsid w:val="009E1829"/>
    <w:rsid w:val="009E1897"/>
    <w:rsid w:val="009E1A0D"/>
    <w:rsid w:val="009E1CCF"/>
    <w:rsid w:val="009E1F4C"/>
    <w:rsid w:val="009E1F85"/>
    <w:rsid w:val="009E1FED"/>
    <w:rsid w:val="009E20E0"/>
    <w:rsid w:val="009E22FA"/>
    <w:rsid w:val="009E24DC"/>
    <w:rsid w:val="009E297E"/>
    <w:rsid w:val="009E2D9C"/>
    <w:rsid w:val="009E2DD5"/>
    <w:rsid w:val="009E2E0F"/>
    <w:rsid w:val="009E2E31"/>
    <w:rsid w:val="009E2E6B"/>
    <w:rsid w:val="009E3037"/>
    <w:rsid w:val="009E30A9"/>
    <w:rsid w:val="009E30CB"/>
    <w:rsid w:val="009E31BB"/>
    <w:rsid w:val="009E323E"/>
    <w:rsid w:val="009E32DC"/>
    <w:rsid w:val="009E39FB"/>
    <w:rsid w:val="009E3B85"/>
    <w:rsid w:val="009E3F46"/>
    <w:rsid w:val="009E3FA9"/>
    <w:rsid w:val="009E42B7"/>
    <w:rsid w:val="009E4351"/>
    <w:rsid w:val="009E44DA"/>
    <w:rsid w:val="009E4653"/>
    <w:rsid w:val="009E4744"/>
    <w:rsid w:val="009E47E0"/>
    <w:rsid w:val="009E4878"/>
    <w:rsid w:val="009E4947"/>
    <w:rsid w:val="009E49D8"/>
    <w:rsid w:val="009E4CB5"/>
    <w:rsid w:val="009E4CBA"/>
    <w:rsid w:val="009E4EC9"/>
    <w:rsid w:val="009E4FA3"/>
    <w:rsid w:val="009E51AC"/>
    <w:rsid w:val="009E5542"/>
    <w:rsid w:val="009E58B0"/>
    <w:rsid w:val="009E58C2"/>
    <w:rsid w:val="009E5D00"/>
    <w:rsid w:val="009E5D5A"/>
    <w:rsid w:val="009E5DF5"/>
    <w:rsid w:val="009E620E"/>
    <w:rsid w:val="009E65BA"/>
    <w:rsid w:val="009E67F6"/>
    <w:rsid w:val="009E681E"/>
    <w:rsid w:val="009E6876"/>
    <w:rsid w:val="009E6D30"/>
    <w:rsid w:val="009E6D5C"/>
    <w:rsid w:val="009E6DA4"/>
    <w:rsid w:val="009E6DB6"/>
    <w:rsid w:val="009E6F99"/>
    <w:rsid w:val="009E71BC"/>
    <w:rsid w:val="009E7783"/>
    <w:rsid w:val="009E7804"/>
    <w:rsid w:val="009E784E"/>
    <w:rsid w:val="009E7A68"/>
    <w:rsid w:val="009E7A74"/>
    <w:rsid w:val="009E7F68"/>
    <w:rsid w:val="009F0064"/>
    <w:rsid w:val="009F02C5"/>
    <w:rsid w:val="009F03C4"/>
    <w:rsid w:val="009F0630"/>
    <w:rsid w:val="009F0984"/>
    <w:rsid w:val="009F0B36"/>
    <w:rsid w:val="009F0DBA"/>
    <w:rsid w:val="009F0E52"/>
    <w:rsid w:val="009F0F33"/>
    <w:rsid w:val="009F0FAA"/>
    <w:rsid w:val="009F10CE"/>
    <w:rsid w:val="009F1180"/>
    <w:rsid w:val="009F13F2"/>
    <w:rsid w:val="009F1490"/>
    <w:rsid w:val="009F14DC"/>
    <w:rsid w:val="009F1576"/>
    <w:rsid w:val="009F1758"/>
    <w:rsid w:val="009F1980"/>
    <w:rsid w:val="009F1C84"/>
    <w:rsid w:val="009F1D68"/>
    <w:rsid w:val="009F2114"/>
    <w:rsid w:val="009F2262"/>
    <w:rsid w:val="009F2461"/>
    <w:rsid w:val="009F2495"/>
    <w:rsid w:val="009F25C2"/>
    <w:rsid w:val="009F2687"/>
    <w:rsid w:val="009F280F"/>
    <w:rsid w:val="009F2827"/>
    <w:rsid w:val="009F28E2"/>
    <w:rsid w:val="009F299F"/>
    <w:rsid w:val="009F2BCD"/>
    <w:rsid w:val="009F2C2D"/>
    <w:rsid w:val="009F2DE2"/>
    <w:rsid w:val="009F2E06"/>
    <w:rsid w:val="009F2E25"/>
    <w:rsid w:val="009F2FAC"/>
    <w:rsid w:val="009F308A"/>
    <w:rsid w:val="009F30DB"/>
    <w:rsid w:val="009F3105"/>
    <w:rsid w:val="009F3315"/>
    <w:rsid w:val="009F3377"/>
    <w:rsid w:val="009F3406"/>
    <w:rsid w:val="009F3907"/>
    <w:rsid w:val="009F3BCC"/>
    <w:rsid w:val="009F3C9A"/>
    <w:rsid w:val="009F410F"/>
    <w:rsid w:val="009F4171"/>
    <w:rsid w:val="009F41E8"/>
    <w:rsid w:val="009F4298"/>
    <w:rsid w:val="009F42E8"/>
    <w:rsid w:val="009F4364"/>
    <w:rsid w:val="009F441E"/>
    <w:rsid w:val="009F4425"/>
    <w:rsid w:val="009F4583"/>
    <w:rsid w:val="009F47A3"/>
    <w:rsid w:val="009F47CE"/>
    <w:rsid w:val="009F4A66"/>
    <w:rsid w:val="009F4ADA"/>
    <w:rsid w:val="009F4BA8"/>
    <w:rsid w:val="009F4BFE"/>
    <w:rsid w:val="009F4FA3"/>
    <w:rsid w:val="009F52CE"/>
    <w:rsid w:val="009F54D7"/>
    <w:rsid w:val="009F5858"/>
    <w:rsid w:val="009F59E5"/>
    <w:rsid w:val="009F607E"/>
    <w:rsid w:val="009F6239"/>
    <w:rsid w:val="009F62D1"/>
    <w:rsid w:val="009F6349"/>
    <w:rsid w:val="009F6522"/>
    <w:rsid w:val="009F654B"/>
    <w:rsid w:val="009F6605"/>
    <w:rsid w:val="009F6658"/>
    <w:rsid w:val="009F6851"/>
    <w:rsid w:val="009F6A0D"/>
    <w:rsid w:val="009F6B9D"/>
    <w:rsid w:val="009F6BF2"/>
    <w:rsid w:val="009F6C05"/>
    <w:rsid w:val="009F6EB1"/>
    <w:rsid w:val="009F6FA3"/>
    <w:rsid w:val="009F7100"/>
    <w:rsid w:val="009F7178"/>
    <w:rsid w:val="009F727D"/>
    <w:rsid w:val="009F7294"/>
    <w:rsid w:val="009F734C"/>
    <w:rsid w:val="009F746A"/>
    <w:rsid w:val="009F74CC"/>
    <w:rsid w:val="009F7618"/>
    <w:rsid w:val="009F781E"/>
    <w:rsid w:val="009F7C9B"/>
    <w:rsid w:val="009F7E8C"/>
    <w:rsid w:val="009F7EAB"/>
    <w:rsid w:val="009F7FB3"/>
    <w:rsid w:val="00A00114"/>
    <w:rsid w:val="00A002D0"/>
    <w:rsid w:val="00A00345"/>
    <w:rsid w:val="00A0080A"/>
    <w:rsid w:val="00A008EB"/>
    <w:rsid w:val="00A00ACE"/>
    <w:rsid w:val="00A00B7E"/>
    <w:rsid w:val="00A00BA5"/>
    <w:rsid w:val="00A00EEA"/>
    <w:rsid w:val="00A017A8"/>
    <w:rsid w:val="00A01943"/>
    <w:rsid w:val="00A019DF"/>
    <w:rsid w:val="00A01AAD"/>
    <w:rsid w:val="00A01B15"/>
    <w:rsid w:val="00A01BA3"/>
    <w:rsid w:val="00A01CEC"/>
    <w:rsid w:val="00A01EAA"/>
    <w:rsid w:val="00A01FC0"/>
    <w:rsid w:val="00A01FE8"/>
    <w:rsid w:val="00A02001"/>
    <w:rsid w:val="00A020B9"/>
    <w:rsid w:val="00A021E1"/>
    <w:rsid w:val="00A023B4"/>
    <w:rsid w:val="00A02443"/>
    <w:rsid w:val="00A02549"/>
    <w:rsid w:val="00A027F9"/>
    <w:rsid w:val="00A028E5"/>
    <w:rsid w:val="00A02CFE"/>
    <w:rsid w:val="00A02F04"/>
    <w:rsid w:val="00A02F3C"/>
    <w:rsid w:val="00A02FD1"/>
    <w:rsid w:val="00A0313B"/>
    <w:rsid w:val="00A03430"/>
    <w:rsid w:val="00A03595"/>
    <w:rsid w:val="00A036CA"/>
    <w:rsid w:val="00A037AC"/>
    <w:rsid w:val="00A03A0D"/>
    <w:rsid w:val="00A03D76"/>
    <w:rsid w:val="00A03DBB"/>
    <w:rsid w:val="00A03EF1"/>
    <w:rsid w:val="00A03F67"/>
    <w:rsid w:val="00A03FE5"/>
    <w:rsid w:val="00A04321"/>
    <w:rsid w:val="00A04399"/>
    <w:rsid w:val="00A043A6"/>
    <w:rsid w:val="00A04427"/>
    <w:rsid w:val="00A04712"/>
    <w:rsid w:val="00A0499C"/>
    <w:rsid w:val="00A04AEC"/>
    <w:rsid w:val="00A04B43"/>
    <w:rsid w:val="00A04CCB"/>
    <w:rsid w:val="00A04CFA"/>
    <w:rsid w:val="00A04D9F"/>
    <w:rsid w:val="00A05069"/>
    <w:rsid w:val="00A050D7"/>
    <w:rsid w:val="00A0534B"/>
    <w:rsid w:val="00A05586"/>
    <w:rsid w:val="00A057D7"/>
    <w:rsid w:val="00A05E5A"/>
    <w:rsid w:val="00A05EB9"/>
    <w:rsid w:val="00A06272"/>
    <w:rsid w:val="00A062EE"/>
    <w:rsid w:val="00A0638A"/>
    <w:rsid w:val="00A063EF"/>
    <w:rsid w:val="00A063FD"/>
    <w:rsid w:val="00A0688A"/>
    <w:rsid w:val="00A0697A"/>
    <w:rsid w:val="00A069D1"/>
    <w:rsid w:val="00A069F4"/>
    <w:rsid w:val="00A06E2E"/>
    <w:rsid w:val="00A070B7"/>
    <w:rsid w:val="00A074B7"/>
    <w:rsid w:val="00A076D6"/>
    <w:rsid w:val="00A07991"/>
    <w:rsid w:val="00A079A5"/>
    <w:rsid w:val="00A07A2B"/>
    <w:rsid w:val="00A07A93"/>
    <w:rsid w:val="00A07ACD"/>
    <w:rsid w:val="00A07B27"/>
    <w:rsid w:val="00A07BFF"/>
    <w:rsid w:val="00A07F1F"/>
    <w:rsid w:val="00A07F38"/>
    <w:rsid w:val="00A1008B"/>
    <w:rsid w:val="00A102FE"/>
    <w:rsid w:val="00A103BE"/>
    <w:rsid w:val="00A104CE"/>
    <w:rsid w:val="00A1052D"/>
    <w:rsid w:val="00A106AC"/>
    <w:rsid w:val="00A1074A"/>
    <w:rsid w:val="00A1092B"/>
    <w:rsid w:val="00A10CDE"/>
    <w:rsid w:val="00A11290"/>
    <w:rsid w:val="00A1135A"/>
    <w:rsid w:val="00A11375"/>
    <w:rsid w:val="00A1138C"/>
    <w:rsid w:val="00A11398"/>
    <w:rsid w:val="00A11545"/>
    <w:rsid w:val="00A11571"/>
    <w:rsid w:val="00A11A25"/>
    <w:rsid w:val="00A11B8B"/>
    <w:rsid w:val="00A11EAA"/>
    <w:rsid w:val="00A1261A"/>
    <w:rsid w:val="00A12688"/>
    <w:rsid w:val="00A12722"/>
    <w:rsid w:val="00A127AB"/>
    <w:rsid w:val="00A12B08"/>
    <w:rsid w:val="00A12D9C"/>
    <w:rsid w:val="00A12DB7"/>
    <w:rsid w:val="00A12DE8"/>
    <w:rsid w:val="00A12F1D"/>
    <w:rsid w:val="00A12FE0"/>
    <w:rsid w:val="00A13045"/>
    <w:rsid w:val="00A13215"/>
    <w:rsid w:val="00A13228"/>
    <w:rsid w:val="00A132B8"/>
    <w:rsid w:val="00A1370A"/>
    <w:rsid w:val="00A139FC"/>
    <w:rsid w:val="00A13A89"/>
    <w:rsid w:val="00A13E76"/>
    <w:rsid w:val="00A143E1"/>
    <w:rsid w:val="00A143F0"/>
    <w:rsid w:val="00A14491"/>
    <w:rsid w:val="00A14598"/>
    <w:rsid w:val="00A145E9"/>
    <w:rsid w:val="00A1460A"/>
    <w:rsid w:val="00A14748"/>
    <w:rsid w:val="00A14887"/>
    <w:rsid w:val="00A148D4"/>
    <w:rsid w:val="00A14AC9"/>
    <w:rsid w:val="00A14DE8"/>
    <w:rsid w:val="00A14ECF"/>
    <w:rsid w:val="00A150B9"/>
    <w:rsid w:val="00A150BE"/>
    <w:rsid w:val="00A152E5"/>
    <w:rsid w:val="00A15430"/>
    <w:rsid w:val="00A15636"/>
    <w:rsid w:val="00A15BD1"/>
    <w:rsid w:val="00A15BF2"/>
    <w:rsid w:val="00A15E23"/>
    <w:rsid w:val="00A15F04"/>
    <w:rsid w:val="00A15F6E"/>
    <w:rsid w:val="00A1602F"/>
    <w:rsid w:val="00A1605E"/>
    <w:rsid w:val="00A160A9"/>
    <w:rsid w:val="00A16123"/>
    <w:rsid w:val="00A1680D"/>
    <w:rsid w:val="00A168D9"/>
    <w:rsid w:val="00A16A0A"/>
    <w:rsid w:val="00A16A1C"/>
    <w:rsid w:val="00A16C4A"/>
    <w:rsid w:val="00A16CA1"/>
    <w:rsid w:val="00A16D2F"/>
    <w:rsid w:val="00A16E9F"/>
    <w:rsid w:val="00A16EA7"/>
    <w:rsid w:val="00A1716C"/>
    <w:rsid w:val="00A1716D"/>
    <w:rsid w:val="00A1749D"/>
    <w:rsid w:val="00A176FF"/>
    <w:rsid w:val="00A1773F"/>
    <w:rsid w:val="00A17CC1"/>
    <w:rsid w:val="00A17DFA"/>
    <w:rsid w:val="00A17EAA"/>
    <w:rsid w:val="00A17EF0"/>
    <w:rsid w:val="00A17FB8"/>
    <w:rsid w:val="00A200CB"/>
    <w:rsid w:val="00A201DE"/>
    <w:rsid w:val="00A20311"/>
    <w:rsid w:val="00A2034D"/>
    <w:rsid w:val="00A206C6"/>
    <w:rsid w:val="00A20770"/>
    <w:rsid w:val="00A209A3"/>
    <w:rsid w:val="00A20BFE"/>
    <w:rsid w:val="00A20C82"/>
    <w:rsid w:val="00A20DD3"/>
    <w:rsid w:val="00A20E23"/>
    <w:rsid w:val="00A20E2B"/>
    <w:rsid w:val="00A20FF9"/>
    <w:rsid w:val="00A21028"/>
    <w:rsid w:val="00A212CF"/>
    <w:rsid w:val="00A2133B"/>
    <w:rsid w:val="00A21411"/>
    <w:rsid w:val="00A2144A"/>
    <w:rsid w:val="00A2190F"/>
    <w:rsid w:val="00A21962"/>
    <w:rsid w:val="00A21B20"/>
    <w:rsid w:val="00A21D6F"/>
    <w:rsid w:val="00A21DA9"/>
    <w:rsid w:val="00A21DDD"/>
    <w:rsid w:val="00A21EDD"/>
    <w:rsid w:val="00A2202F"/>
    <w:rsid w:val="00A22037"/>
    <w:rsid w:val="00A222CC"/>
    <w:rsid w:val="00A222D4"/>
    <w:rsid w:val="00A22359"/>
    <w:rsid w:val="00A2241B"/>
    <w:rsid w:val="00A2264A"/>
    <w:rsid w:val="00A22778"/>
    <w:rsid w:val="00A229D4"/>
    <w:rsid w:val="00A22AF2"/>
    <w:rsid w:val="00A22B29"/>
    <w:rsid w:val="00A22BA1"/>
    <w:rsid w:val="00A22BC3"/>
    <w:rsid w:val="00A22D71"/>
    <w:rsid w:val="00A23012"/>
    <w:rsid w:val="00A23122"/>
    <w:rsid w:val="00A231F3"/>
    <w:rsid w:val="00A232D2"/>
    <w:rsid w:val="00A233A8"/>
    <w:rsid w:val="00A235CB"/>
    <w:rsid w:val="00A235CC"/>
    <w:rsid w:val="00A23718"/>
    <w:rsid w:val="00A23764"/>
    <w:rsid w:val="00A238F3"/>
    <w:rsid w:val="00A239C7"/>
    <w:rsid w:val="00A23AB0"/>
    <w:rsid w:val="00A23F41"/>
    <w:rsid w:val="00A241A2"/>
    <w:rsid w:val="00A2420A"/>
    <w:rsid w:val="00A242DD"/>
    <w:rsid w:val="00A243B4"/>
    <w:rsid w:val="00A24519"/>
    <w:rsid w:val="00A24600"/>
    <w:rsid w:val="00A248F3"/>
    <w:rsid w:val="00A2491F"/>
    <w:rsid w:val="00A24949"/>
    <w:rsid w:val="00A2495D"/>
    <w:rsid w:val="00A24994"/>
    <w:rsid w:val="00A24B1A"/>
    <w:rsid w:val="00A24D9A"/>
    <w:rsid w:val="00A2507A"/>
    <w:rsid w:val="00A2513A"/>
    <w:rsid w:val="00A25637"/>
    <w:rsid w:val="00A25AEF"/>
    <w:rsid w:val="00A25B8B"/>
    <w:rsid w:val="00A25D3B"/>
    <w:rsid w:val="00A25EE5"/>
    <w:rsid w:val="00A26248"/>
    <w:rsid w:val="00A266C5"/>
    <w:rsid w:val="00A26704"/>
    <w:rsid w:val="00A26B02"/>
    <w:rsid w:val="00A26B03"/>
    <w:rsid w:val="00A26C43"/>
    <w:rsid w:val="00A26D60"/>
    <w:rsid w:val="00A26E6C"/>
    <w:rsid w:val="00A26E70"/>
    <w:rsid w:val="00A2706D"/>
    <w:rsid w:val="00A27101"/>
    <w:rsid w:val="00A2712F"/>
    <w:rsid w:val="00A27303"/>
    <w:rsid w:val="00A27448"/>
    <w:rsid w:val="00A275CA"/>
    <w:rsid w:val="00A27788"/>
    <w:rsid w:val="00A278DB"/>
    <w:rsid w:val="00A279BC"/>
    <w:rsid w:val="00A27B55"/>
    <w:rsid w:val="00A27CF5"/>
    <w:rsid w:val="00A30032"/>
    <w:rsid w:val="00A3020D"/>
    <w:rsid w:val="00A30457"/>
    <w:rsid w:val="00A3052D"/>
    <w:rsid w:val="00A306BC"/>
    <w:rsid w:val="00A30892"/>
    <w:rsid w:val="00A308B2"/>
    <w:rsid w:val="00A309C6"/>
    <w:rsid w:val="00A30BC0"/>
    <w:rsid w:val="00A30C0E"/>
    <w:rsid w:val="00A30C55"/>
    <w:rsid w:val="00A30C5A"/>
    <w:rsid w:val="00A30DF8"/>
    <w:rsid w:val="00A30E45"/>
    <w:rsid w:val="00A30E91"/>
    <w:rsid w:val="00A30EA4"/>
    <w:rsid w:val="00A30F5D"/>
    <w:rsid w:val="00A30F98"/>
    <w:rsid w:val="00A3102A"/>
    <w:rsid w:val="00A3115A"/>
    <w:rsid w:val="00A311E8"/>
    <w:rsid w:val="00A312AD"/>
    <w:rsid w:val="00A313F8"/>
    <w:rsid w:val="00A31657"/>
    <w:rsid w:val="00A31734"/>
    <w:rsid w:val="00A31778"/>
    <w:rsid w:val="00A317A3"/>
    <w:rsid w:val="00A3187D"/>
    <w:rsid w:val="00A318E4"/>
    <w:rsid w:val="00A31A4F"/>
    <w:rsid w:val="00A31AA5"/>
    <w:rsid w:val="00A31C8F"/>
    <w:rsid w:val="00A31CB7"/>
    <w:rsid w:val="00A31DBD"/>
    <w:rsid w:val="00A31EA0"/>
    <w:rsid w:val="00A3227D"/>
    <w:rsid w:val="00A32388"/>
    <w:rsid w:val="00A32554"/>
    <w:rsid w:val="00A326F2"/>
    <w:rsid w:val="00A3277F"/>
    <w:rsid w:val="00A329C5"/>
    <w:rsid w:val="00A32A00"/>
    <w:rsid w:val="00A32A29"/>
    <w:rsid w:val="00A32AB2"/>
    <w:rsid w:val="00A32AFC"/>
    <w:rsid w:val="00A32D35"/>
    <w:rsid w:val="00A32D37"/>
    <w:rsid w:val="00A32E4E"/>
    <w:rsid w:val="00A33019"/>
    <w:rsid w:val="00A3301F"/>
    <w:rsid w:val="00A332CB"/>
    <w:rsid w:val="00A333F6"/>
    <w:rsid w:val="00A33490"/>
    <w:rsid w:val="00A336E7"/>
    <w:rsid w:val="00A3385C"/>
    <w:rsid w:val="00A33B24"/>
    <w:rsid w:val="00A33B5A"/>
    <w:rsid w:val="00A33B7D"/>
    <w:rsid w:val="00A33B81"/>
    <w:rsid w:val="00A33BAB"/>
    <w:rsid w:val="00A33BAE"/>
    <w:rsid w:val="00A33D01"/>
    <w:rsid w:val="00A33D3C"/>
    <w:rsid w:val="00A33E28"/>
    <w:rsid w:val="00A3430F"/>
    <w:rsid w:val="00A34417"/>
    <w:rsid w:val="00A3443F"/>
    <w:rsid w:val="00A34538"/>
    <w:rsid w:val="00A3453B"/>
    <w:rsid w:val="00A34759"/>
    <w:rsid w:val="00A3478D"/>
    <w:rsid w:val="00A347B2"/>
    <w:rsid w:val="00A347CC"/>
    <w:rsid w:val="00A34851"/>
    <w:rsid w:val="00A34882"/>
    <w:rsid w:val="00A349DD"/>
    <w:rsid w:val="00A34CB3"/>
    <w:rsid w:val="00A34D12"/>
    <w:rsid w:val="00A34DF9"/>
    <w:rsid w:val="00A35011"/>
    <w:rsid w:val="00A35232"/>
    <w:rsid w:val="00A3537A"/>
    <w:rsid w:val="00A354E8"/>
    <w:rsid w:val="00A3553E"/>
    <w:rsid w:val="00A35647"/>
    <w:rsid w:val="00A357C1"/>
    <w:rsid w:val="00A358C4"/>
    <w:rsid w:val="00A35A31"/>
    <w:rsid w:val="00A35ACA"/>
    <w:rsid w:val="00A35B65"/>
    <w:rsid w:val="00A35C2D"/>
    <w:rsid w:val="00A35DC2"/>
    <w:rsid w:val="00A35F88"/>
    <w:rsid w:val="00A360FF"/>
    <w:rsid w:val="00A3624E"/>
    <w:rsid w:val="00A36400"/>
    <w:rsid w:val="00A36453"/>
    <w:rsid w:val="00A3647F"/>
    <w:rsid w:val="00A36493"/>
    <w:rsid w:val="00A3655B"/>
    <w:rsid w:val="00A36649"/>
    <w:rsid w:val="00A36744"/>
    <w:rsid w:val="00A3679E"/>
    <w:rsid w:val="00A36842"/>
    <w:rsid w:val="00A3684F"/>
    <w:rsid w:val="00A369A4"/>
    <w:rsid w:val="00A36B76"/>
    <w:rsid w:val="00A36C43"/>
    <w:rsid w:val="00A36C9C"/>
    <w:rsid w:val="00A36EF5"/>
    <w:rsid w:val="00A36FCB"/>
    <w:rsid w:val="00A372A5"/>
    <w:rsid w:val="00A3737D"/>
    <w:rsid w:val="00A37574"/>
    <w:rsid w:val="00A37711"/>
    <w:rsid w:val="00A3771D"/>
    <w:rsid w:val="00A3778E"/>
    <w:rsid w:val="00A37AE9"/>
    <w:rsid w:val="00A37B53"/>
    <w:rsid w:val="00A37BB9"/>
    <w:rsid w:val="00A37F90"/>
    <w:rsid w:val="00A400E5"/>
    <w:rsid w:val="00A401CC"/>
    <w:rsid w:val="00A40325"/>
    <w:rsid w:val="00A405D9"/>
    <w:rsid w:val="00A40804"/>
    <w:rsid w:val="00A4089E"/>
    <w:rsid w:val="00A40973"/>
    <w:rsid w:val="00A40ABC"/>
    <w:rsid w:val="00A40DB1"/>
    <w:rsid w:val="00A40EC0"/>
    <w:rsid w:val="00A40FAC"/>
    <w:rsid w:val="00A40FE5"/>
    <w:rsid w:val="00A4103C"/>
    <w:rsid w:val="00A4109C"/>
    <w:rsid w:val="00A412F4"/>
    <w:rsid w:val="00A4132F"/>
    <w:rsid w:val="00A41408"/>
    <w:rsid w:val="00A41514"/>
    <w:rsid w:val="00A415E6"/>
    <w:rsid w:val="00A41686"/>
    <w:rsid w:val="00A416D0"/>
    <w:rsid w:val="00A41726"/>
    <w:rsid w:val="00A41919"/>
    <w:rsid w:val="00A41971"/>
    <w:rsid w:val="00A41B00"/>
    <w:rsid w:val="00A41D03"/>
    <w:rsid w:val="00A42026"/>
    <w:rsid w:val="00A4204A"/>
    <w:rsid w:val="00A4207A"/>
    <w:rsid w:val="00A4213F"/>
    <w:rsid w:val="00A42177"/>
    <w:rsid w:val="00A42183"/>
    <w:rsid w:val="00A422A6"/>
    <w:rsid w:val="00A42342"/>
    <w:rsid w:val="00A4246D"/>
    <w:rsid w:val="00A424DE"/>
    <w:rsid w:val="00A425D1"/>
    <w:rsid w:val="00A427D6"/>
    <w:rsid w:val="00A42838"/>
    <w:rsid w:val="00A42AF7"/>
    <w:rsid w:val="00A42BED"/>
    <w:rsid w:val="00A42C9F"/>
    <w:rsid w:val="00A42CC8"/>
    <w:rsid w:val="00A42D04"/>
    <w:rsid w:val="00A42D88"/>
    <w:rsid w:val="00A42EFE"/>
    <w:rsid w:val="00A4327B"/>
    <w:rsid w:val="00A43374"/>
    <w:rsid w:val="00A43451"/>
    <w:rsid w:val="00A437CB"/>
    <w:rsid w:val="00A43819"/>
    <w:rsid w:val="00A438D8"/>
    <w:rsid w:val="00A438E8"/>
    <w:rsid w:val="00A43E70"/>
    <w:rsid w:val="00A43EF4"/>
    <w:rsid w:val="00A44066"/>
    <w:rsid w:val="00A445E5"/>
    <w:rsid w:val="00A44625"/>
    <w:rsid w:val="00A4487E"/>
    <w:rsid w:val="00A44C01"/>
    <w:rsid w:val="00A44C91"/>
    <w:rsid w:val="00A44D47"/>
    <w:rsid w:val="00A44EA7"/>
    <w:rsid w:val="00A44EC2"/>
    <w:rsid w:val="00A44EFE"/>
    <w:rsid w:val="00A44FB6"/>
    <w:rsid w:val="00A451A0"/>
    <w:rsid w:val="00A452A1"/>
    <w:rsid w:val="00A4542B"/>
    <w:rsid w:val="00A45444"/>
    <w:rsid w:val="00A45A32"/>
    <w:rsid w:val="00A45AF7"/>
    <w:rsid w:val="00A45D10"/>
    <w:rsid w:val="00A45D1B"/>
    <w:rsid w:val="00A45FF3"/>
    <w:rsid w:val="00A46332"/>
    <w:rsid w:val="00A46380"/>
    <w:rsid w:val="00A46423"/>
    <w:rsid w:val="00A464C8"/>
    <w:rsid w:val="00A466A1"/>
    <w:rsid w:val="00A468D6"/>
    <w:rsid w:val="00A46989"/>
    <w:rsid w:val="00A469FE"/>
    <w:rsid w:val="00A46AAA"/>
    <w:rsid w:val="00A46B01"/>
    <w:rsid w:val="00A46B34"/>
    <w:rsid w:val="00A46C09"/>
    <w:rsid w:val="00A46E6F"/>
    <w:rsid w:val="00A4703F"/>
    <w:rsid w:val="00A47118"/>
    <w:rsid w:val="00A4725B"/>
    <w:rsid w:val="00A47281"/>
    <w:rsid w:val="00A4765F"/>
    <w:rsid w:val="00A47674"/>
    <w:rsid w:val="00A4784E"/>
    <w:rsid w:val="00A47868"/>
    <w:rsid w:val="00A47972"/>
    <w:rsid w:val="00A47B26"/>
    <w:rsid w:val="00A47D63"/>
    <w:rsid w:val="00A47E61"/>
    <w:rsid w:val="00A47E82"/>
    <w:rsid w:val="00A47ECE"/>
    <w:rsid w:val="00A47EEE"/>
    <w:rsid w:val="00A50328"/>
    <w:rsid w:val="00A504C0"/>
    <w:rsid w:val="00A50536"/>
    <w:rsid w:val="00A505DE"/>
    <w:rsid w:val="00A5075C"/>
    <w:rsid w:val="00A508AE"/>
    <w:rsid w:val="00A50BDE"/>
    <w:rsid w:val="00A50BEB"/>
    <w:rsid w:val="00A50CDF"/>
    <w:rsid w:val="00A50D28"/>
    <w:rsid w:val="00A50D3F"/>
    <w:rsid w:val="00A50D6F"/>
    <w:rsid w:val="00A50D81"/>
    <w:rsid w:val="00A50D97"/>
    <w:rsid w:val="00A50DBB"/>
    <w:rsid w:val="00A50F85"/>
    <w:rsid w:val="00A50FC3"/>
    <w:rsid w:val="00A5102B"/>
    <w:rsid w:val="00A5112E"/>
    <w:rsid w:val="00A51164"/>
    <w:rsid w:val="00A511B7"/>
    <w:rsid w:val="00A51261"/>
    <w:rsid w:val="00A512DD"/>
    <w:rsid w:val="00A51501"/>
    <w:rsid w:val="00A51818"/>
    <w:rsid w:val="00A51839"/>
    <w:rsid w:val="00A51A29"/>
    <w:rsid w:val="00A51A3F"/>
    <w:rsid w:val="00A51DEE"/>
    <w:rsid w:val="00A51FF0"/>
    <w:rsid w:val="00A52259"/>
    <w:rsid w:val="00A523E8"/>
    <w:rsid w:val="00A5242E"/>
    <w:rsid w:val="00A5243B"/>
    <w:rsid w:val="00A525F4"/>
    <w:rsid w:val="00A52857"/>
    <w:rsid w:val="00A529E8"/>
    <w:rsid w:val="00A52B02"/>
    <w:rsid w:val="00A52C86"/>
    <w:rsid w:val="00A52EC8"/>
    <w:rsid w:val="00A52F26"/>
    <w:rsid w:val="00A52F6C"/>
    <w:rsid w:val="00A5310A"/>
    <w:rsid w:val="00A5314F"/>
    <w:rsid w:val="00A531BB"/>
    <w:rsid w:val="00A5327C"/>
    <w:rsid w:val="00A534C2"/>
    <w:rsid w:val="00A53615"/>
    <w:rsid w:val="00A53A7F"/>
    <w:rsid w:val="00A53AE7"/>
    <w:rsid w:val="00A53C9B"/>
    <w:rsid w:val="00A53E00"/>
    <w:rsid w:val="00A53F2E"/>
    <w:rsid w:val="00A53F6A"/>
    <w:rsid w:val="00A53FE1"/>
    <w:rsid w:val="00A54056"/>
    <w:rsid w:val="00A5418A"/>
    <w:rsid w:val="00A541BF"/>
    <w:rsid w:val="00A542A5"/>
    <w:rsid w:val="00A54439"/>
    <w:rsid w:val="00A544F2"/>
    <w:rsid w:val="00A54560"/>
    <w:rsid w:val="00A54563"/>
    <w:rsid w:val="00A54881"/>
    <w:rsid w:val="00A5491C"/>
    <w:rsid w:val="00A549DA"/>
    <w:rsid w:val="00A54B66"/>
    <w:rsid w:val="00A54BA0"/>
    <w:rsid w:val="00A54E72"/>
    <w:rsid w:val="00A55039"/>
    <w:rsid w:val="00A55064"/>
    <w:rsid w:val="00A550D2"/>
    <w:rsid w:val="00A5511E"/>
    <w:rsid w:val="00A55690"/>
    <w:rsid w:val="00A556A1"/>
    <w:rsid w:val="00A557BB"/>
    <w:rsid w:val="00A558F9"/>
    <w:rsid w:val="00A55A39"/>
    <w:rsid w:val="00A55B2C"/>
    <w:rsid w:val="00A55BC8"/>
    <w:rsid w:val="00A55D23"/>
    <w:rsid w:val="00A55D26"/>
    <w:rsid w:val="00A55D8F"/>
    <w:rsid w:val="00A55DBA"/>
    <w:rsid w:val="00A55E6A"/>
    <w:rsid w:val="00A560D4"/>
    <w:rsid w:val="00A563C2"/>
    <w:rsid w:val="00A567E6"/>
    <w:rsid w:val="00A5687F"/>
    <w:rsid w:val="00A56AAF"/>
    <w:rsid w:val="00A56AC3"/>
    <w:rsid w:val="00A56AC9"/>
    <w:rsid w:val="00A56C71"/>
    <w:rsid w:val="00A56C9D"/>
    <w:rsid w:val="00A56D2A"/>
    <w:rsid w:val="00A56D5D"/>
    <w:rsid w:val="00A5721C"/>
    <w:rsid w:val="00A572FD"/>
    <w:rsid w:val="00A57434"/>
    <w:rsid w:val="00A574FA"/>
    <w:rsid w:val="00A57592"/>
    <w:rsid w:val="00A576E1"/>
    <w:rsid w:val="00A5782D"/>
    <w:rsid w:val="00A57D48"/>
    <w:rsid w:val="00A57EB4"/>
    <w:rsid w:val="00A57F95"/>
    <w:rsid w:val="00A57FFA"/>
    <w:rsid w:val="00A603C6"/>
    <w:rsid w:val="00A603FC"/>
    <w:rsid w:val="00A60468"/>
    <w:rsid w:val="00A60563"/>
    <w:rsid w:val="00A607D8"/>
    <w:rsid w:val="00A60875"/>
    <w:rsid w:val="00A608E7"/>
    <w:rsid w:val="00A60901"/>
    <w:rsid w:val="00A60A26"/>
    <w:rsid w:val="00A60BB9"/>
    <w:rsid w:val="00A60CF4"/>
    <w:rsid w:val="00A611D9"/>
    <w:rsid w:val="00A61239"/>
    <w:rsid w:val="00A61446"/>
    <w:rsid w:val="00A6146C"/>
    <w:rsid w:val="00A614EB"/>
    <w:rsid w:val="00A614EC"/>
    <w:rsid w:val="00A6156D"/>
    <w:rsid w:val="00A61619"/>
    <w:rsid w:val="00A6165A"/>
    <w:rsid w:val="00A61705"/>
    <w:rsid w:val="00A61708"/>
    <w:rsid w:val="00A6199A"/>
    <w:rsid w:val="00A61D28"/>
    <w:rsid w:val="00A61E6C"/>
    <w:rsid w:val="00A61F47"/>
    <w:rsid w:val="00A61F48"/>
    <w:rsid w:val="00A62293"/>
    <w:rsid w:val="00A62781"/>
    <w:rsid w:val="00A62A5A"/>
    <w:rsid w:val="00A62B04"/>
    <w:rsid w:val="00A62D5D"/>
    <w:rsid w:val="00A62F7B"/>
    <w:rsid w:val="00A62FC9"/>
    <w:rsid w:val="00A63006"/>
    <w:rsid w:val="00A6304E"/>
    <w:rsid w:val="00A630E9"/>
    <w:rsid w:val="00A631C6"/>
    <w:rsid w:val="00A632BF"/>
    <w:rsid w:val="00A63410"/>
    <w:rsid w:val="00A63549"/>
    <w:rsid w:val="00A63B58"/>
    <w:rsid w:val="00A63D22"/>
    <w:rsid w:val="00A63F85"/>
    <w:rsid w:val="00A640AF"/>
    <w:rsid w:val="00A643E5"/>
    <w:rsid w:val="00A645CF"/>
    <w:rsid w:val="00A64636"/>
    <w:rsid w:val="00A64682"/>
    <w:rsid w:val="00A64769"/>
    <w:rsid w:val="00A64B32"/>
    <w:rsid w:val="00A64F06"/>
    <w:rsid w:val="00A6503B"/>
    <w:rsid w:val="00A650D5"/>
    <w:rsid w:val="00A65106"/>
    <w:rsid w:val="00A651E8"/>
    <w:rsid w:val="00A65493"/>
    <w:rsid w:val="00A654E7"/>
    <w:rsid w:val="00A655E5"/>
    <w:rsid w:val="00A65612"/>
    <w:rsid w:val="00A65716"/>
    <w:rsid w:val="00A6591E"/>
    <w:rsid w:val="00A65AF9"/>
    <w:rsid w:val="00A65C29"/>
    <w:rsid w:val="00A65C97"/>
    <w:rsid w:val="00A65DAD"/>
    <w:rsid w:val="00A65E23"/>
    <w:rsid w:val="00A65F13"/>
    <w:rsid w:val="00A6604E"/>
    <w:rsid w:val="00A6608F"/>
    <w:rsid w:val="00A661CC"/>
    <w:rsid w:val="00A66234"/>
    <w:rsid w:val="00A6633A"/>
    <w:rsid w:val="00A663F2"/>
    <w:rsid w:val="00A66407"/>
    <w:rsid w:val="00A664A5"/>
    <w:rsid w:val="00A66776"/>
    <w:rsid w:val="00A668D6"/>
    <w:rsid w:val="00A669AF"/>
    <w:rsid w:val="00A669C8"/>
    <w:rsid w:val="00A669FC"/>
    <w:rsid w:val="00A66A07"/>
    <w:rsid w:val="00A66A5F"/>
    <w:rsid w:val="00A66C65"/>
    <w:rsid w:val="00A66D34"/>
    <w:rsid w:val="00A66DE4"/>
    <w:rsid w:val="00A66E69"/>
    <w:rsid w:val="00A67080"/>
    <w:rsid w:val="00A670D3"/>
    <w:rsid w:val="00A6711F"/>
    <w:rsid w:val="00A67215"/>
    <w:rsid w:val="00A67396"/>
    <w:rsid w:val="00A673C1"/>
    <w:rsid w:val="00A673ED"/>
    <w:rsid w:val="00A67550"/>
    <w:rsid w:val="00A676A8"/>
    <w:rsid w:val="00A6781A"/>
    <w:rsid w:val="00A67913"/>
    <w:rsid w:val="00A67969"/>
    <w:rsid w:val="00A67A73"/>
    <w:rsid w:val="00A67B22"/>
    <w:rsid w:val="00A67D87"/>
    <w:rsid w:val="00A67DAB"/>
    <w:rsid w:val="00A67E5F"/>
    <w:rsid w:val="00A70569"/>
    <w:rsid w:val="00A70AEF"/>
    <w:rsid w:val="00A70C05"/>
    <w:rsid w:val="00A70D18"/>
    <w:rsid w:val="00A70F41"/>
    <w:rsid w:val="00A7113E"/>
    <w:rsid w:val="00A714FB"/>
    <w:rsid w:val="00A716BA"/>
    <w:rsid w:val="00A71869"/>
    <w:rsid w:val="00A7186E"/>
    <w:rsid w:val="00A71A6C"/>
    <w:rsid w:val="00A71D19"/>
    <w:rsid w:val="00A71EAA"/>
    <w:rsid w:val="00A722A2"/>
    <w:rsid w:val="00A722FF"/>
    <w:rsid w:val="00A72387"/>
    <w:rsid w:val="00A72432"/>
    <w:rsid w:val="00A7249B"/>
    <w:rsid w:val="00A72585"/>
    <w:rsid w:val="00A725EE"/>
    <w:rsid w:val="00A7286F"/>
    <w:rsid w:val="00A72AAE"/>
    <w:rsid w:val="00A72CCC"/>
    <w:rsid w:val="00A72DD6"/>
    <w:rsid w:val="00A731A4"/>
    <w:rsid w:val="00A733D3"/>
    <w:rsid w:val="00A7340A"/>
    <w:rsid w:val="00A734F3"/>
    <w:rsid w:val="00A736BC"/>
    <w:rsid w:val="00A73704"/>
    <w:rsid w:val="00A737FF"/>
    <w:rsid w:val="00A7391E"/>
    <w:rsid w:val="00A73E86"/>
    <w:rsid w:val="00A7401F"/>
    <w:rsid w:val="00A74024"/>
    <w:rsid w:val="00A74064"/>
    <w:rsid w:val="00A74260"/>
    <w:rsid w:val="00A743F8"/>
    <w:rsid w:val="00A74599"/>
    <w:rsid w:val="00A746C8"/>
    <w:rsid w:val="00A7483E"/>
    <w:rsid w:val="00A748F0"/>
    <w:rsid w:val="00A74934"/>
    <w:rsid w:val="00A74B9B"/>
    <w:rsid w:val="00A74F50"/>
    <w:rsid w:val="00A750E6"/>
    <w:rsid w:val="00A750EE"/>
    <w:rsid w:val="00A7524F"/>
    <w:rsid w:val="00A752B3"/>
    <w:rsid w:val="00A754DE"/>
    <w:rsid w:val="00A756A1"/>
    <w:rsid w:val="00A75892"/>
    <w:rsid w:val="00A759D5"/>
    <w:rsid w:val="00A75A1F"/>
    <w:rsid w:val="00A75AFC"/>
    <w:rsid w:val="00A75E20"/>
    <w:rsid w:val="00A760AD"/>
    <w:rsid w:val="00A7614D"/>
    <w:rsid w:val="00A761BC"/>
    <w:rsid w:val="00A764E2"/>
    <w:rsid w:val="00A7661A"/>
    <w:rsid w:val="00A766E4"/>
    <w:rsid w:val="00A766FF"/>
    <w:rsid w:val="00A768CB"/>
    <w:rsid w:val="00A76979"/>
    <w:rsid w:val="00A769C8"/>
    <w:rsid w:val="00A76A03"/>
    <w:rsid w:val="00A76A67"/>
    <w:rsid w:val="00A76BFF"/>
    <w:rsid w:val="00A76CC0"/>
    <w:rsid w:val="00A76F78"/>
    <w:rsid w:val="00A77049"/>
    <w:rsid w:val="00A771AF"/>
    <w:rsid w:val="00A7758D"/>
    <w:rsid w:val="00A7788E"/>
    <w:rsid w:val="00A77AEA"/>
    <w:rsid w:val="00A77B83"/>
    <w:rsid w:val="00A77C21"/>
    <w:rsid w:val="00A77C3F"/>
    <w:rsid w:val="00A77D6D"/>
    <w:rsid w:val="00A77EFD"/>
    <w:rsid w:val="00A77F15"/>
    <w:rsid w:val="00A8004E"/>
    <w:rsid w:val="00A8014C"/>
    <w:rsid w:val="00A8066E"/>
    <w:rsid w:val="00A80719"/>
    <w:rsid w:val="00A808DB"/>
    <w:rsid w:val="00A80A31"/>
    <w:rsid w:val="00A80AE1"/>
    <w:rsid w:val="00A80B2C"/>
    <w:rsid w:val="00A80B3C"/>
    <w:rsid w:val="00A80B7D"/>
    <w:rsid w:val="00A80BDB"/>
    <w:rsid w:val="00A80C08"/>
    <w:rsid w:val="00A80E71"/>
    <w:rsid w:val="00A80FB8"/>
    <w:rsid w:val="00A80FF2"/>
    <w:rsid w:val="00A81252"/>
    <w:rsid w:val="00A813E6"/>
    <w:rsid w:val="00A81418"/>
    <w:rsid w:val="00A814F9"/>
    <w:rsid w:val="00A817FE"/>
    <w:rsid w:val="00A81814"/>
    <w:rsid w:val="00A81A94"/>
    <w:rsid w:val="00A81C90"/>
    <w:rsid w:val="00A81D28"/>
    <w:rsid w:val="00A81D45"/>
    <w:rsid w:val="00A81EED"/>
    <w:rsid w:val="00A82029"/>
    <w:rsid w:val="00A82108"/>
    <w:rsid w:val="00A821EA"/>
    <w:rsid w:val="00A8223B"/>
    <w:rsid w:val="00A82326"/>
    <w:rsid w:val="00A823B1"/>
    <w:rsid w:val="00A82534"/>
    <w:rsid w:val="00A826C2"/>
    <w:rsid w:val="00A82948"/>
    <w:rsid w:val="00A82BA1"/>
    <w:rsid w:val="00A82C5B"/>
    <w:rsid w:val="00A82E22"/>
    <w:rsid w:val="00A82FB6"/>
    <w:rsid w:val="00A83117"/>
    <w:rsid w:val="00A831B2"/>
    <w:rsid w:val="00A8329D"/>
    <w:rsid w:val="00A8364E"/>
    <w:rsid w:val="00A837C5"/>
    <w:rsid w:val="00A839C0"/>
    <w:rsid w:val="00A83ACF"/>
    <w:rsid w:val="00A83CBD"/>
    <w:rsid w:val="00A83D93"/>
    <w:rsid w:val="00A83DED"/>
    <w:rsid w:val="00A84164"/>
    <w:rsid w:val="00A842E1"/>
    <w:rsid w:val="00A843C4"/>
    <w:rsid w:val="00A84463"/>
    <w:rsid w:val="00A845F6"/>
    <w:rsid w:val="00A8489F"/>
    <w:rsid w:val="00A84B90"/>
    <w:rsid w:val="00A84CC0"/>
    <w:rsid w:val="00A84D50"/>
    <w:rsid w:val="00A84E12"/>
    <w:rsid w:val="00A850C0"/>
    <w:rsid w:val="00A85346"/>
    <w:rsid w:val="00A85498"/>
    <w:rsid w:val="00A854DB"/>
    <w:rsid w:val="00A855BC"/>
    <w:rsid w:val="00A85810"/>
    <w:rsid w:val="00A85963"/>
    <w:rsid w:val="00A85968"/>
    <w:rsid w:val="00A85975"/>
    <w:rsid w:val="00A85A0D"/>
    <w:rsid w:val="00A85A81"/>
    <w:rsid w:val="00A85C38"/>
    <w:rsid w:val="00A85C4B"/>
    <w:rsid w:val="00A85D0F"/>
    <w:rsid w:val="00A85EDA"/>
    <w:rsid w:val="00A86039"/>
    <w:rsid w:val="00A860BF"/>
    <w:rsid w:val="00A860F3"/>
    <w:rsid w:val="00A864CF"/>
    <w:rsid w:val="00A86506"/>
    <w:rsid w:val="00A86684"/>
    <w:rsid w:val="00A86806"/>
    <w:rsid w:val="00A86919"/>
    <w:rsid w:val="00A86C7B"/>
    <w:rsid w:val="00A86C9E"/>
    <w:rsid w:val="00A86E2E"/>
    <w:rsid w:val="00A86F7E"/>
    <w:rsid w:val="00A872C8"/>
    <w:rsid w:val="00A87332"/>
    <w:rsid w:val="00A876D4"/>
    <w:rsid w:val="00A87809"/>
    <w:rsid w:val="00A878B9"/>
    <w:rsid w:val="00A87BB1"/>
    <w:rsid w:val="00A87BE8"/>
    <w:rsid w:val="00A87DD8"/>
    <w:rsid w:val="00A87F39"/>
    <w:rsid w:val="00A87FF6"/>
    <w:rsid w:val="00A90040"/>
    <w:rsid w:val="00A901A5"/>
    <w:rsid w:val="00A903F0"/>
    <w:rsid w:val="00A90442"/>
    <w:rsid w:val="00A90503"/>
    <w:rsid w:val="00A9053C"/>
    <w:rsid w:val="00A906AD"/>
    <w:rsid w:val="00A90A77"/>
    <w:rsid w:val="00A90AE8"/>
    <w:rsid w:val="00A90B83"/>
    <w:rsid w:val="00A90BA7"/>
    <w:rsid w:val="00A9108B"/>
    <w:rsid w:val="00A9116B"/>
    <w:rsid w:val="00A91171"/>
    <w:rsid w:val="00A9119A"/>
    <w:rsid w:val="00A911F3"/>
    <w:rsid w:val="00A911F7"/>
    <w:rsid w:val="00A91367"/>
    <w:rsid w:val="00A9159E"/>
    <w:rsid w:val="00A917EC"/>
    <w:rsid w:val="00A917F7"/>
    <w:rsid w:val="00A91C64"/>
    <w:rsid w:val="00A92037"/>
    <w:rsid w:val="00A921B6"/>
    <w:rsid w:val="00A9221F"/>
    <w:rsid w:val="00A92545"/>
    <w:rsid w:val="00A92736"/>
    <w:rsid w:val="00A927C2"/>
    <w:rsid w:val="00A9289F"/>
    <w:rsid w:val="00A92977"/>
    <w:rsid w:val="00A929EA"/>
    <w:rsid w:val="00A92A30"/>
    <w:rsid w:val="00A92A7D"/>
    <w:rsid w:val="00A93001"/>
    <w:rsid w:val="00A93030"/>
    <w:rsid w:val="00A93036"/>
    <w:rsid w:val="00A930D5"/>
    <w:rsid w:val="00A93184"/>
    <w:rsid w:val="00A9339E"/>
    <w:rsid w:val="00A93454"/>
    <w:rsid w:val="00A93596"/>
    <w:rsid w:val="00A93636"/>
    <w:rsid w:val="00A93749"/>
    <w:rsid w:val="00A9396C"/>
    <w:rsid w:val="00A939EB"/>
    <w:rsid w:val="00A93B5A"/>
    <w:rsid w:val="00A93BCC"/>
    <w:rsid w:val="00A93DAA"/>
    <w:rsid w:val="00A93E3B"/>
    <w:rsid w:val="00A93F07"/>
    <w:rsid w:val="00A93F38"/>
    <w:rsid w:val="00A94194"/>
    <w:rsid w:val="00A941A1"/>
    <w:rsid w:val="00A9433D"/>
    <w:rsid w:val="00A94492"/>
    <w:rsid w:val="00A9453E"/>
    <w:rsid w:val="00A945FB"/>
    <w:rsid w:val="00A946EC"/>
    <w:rsid w:val="00A949AE"/>
    <w:rsid w:val="00A94C15"/>
    <w:rsid w:val="00A94C27"/>
    <w:rsid w:val="00A94CD3"/>
    <w:rsid w:val="00A94CE6"/>
    <w:rsid w:val="00A94E68"/>
    <w:rsid w:val="00A94F3E"/>
    <w:rsid w:val="00A9501B"/>
    <w:rsid w:val="00A950DB"/>
    <w:rsid w:val="00A951CD"/>
    <w:rsid w:val="00A9522D"/>
    <w:rsid w:val="00A95267"/>
    <w:rsid w:val="00A9526D"/>
    <w:rsid w:val="00A95300"/>
    <w:rsid w:val="00A956B1"/>
    <w:rsid w:val="00A957AF"/>
    <w:rsid w:val="00A95932"/>
    <w:rsid w:val="00A959F3"/>
    <w:rsid w:val="00A95A19"/>
    <w:rsid w:val="00A95C7E"/>
    <w:rsid w:val="00A95D13"/>
    <w:rsid w:val="00A95DE1"/>
    <w:rsid w:val="00A95DED"/>
    <w:rsid w:val="00A95EBC"/>
    <w:rsid w:val="00A96155"/>
    <w:rsid w:val="00A9618D"/>
    <w:rsid w:val="00A961DE"/>
    <w:rsid w:val="00A96289"/>
    <w:rsid w:val="00A962F1"/>
    <w:rsid w:val="00A9649F"/>
    <w:rsid w:val="00A9663C"/>
    <w:rsid w:val="00A9681E"/>
    <w:rsid w:val="00A969E1"/>
    <w:rsid w:val="00A96A38"/>
    <w:rsid w:val="00A96CDB"/>
    <w:rsid w:val="00A96E4B"/>
    <w:rsid w:val="00A96F09"/>
    <w:rsid w:val="00A97093"/>
    <w:rsid w:val="00A971F3"/>
    <w:rsid w:val="00A971FA"/>
    <w:rsid w:val="00A97670"/>
    <w:rsid w:val="00A97907"/>
    <w:rsid w:val="00A97948"/>
    <w:rsid w:val="00A97B08"/>
    <w:rsid w:val="00A97B74"/>
    <w:rsid w:val="00A97B82"/>
    <w:rsid w:val="00A97D18"/>
    <w:rsid w:val="00A97E96"/>
    <w:rsid w:val="00A97EB2"/>
    <w:rsid w:val="00A97F13"/>
    <w:rsid w:val="00AA007A"/>
    <w:rsid w:val="00AA01DB"/>
    <w:rsid w:val="00AA0235"/>
    <w:rsid w:val="00AA02FE"/>
    <w:rsid w:val="00AA0700"/>
    <w:rsid w:val="00AA0B11"/>
    <w:rsid w:val="00AA0BF2"/>
    <w:rsid w:val="00AA0D6A"/>
    <w:rsid w:val="00AA0E2A"/>
    <w:rsid w:val="00AA0E8A"/>
    <w:rsid w:val="00AA0F21"/>
    <w:rsid w:val="00AA11C1"/>
    <w:rsid w:val="00AA1253"/>
    <w:rsid w:val="00AA12B3"/>
    <w:rsid w:val="00AA12C5"/>
    <w:rsid w:val="00AA12D0"/>
    <w:rsid w:val="00AA15D1"/>
    <w:rsid w:val="00AA16B2"/>
    <w:rsid w:val="00AA16D3"/>
    <w:rsid w:val="00AA1C89"/>
    <w:rsid w:val="00AA1D50"/>
    <w:rsid w:val="00AA1E89"/>
    <w:rsid w:val="00AA1EDE"/>
    <w:rsid w:val="00AA2036"/>
    <w:rsid w:val="00AA234F"/>
    <w:rsid w:val="00AA23C8"/>
    <w:rsid w:val="00AA2529"/>
    <w:rsid w:val="00AA255D"/>
    <w:rsid w:val="00AA274B"/>
    <w:rsid w:val="00AA2C21"/>
    <w:rsid w:val="00AA353F"/>
    <w:rsid w:val="00AA35B4"/>
    <w:rsid w:val="00AA3603"/>
    <w:rsid w:val="00AA384A"/>
    <w:rsid w:val="00AA3856"/>
    <w:rsid w:val="00AA3B10"/>
    <w:rsid w:val="00AA3B49"/>
    <w:rsid w:val="00AA3B57"/>
    <w:rsid w:val="00AA3BEA"/>
    <w:rsid w:val="00AA3D53"/>
    <w:rsid w:val="00AA4135"/>
    <w:rsid w:val="00AA4187"/>
    <w:rsid w:val="00AA43E8"/>
    <w:rsid w:val="00AA44D1"/>
    <w:rsid w:val="00AA46F0"/>
    <w:rsid w:val="00AA4DB7"/>
    <w:rsid w:val="00AA4DD2"/>
    <w:rsid w:val="00AA4E64"/>
    <w:rsid w:val="00AA5019"/>
    <w:rsid w:val="00AA5069"/>
    <w:rsid w:val="00AA5256"/>
    <w:rsid w:val="00AA5443"/>
    <w:rsid w:val="00AA58D3"/>
    <w:rsid w:val="00AA5CF6"/>
    <w:rsid w:val="00AA5DAC"/>
    <w:rsid w:val="00AA5F1A"/>
    <w:rsid w:val="00AA6020"/>
    <w:rsid w:val="00AA603A"/>
    <w:rsid w:val="00AA607B"/>
    <w:rsid w:val="00AA6586"/>
    <w:rsid w:val="00AA66E6"/>
    <w:rsid w:val="00AA6712"/>
    <w:rsid w:val="00AA685A"/>
    <w:rsid w:val="00AA6C3C"/>
    <w:rsid w:val="00AA6D74"/>
    <w:rsid w:val="00AA6DED"/>
    <w:rsid w:val="00AA6E74"/>
    <w:rsid w:val="00AA6EB9"/>
    <w:rsid w:val="00AA7167"/>
    <w:rsid w:val="00AA71BB"/>
    <w:rsid w:val="00AA71C6"/>
    <w:rsid w:val="00AA7225"/>
    <w:rsid w:val="00AA726D"/>
    <w:rsid w:val="00AA73C3"/>
    <w:rsid w:val="00AA756E"/>
    <w:rsid w:val="00AA75F7"/>
    <w:rsid w:val="00AA76F1"/>
    <w:rsid w:val="00AA7713"/>
    <w:rsid w:val="00AA7749"/>
    <w:rsid w:val="00AA7854"/>
    <w:rsid w:val="00AA78B4"/>
    <w:rsid w:val="00AA7A4A"/>
    <w:rsid w:val="00AA7DB5"/>
    <w:rsid w:val="00AA7DEE"/>
    <w:rsid w:val="00AA7E3A"/>
    <w:rsid w:val="00AB0083"/>
    <w:rsid w:val="00AB021A"/>
    <w:rsid w:val="00AB03E5"/>
    <w:rsid w:val="00AB044A"/>
    <w:rsid w:val="00AB067C"/>
    <w:rsid w:val="00AB0710"/>
    <w:rsid w:val="00AB073E"/>
    <w:rsid w:val="00AB0842"/>
    <w:rsid w:val="00AB0883"/>
    <w:rsid w:val="00AB0950"/>
    <w:rsid w:val="00AB0989"/>
    <w:rsid w:val="00AB09CA"/>
    <w:rsid w:val="00AB0A25"/>
    <w:rsid w:val="00AB0AAB"/>
    <w:rsid w:val="00AB0C05"/>
    <w:rsid w:val="00AB10A9"/>
    <w:rsid w:val="00AB11CC"/>
    <w:rsid w:val="00AB138E"/>
    <w:rsid w:val="00AB13AF"/>
    <w:rsid w:val="00AB14AE"/>
    <w:rsid w:val="00AB14D7"/>
    <w:rsid w:val="00AB164D"/>
    <w:rsid w:val="00AB16B0"/>
    <w:rsid w:val="00AB18F1"/>
    <w:rsid w:val="00AB19C7"/>
    <w:rsid w:val="00AB1A13"/>
    <w:rsid w:val="00AB1B6E"/>
    <w:rsid w:val="00AB1D28"/>
    <w:rsid w:val="00AB1D66"/>
    <w:rsid w:val="00AB1DE8"/>
    <w:rsid w:val="00AB211D"/>
    <w:rsid w:val="00AB2129"/>
    <w:rsid w:val="00AB240C"/>
    <w:rsid w:val="00AB24C5"/>
    <w:rsid w:val="00AB25BF"/>
    <w:rsid w:val="00AB26C5"/>
    <w:rsid w:val="00AB28BA"/>
    <w:rsid w:val="00AB2941"/>
    <w:rsid w:val="00AB2985"/>
    <w:rsid w:val="00AB29E8"/>
    <w:rsid w:val="00AB2AFE"/>
    <w:rsid w:val="00AB2C61"/>
    <w:rsid w:val="00AB2C7D"/>
    <w:rsid w:val="00AB2D65"/>
    <w:rsid w:val="00AB2E87"/>
    <w:rsid w:val="00AB2F03"/>
    <w:rsid w:val="00AB2F31"/>
    <w:rsid w:val="00AB314D"/>
    <w:rsid w:val="00AB3173"/>
    <w:rsid w:val="00AB31BC"/>
    <w:rsid w:val="00AB370D"/>
    <w:rsid w:val="00AB39D4"/>
    <w:rsid w:val="00AB3C6E"/>
    <w:rsid w:val="00AB3D7C"/>
    <w:rsid w:val="00AB3E40"/>
    <w:rsid w:val="00AB3EB6"/>
    <w:rsid w:val="00AB3EDB"/>
    <w:rsid w:val="00AB3FBA"/>
    <w:rsid w:val="00AB410D"/>
    <w:rsid w:val="00AB424B"/>
    <w:rsid w:val="00AB431E"/>
    <w:rsid w:val="00AB4567"/>
    <w:rsid w:val="00AB476D"/>
    <w:rsid w:val="00AB47DC"/>
    <w:rsid w:val="00AB48C8"/>
    <w:rsid w:val="00AB49F9"/>
    <w:rsid w:val="00AB4A82"/>
    <w:rsid w:val="00AB4B06"/>
    <w:rsid w:val="00AB4E79"/>
    <w:rsid w:val="00AB4E9F"/>
    <w:rsid w:val="00AB506E"/>
    <w:rsid w:val="00AB51BD"/>
    <w:rsid w:val="00AB523A"/>
    <w:rsid w:val="00AB546F"/>
    <w:rsid w:val="00AB5493"/>
    <w:rsid w:val="00AB54D6"/>
    <w:rsid w:val="00AB5502"/>
    <w:rsid w:val="00AB5538"/>
    <w:rsid w:val="00AB5666"/>
    <w:rsid w:val="00AB56BE"/>
    <w:rsid w:val="00AB5B9D"/>
    <w:rsid w:val="00AB5CDF"/>
    <w:rsid w:val="00AB5D10"/>
    <w:rsid w:val="00AB5E1F"/>
    <w:rsid w:val="00AB60B7"/>
    <w:rsid w:val="00AB60E2"/>
    <w:rsid w:val="00AB610A"/>
    <w:rsid w:val="00AB61E3"/>
    <w:rsid w:val="00AB63B3"/>
    <w:rsid w:val="00AB6A1E"/>
    <w:rsid w:val="00AB6B3F"/>
    <w:rsid w:val="00AB6C69"/>
    <w:rsid w:val="00AB6C9F"/>
    <w:rsid w:val="00AB6D35"/>
    <w:rsid w:val="00AB6D65"/>
    <w:rsid w:val="00AB6E57"/>
    <w:rsid w:val="00AB6E87"/>
    <w:rsid w:val="00AB6ED2"/>
    <w:rsid w:val="00AB6FF8"/>
    <w:rsid w:val="00AB6FFE"/>
    <w:rsid w:val="00AB707D"/>
    <w:rsid w:val="00AB71DF"/>
    <w:rsid w:val="00AB7602"/>
    <w:rsid w:val="00AB7953"/>
    <w:rsid w:val="00AB7A2F"/>
    <w:rsid w:val="00AB7BED"/>
    <w:rsid w:val="00AB7BEE"/>
    <w:rsid w:val="00AB7C91"/>
    <w:rsid w:val="00AB7DAA"/>
    <w:rsid w:val="00AB7E7F"/>
    <w:rsid w:val="00AC0093"/>
    <w:rsid w:val="00AC00C4"/>
    <w:rsid w:val="00AC0529"/>
    <w:rsid w:val="00AC07DD"/>
    <w:rsid w:val="00AC08B2"/>
    <w:rsid w:val="00AC0901"/>
    <w:rsid w:val="00AC098A"/>
    <w:rsid w:val="00AC0A1D"/>
    <w:rsid w:val="00AC0B0B"/>
    <w:rsid w:val="00AC0BC9"/>
    <w:rsid w:val="00AC0CE2"/>
    <w:rsid w:val="00AC10AC"/>
    <w:rsid w:val="00AC126F"/>
    <w:rsid w:val="00AC142B"/>
    <w:rsid w:val="00AC14FE"/>
    <w:rsid w:val="00AC1525"/>
    <w:rsid w:val="00AC1736"/>
    <w:rsid w:val="00AC1895"/>
    <w:rsid w:val="00AC190C"/>
    <w:rsid w:val="00AC1A16"/>
    <w:rsid w:val="00AC1AB7"/>
    <w:rsid w:val="00AC1B8A"/>
    <w:rsid w:val="00AC1C55"/>
    <w:rsid w:val="00AC1D2B"/>
    <w:rsid w:val="00AC1E8F"/>
    <w:rsid w:val="00AC1E98"/>
    <w:rsid w:val="00AC1FE5"/>
    <w:rsid w:val="00AC210F"/>
    <w:rsid w:val="00AC21EB"/>
    <w:rsid w:val="00AC23DB"/>
    <w:rsid w:val="00AC24BB"/>
    <w:rsid w:val="00AC2700"/>
    <w:rsid w:val="00AC270C"/>
    <w:rsid w:val="00AC27FF"/>
    <w:rsid w:val="00AC2A31"/>
    <w:rsid w:val="00AC2AD1"/>
    <w:rsid w:val="00AC2BD0"/>
    <w:rsid w:val="00AC2D07"/>
    <w:rsid w:val="00AC2F92"/>
    <w:rsid w:val="00AC3010"/>
    <w:rsid w:val="00AC315E"/>
    <w:rsid w:val="00AC317A"/>
    <w:rsid w:val="00AC319E"/>
    <w:rsid w:val="00AC328F"/>
    <w:rsid w:val="00AC3305"/>
    <w:rsid w:val="00AC3480"/>
    <w:rsid w:val="00AC3592"/>
    <w:rsid w:val="00AC35FD"/>
    <w:rsid w:val="00AC367A"/>
    <w:rsid w:val="00AC3685"/>
    <w:rsid w:val="00AC39AE"/>
    <w:rsid w:val="00AC3B80"/>
    <w:rsid w:val="00AC3D80"/>
    <w:rsid w:val="00AC3ED5"/>
    <w:rsid w:val="00AC3EF8"/>
    <w:rsid w:val="00AC3F70"/>
    <w:rsid w:val="00AC42D8"/>
    <w:rsid w:val="00AC42ED"/>
    <w:rsid w:val="00AC446F"/>
    <w:rsid w:val="00AC4659"/>
    <w:rsid w:val="00AC486A"/>
    <w:rsid w:val="00AC48B8"/>
    <w:rsid w:val="00AC48FC"/>
    <w:rsid w:val="00AC4A60"/>
    <w:rsid w:val="00AC4AA2"/>
    <w:rsid w:val="00AC4BB9"/>
    <w:rsid w:val="00AC4C24"/>
    <w:rsid w:val="00AC4C6F"/>
    <w:rsid w:val="00AC4C84"/>
    <w:rsid w:val="00AC4CC2"/>
    <w:rsid w:val="00AC4DC4"/>
    <w:rsid w:val="00AC5330"/>
    <w:rsid w:val="00AC55EC"/>
    <w:rsid w:val="00AC577E"/>
    <w:rsid w:val="00AC57A1"/>
    <w:rsid w:val="00AC5912"/>
    <w:rsid w:val="00AC5B1B"/>
    <w:rsid w:val="00AC5D5A"/>
    <w:rsid w:val="00AC5D6E"/>
    <w:rsid w:val="00AC5F24"/>
    <w:rsid w:val="00AC624F"/>
    <w:rsid w:val="00AC638A"/>
    <w:rsid w:val="00AC63D5"/>
    <w:rsid w:val="00AC64E3"/>
    <w:rsid w:val="00AC6899"/>
    <w:rsid w:val="00AC6BCD"/>
    <w:rsid w:val="00AC6C7E"/>
    <w:rsid w:val="00AC6DCF"/>
    <w:rsid w:val="00AC6F02"/>
    <w:rsid w:val="00AC6F7A"/>
    <w:rsid w:val="00AC71D8"/>
    <w:rsid w:val="00AC7665"/>
    <w:rsid w:val="00AC7812"/>
    <w:rsid w:val="00AC79CC"/>
    <w:rsid w:val="00AC7CD0"/>
    <w:rsid w:val="00AC7D5E"/>
    <w:rsid w:val="00AC7D89"/>
    <w:rsid w:val="00AC7DA5"/>
    <w:rsid w:val="00AD0147"/>
    <w:rsid w:val="00AD01A4"/>
    <w:rsid w:val="00AD01DB"/>
    <w:rsid w:val="00AD0306"/>
    <w:rsid w:val="00AD0326"/>
    <w:rsid w:val="00AD0354"/>
    <w:rsid w:val="00AD04C8"/>
    <w:rsid w:val="00AD055E"/>
    <w:rsid w:val="00AD066D"/>
    <w:rsid w:val="00AD06BC"/>
    <w:rsid w:val="00AD0797"/>
    <w:rsid w:val="00AD09B3"/>
    <w:rsid w:val="00AD0A44"/>
    <w:rsid w:val="00AD0AB6"/>
    <w:rsid w:val="00AD0B08"/>
    <w:rsid w:val="00AD0CF7"/>
    <w:rsid w:val="00AD0ED2"/>
    <w:rsid w:val="00AD121B"/>
    <w:rsid w:val="00AD129A"/>
    <w:rsid w:val="00AD13B5"/>
    <w:rsid w:val="00AD1560"/>
    <w:rsid w:val="00AD1651"/>
    <w:rsid w:val="00AD1713"/>
    <w:rsid w:val="00AD18C9"/>
    <w:rsid w:val="00AD1AA1"/>
    <w:rsid w:val="00AD1C47"/>
    <w:rsid w:val="00AD1DDB"/>
    <w:rsid w:val="00AD1F1B"/>
    <w:rsid w:val="00AD203C"/>
    <w:rsid w:val="00AD21A1"/>
    <w:rsid w:val="00AD222C"/>
    <w:rsid w:val="00AD2294"/>
    <w:rsid w:val="00AD23EC"/>
    <w:rsid w:val="00AD2541"/>
    <w:rsid w:val="00AD27D5"/>
    <w:rsid w:val="00AD2AC9"/>
    <w:rsid w:val="00AD30A0"/>
    <w:rsid w:val="00AD327D"/>
    <w:rsid w:val="00AD32C6"/>
    <w:rsid w:val="00AD34F4"/>
    <w:rsid w:val="00AD353F"/>
    <w:rsid w:val="00AD356F"/>
    <w:rsid w:val="00AD386C"/>
    <w:rsid w:val="00AD39B7"/>
    <w:rsid w:val="00AD3CA8"/>
    <w:rsid w:val="00AD3F5E"/>
    <w:rsid w:val="00AD3FC6"/>
    <w:rsid w:val="00AD406C"/>
    <w:rsid w:val="00AD4141"/>
    <w:rsid w:val="00AD41BA"/>
    <w:rsid w:val="00AD426B"/>
    <w:rsid w:val="00AD45A3"/>
    <w:rsid w:val="00AD47E6"/>
    <w:rsid w:val="00AD4940"/>
    <w:rsid w:val="00AD494E"/>
    <w:rsid w:val="00AD4BE5"/>
    <w:rsid w:val="00AD4CED"/>
    <w:rsid w:val="00AD4D41"/>
    <w:rsid w:val="00AD4ED4"/>
    <w:rsid w:val="00AD4FD7"/>
    <w:rsid w:val="00AD50AD"/>
    <w:rsid w:val="00AD513F"/>
    <w:rsid w:val="00AD5270"/>
    <w:rsid w:val="00AD5347"/>
    <w:rsid w:val="00AD54EE"/>
    <w:rsid w:val="00AD56D7"/>
    <w:rsid w:val="00AD5787"/>
    <w:rsid w:val="00AD5A30"/>
    <w:rsid w:val="00AD5AD1"/>
    <w:rsid w:val="00AD5C4D"/>
    <w:rsid w:val="00AD5EEC"/>
    <w:rsid w:val="00AD5F24"/>
    <w:rsid w:val="00AD5FE2"/>
    <w:rsid w:val="00AD6131"/>
    <w:rsid w:val="00AD6267"/>
    <w:rsid w:val="00AD654C"/>
    <w:rsid w:val="00AD66BE"/>
    <w:rsid w:val="00AD675E"/>
    <w:rsid w:val="00AD67A5"/>
    <w:rsid w:val="00AD681E"/>
    <w:rsid w:val="00AD6AD3"/>
    <w:rsid w:val="00AD6CFF"/>
    <w:rsid w:val="00AD6D52"/>
    <w:rsid w:val="00AD6E12"/>
    <w:rsid w:val="00AD6E42"/>
    <w:rsid w:val="00AD7087"/>
    <w:rsid w:val="00AD722A"/>
    <w:rsid w:val="00AD7286"/>
    <w:rsid w:val="00AD7362"/>
    <w:rsid w:val="00AD73A2"/>
    <w:rsid w:val="00AD73BF"/>
    <w:rsid w:val="00AD7B31"/>
    <w:rsid w:val="00AD7E9F"/>
    <w:rsid w:val="00AD7F1C"/>
    <w:rsid w:val="00AD7F4A"/>
    <w:rsid w:val="00AD7F70"/>
    <w:rsid w:val="00AD7FAE"/>
    <w:rsid w:val="00AD7FE9"/>
    <w:rsid w:val="00AE01A0"/>
    <w:rsid w:val="00AE0288"/>
    <w:rsid w:val="00AE0356"/>
    <w:rsid w:val="00AE0365"/>
    <w:rsid w:val="00AE04BC"/>
    <w:rsid w:val="00AE0507"/>
    <w:rsid w:val="00AE06B4"/>
    <w:rsid w:val="00AE0961"/>
    <w:rsid w:val="00AE0989"/>
    <w:rsid w:val="00AE09FB"/>
    <w:rsid w:val="00AE0A2D"/>
    <w:rsid w:val="00AE0B90"/>
    <w:rsid w:val="00AE0D97"/>
    <w:rsid w:val="00AE1130"/>
    <w:rsid w:val="00AE1319"/>
    <w:rsid w:val="00AE1529"/>
    <w:rsid w:val="00AE15C9"/>
    <w:rsid w:val="00AE19D9"/>
    <w:rsid w:val="00AE1A70"/>
    <w:rsid w:val="00AE1B01"/>
    <w:rsid w:val="00AE1D46"/>
    <w:rsid w:val="00AE1E1C"/>
    <w:rsid w:val="00AE1ECE"/>
    <w:rsid w:val="00AE1FBF"/>
    <w:rsid w:val="00AE1FFB"/>
    <w:rsid w:val="00AE2330"/>
    <w:rsid w:val="00AE2507"/>
    <w:rsid w:val="00AE2547"/>
    <w:rsid w:val="00AE2725"/>
    <w:rsid w:val="00AE28E4"/>
    <w:rsid w:val="00AE2960"/>
    <w:rsid w:val="00AE2AF7"/>
    <w:rsid w:val="00AE2B5B"/>
    <w:rsid w:val="00AE309D"/>
    <w:rsid w:val="00AE313D"/>
    <w:rsid w:val="00AE3455"/>
    <w:rsid w:val="00AE34A1"/>
    <w:rsid w:val="00AE3739"/>
    <w:rsid w:val="00AE3A1E"/>
    <w:rsid w:val="00AE3AA3"/>
    <w:rsid w:val="00AE3CF9"/>
    <w:rsid w:val="00AE3D12"/>
    <w:rsid w:val="00AE3D37"/>
    <w:rsid w:val="00AE400B"/>
    <w:rsid w:val="00AE40D8"/>
    <w:rsid w:val="00AE41A3"/>
    <w:rsid w:val="00AE4395"/>
    <w:rsid w:val="00AE457B"/>
    <w:rsid w:val="00AE45BF"/>
    <w:rsid w:val="00AE4673"/>
    <w:rsid w:val="00AE4704"/>
    <w:rsid w:val="00AE4834"/>
    <w:rsid w:val="00AE4AC3"/>
    <w:rsid w:val="00AE56B7"/>
    <w:rsid w:val="00AE578C"/>
    <w:rsid w:val="00AE5D8F"/>
    <w:rsid w:val="00AE5F32"/>
    <w:rsid w:val="00AE5F4E"/>
    <w:rsid w:val="00AE6034"/>
    <w:rsid w:val="00AE60B5"/>
    <w:rsid w:val="00AE62B8"/>
    <w:rsid w:val="00AE6393"/>
    <w:rsid w:val="00AE64DC"/>
    <w:rsid w:val="00AE6519"/>
    <w:rsid w:val="00AE6898"/>
    <w:rsid w:val="00AE68F7"/>
    <w:rsid w:val="00AE693E"/>
    <w:rsid w:val="00AE69A7"/>
    <w:rsid w:val="00AE69E3"/>
    <w:rsid w:val="00AE6C1E"/>
    <w:rsid w:val="00AE6CD0"/>
    <w:rsid w:val="00AE6E36"/>
    <w:rsid w:val="00AE734F"/>
    <w:rsid w:val="00AE755D"/>
    <w:rsid w:val="00AE7661"/>
    <w:rsid w:val="00AE767A"/>
    <w:rsid w:val="00AE76C5"/>
    <w:rsid w:val="00AE7766"/>
    <w:rsid w:val="00AE7888"/>
    <w:rsid w:val="00AE798B"/>
    <w:rsid w:val="00AE7B67"/>
    <w:rsid w:val="00AE7EE3"/>
    <w:rsid w:val="00AE7F54"/>
    <w:rsid w:val="00AE7F77"/>
    <w:rsid w:val="00AF0174"/>
    <w:rsid w:val="00AF0308"/>
    <w:rsid w:val="00AF046F"/>
    <w:rsid w:val="00AF04C5"/>
    <w:rsid w:val="00AF04F9"/>
    <w:rsid w:val="00AF0626"/>
    <w:rsid w:val="00AF067A"/>
    <w:rsid w:val="00AF07B2"/>
    <w:rsid w:val="00AF09F7"/>
    <w:rsid w:val="00AF0BE3"/>
    <w:rsid w:val="00AF0D96"/>
    <w:rsid w:val="00AF109E"/>
    <w:rsid w:val="00AF1170"/>
    <w:rsid w:val="00AF12C6"/>
    <w:rsid w:val="00AF1302"/>
    <w:rsid w:val="00AF1364"/>
    <w:rsid w:val="00AF163D"/>
    <w:rsid w:val="00AF167B"/>
    <w:rsid w:val="00AF18AB"/>
    <w:rsid w:val="00AF1A2D"/>
    <w:rsid w:val="00AF1C7E"/>
    <w:rsid w:val="00AF2390"/>
    <w:rsid w:val="00AF2442"/>
    <w:rsid w:val="00AF2656"/>
    <w:rsid w:val="00AF27BC"/>
    <w:rsid w:val="00AF2858"/>
    <w:rsid w:val="00AF2875"/>
    <w:rsid w:val="00AF28C7"/>
    <w:rsid w:val="00AF28DD"/>
    <w:rsid w:val="00AF2902"/>
    <w:rsid w:val="00AF294A"/>
    <w:rsid w:val="00AF2B2E"/>
    <w:rsid w:val="00AF2B98"/>
    <w:rsid w:val="00AF2C0B"/>
    <w:rsid w:val="00AF2C15"/>
    <w:rsid w:val="00AF2DA7"/>
    <w:rsid w:val="00AF2DBC"/>
    <w:rsid w:val="00AF2EA2"/>
    <w:rsid w:val="00AF2FCC"/>
    <w:rsid w:val="00AF300E"/>
    <w:rsid w:val="00AF3577"/>
    <w:rsid w:val="00AF36A6"/>
    <w:rsid w:val="00AF36C9"/>
    <w:rsid w:val="00AF3824"/>
    <w:rsid w:val="00AF39B4"/>
    <w:rsid w:val="00AF3D60"/>
    <w:rsid w:val="00AF3DFE"/>
    <w:rsid w:val="00AF3E8F"/>
    <w:rsid w:val="00AF4019"/>
    <w:rsid w:val="00AF4170"/>
    <w:rsid w:val="00AF47EB"/>
    <w:rsid w:val="00AF4AAC"/>
    <w:rsid w:val="00AF4C20"/>
    <w:rsid w:val="00AF4DBF"/>
    <w:rsid w:val="00AF4FD5"/>
    <w:rsid w:val="00AF5207"/>
    <w:rsid w:val="00AF5650"/>
    <w:rsid w:val="00AF57E0"/>
    <w:rsid w:val="00AF5A7E"/>
    <w:rsid w:val="00AF5ACD"/>
    <w:rsid w:val="00AF5C6F"/>
    <w:rsid w:val="00AF5CEC"/>
    <w:rsid w:val="00AF5F46"/>
    <w:rsid w:val="00AF607D"/>
    <w:rsid w:val="00AF6110"/>
    <w:rsid w:val="00AF6226"/>
    <w:rsid w:val="00AF6315"/>
    <w:rsid w:val="00AF63E9"/>
    <w:rsid w:val="00AF6425"/>
    <w:rsid w:val="00AF646E"/>
    <w:rsid w:val="00AF6703"/>
    <w:rsid w:val="00AF685D"/>
    <w:rsid w:val="00AF6941"/>
    <w:rsid w:val="00AF6AC6"/>
    <w:rsid w:val="00AF6B21"/>
    <w:rsid w:val="00AF6BE2"/>
    <w:rsid w:val="00AF6C0D"/>
    <w:rsid w:val="00AF6C7E"/>
    <w:rsid w:val="00AF6D74"/>
    <w:rsid w:val="00AF6FA4"/>
    <w:rsid w:val="00AF7095"/>
    <w:rsid w:val="00AF70D8"/>
    <w:rsid w:val="00AF719C"/>
    <w:rsid w:val="00AF71C9"/>
    <w:rsid w:val="00AF72E9"/>
    <w:rsid w:val="00AF73D4"/>
    <w:rsid w:val="00AF74A5"/>
    <w:rsid w:val="00AF772E"/>
    <w:rsid w:val="00AF77AE"/>
    <w:rsid w:val="00AF78B7"/>
    <w:rsid w:val="00AF799E"/>
    <w:rsid w:val="00AF7C31"/>
    <w:rsid w:val="00AF7D99"/>
    <w:rsid w:val="00AF7E82"/>
    <w:rsid w:val="00AF7F9B"/>
    <w:rsid w:val="00AFF1F1"/>
    <w:rsid w:val="00B00014"/>
    <w:rsid w:val="00B00074"/>
    <w:rsid w:val="00B001DE"/>
    <w:rsid w:val="00B005CC"/>
    <w:rsid w:val="00B00611"/>
    <w:rsid w:val="00B0065F"/>
    <w:rsid w:val="00B0075E"/>
    <w:rsid w:val="00B0079F"/>
    <w:rsid w:val="00B00875"/>
    <w:rsid w:val="00B00958"/>
    <w:rsid w:val="00B00A56"/>
    <w:rsid w:val="00B00A66"/>
    <w:rsid w:val="00B00B6E"/>
    <w:rsid w:val="00B00C4E"/>
    <w:rsid w:val="00B00DC7"/>
    <w:rsid w:val="00B011F4"/>
    <w:rsid w:val="00B012A0"/>
    <w:rsid w:val="00B013E3"/>
    <w:rsid w:val="00B01436"/>
    <w:rsid w:val="00B01543"/>
    <w:rsid w:val="00B01726"/>
    <w:rsid w:val="00B01A2A"/>
    <w:rsid w:val="00B01C4E"/>
    <w:rsid w:val="00B01F1F"/>
    <w:rsid w:val="00B01F88"/>
    <w:rsid w:val="00B02141"/>
    <w:rsid w:val="00B023C2"/>
    <w:rsid w:val="00B0240C"/>
    <w:rsid w:val="00B02484"/>
    <w:rsid w:val="00B02B56"/>
    <w:rsid w:val="00B02B88"/>
    <w:rsid w:val="00B02D3D"/>
    <w:rsid w:val="00B02DD4"/>
    <w:rsid w:val="00B02DD8"/>
    <w:rsid w:val="00B02E00"/>
    <w:rsid w:val="00B02E65"/>
    <w:rsid w:val="00B02ED2"/>
    <w:rsid w:val="00B02F83"/>
    <w:rsid w:val="00B02F92"/>
    <w:rsid w:val="00B03037"/>
    <w:rsid w:val="00B031CC"/>
    <w:rsid w:val="00B032DD"/>
    <w:rsid w:val="00B03342"/>
    <w:rsid w:val="00B0334E"/>
    <w:rsid w:val="00B03484"/>
    <w:rsid w:val="00B0350C"/>
    <w:rsid w:val="00B03712"/>
    <w:rsid w:val="00B03719"/>
    <w:rsid w:val="00B03A5A"/>
    <w:rsid w:val="00B03A82"/>
    <w:rsid w:val="00B03C5A"/>
    <w:rsid w:val="00B03CB5"/>
    <w:rsid w:val="00B03CED"/>
    <w:rsid w:val="00B042D3"/>
    <w:rsid w:val="00B04354"/>
    <w:rsid w:val="00B04427"/>
    <w:rsid w:val="00B0443E"/>
    <w:rsid w:val="00B045E5"/>
    <w:rsid w:val="00B0461C"/>
    <w:rsid w:val="00B04663"/>
    <w:rsid w:val="00B048DB"/>
    <w:rsid w:val="00B049AD"/>
    <w:rsid w:val="00B049C5"/>
    <w:rsid w:val="00B04AB7"/>
    <w:rsid w:val="00B04BAA"/>
    <w:rsid w:val="00B04CCF"/>
    <w:rsid w:val="00B04FD7"/>
    <w:rsid w:val="00B05316"/>
    <w:rsid w:val="00B053CF"/>
    <w:rsid w:val="00B05446"/>
    <w:rsid w:val="00B054D8"/>
    <w:rsid w:val="00B05686"/>
    <w:rsid w:val="00B05AD1"/>
    <w:rsid w:val="00B05B9D"/>
    <w:rsid w:val="00B05EE4"/>
    <w:rsid w:val="00B06022"/>
    <w:rsid w:val="00B06224"/>
    <w:rsid w:val="00B065B9"/>
    <w:rsid w:val="00B066D2"/>
    <w:rsid w:val="00B067BF"/>
    <w:rsid w:val="00B0684A"/>
    <w:rsid w:val="00B06B6A"/>
    <w:rsid w:val="00B06B7D"/>
    <w:rsid w:val="00B06BA4"/>
    <w:rsid w:val="00B06BB2"/>
    <w:rsid w:val="00B06BDC"/>
    <w:rsid w:val="00B06C9E"/>
    <w:rsid w:val="00B0748C"/>
    <w:rsid w:val="00B074E3"/>
    <w:rsid w:val="00B075FB"/>
    <w:rsid w:val="00B0770C"/>
    <w:rsid w:val="00B07947"/>
    <w:rsid w:val="00B07A2B"/>
    <w:rsid w:val="00B07C74"/>
    <w:rsid w:val="00B07D14"/>
    <w:rsid w:val="00B07D60"/>
    <w:rsid w:val="00B07DB8"/>
    <w:rsid w:val="00B10118"/>
    <w:rsid w:val="00B101C7"/>
    <w:rsid w:val="00B101D9"/>
    <w:rsid w:val="00B101E6"/>
    <w:rsid w:val="00B1025E"/>
    <w:rsid w:val="00B10367"/>
    <w:rsid w:val="00B10374"/>
    <w:rsid w:val="00B10383"/>
    <w:rsid w:val="00B10495"/>
    <w:rsid w:val="00B10557"/>
    <w:rsid w:val="00B10737"/>
    <w:rsid w:val="00B10759"/>
    <w:rsid w:val="00B107F2"/>
    <w:rsid w:val="00B108C1"/>
    <w:rsid w:val="00B10B70"/>
    <w:rsid w:val="00B10C46"/>
    <w:rsid w:val="00B10D0C"/>
    <w:rsid w:val="00B10D51"/>
    <w:rsid w:val="00B10D6B"/>
    <w:rsid w:val="00B10DA7"/>
    <w:rsid w:val="00B11186"/>
    <w:rsid w:val="00B115D8"/>
    <w:rsid w:val="00B11706"/>
    <w:rsid w:val="00B11725"/>
    <w:rsid w:val="00B1185D"/>
    <w:rsid w:val="00B11AC7"/>
    <w:rsid w:val="00B11B7E"/>
    <w:rsid w:val="00B11BAA"/>
    <w:rsid w:val="00B11BCB"/>
    <w:rsid w:val="00B11BE4"/>
    <w:rsid w:val="00B11D09"/>
    <w:rsid w:val="00B11E11"/>
    <w:rsid w:val="00B11E1F"/>
    <w:rsid w:val="00B11E5A"/>
    <w:rsid w:val="00B122F4"/>
    <w:rsid w:val="00B1232A"/>
    <w:rsid w:val="00B1232B"/>
    <w:rsid w:val="00B124CF"/>
    <w:rsid w:val="00B12F0D"/>
    <w:rsid w:val="00B12FF6"/>
    <w:rsid w:val="00B13013"/>
    <w:rsid w:val="00B130FC"/>
    <w:rsid w:val="00B1325A"/>
    <w:rsid w:val="00B13382"/>
    <w:rsid w:val="00B134FF"/>
    <w:rsid w:val="00B1361C"/>
    <w:rsid w:val="00B1372B"/>
    <w:rsid w:val="00B1384C"/>
    <w:rsid w:val="00B138C9"/>
    <w:rsid w:val="00B13B0A"/>
    <w:rsid w:val="00B13B6E"/>
    <w:rsid w:val="00B13C94"/>
    <w:rsid w:val="00B13DCB"/>
    <w:rsid w:val="00B1416B"/>
    <w:rsid w:val="00B141A4"/>
    <w:rsid w:val="00B14745"/>
    <w:rsid w:val="00B1492A"/>
    <w:rsid w:val="00B14AC0"/>
    <w:rsid w:val="00B14B59"/>
    <w:rsid w:val="00B14BB1"/>
    <w:rsid w:val="00B14BC6"/>
    <w:rsid w:val="00B14BCC"/>
    <w:rsid w:val="00B15231"/>
    <w:rsid w:val="00B154F0"/>
    <w:rsid w:val="00B157A5"/>
    <w:rsid w:val="00B157B6"/>
    <w:rsid w:val="00B15927"/>
    <w:rsid w:val="00B159C2"/>
    <w:rsid w:val="00B15B1B"/>
    <w:rsid w:val="00B15BA3"/>
    <w:rsid w:val="00B15BAF"/>
    <w:rsid w:val="00B15C4C"/>
    <w:rsid w:val="00B15C6B"/>
    <w:rsid w:val="00B15DFC"/>
    <w:rsid w:val="00B15EBB"/>
    <w:rsid w:val="00B15ED6"/>
    <w:rsid w:val="00B160CA"/>
    <w:rsid w:val="00B16126"/>
    <w:rsid w:val="00B162C1"/>
    <w:rsid w:val="00B16420"/>
    <w:rsid w:val="00B1646B"/>
    <w:rsid w:val="00B164E0"/>
    <w:rsid w:val="00B16BCB"/>
    <w:rsid w:val="00B16D7F"/>
    <w:rsid w:val="00B16DD6"/>
    <w:rsid w:val="00B16F6B"/>
    <w:rsid w:val="00B17073"/>
    <w:rsid w:val="00B1709F"/>
    <w:rsid w:val="00B170C1"/>
    <w:rsid w:val="00B170DE"/>
    <w:rsid w:val="00B17167"/>
    <w:rsid w:val="00B171B0"/>
    <w:rsid w:val="00B17280"/>
    <w:rsid w:val="00B172BF"/>
    <w:rsid w:val="00B17337"/>
    <w:rsid w:val="00B17845"/>
    <w:rsid w:val="00B178B8"/>
    <w:rsid w:val="00B17B37"/>
    <w:rsid w:val="00B17D28"/>
    <w:rsid w:val="00B17EC5"/>
    <w:rsid w:val="00B17F6F"/>
    <w:rsid w:val="00B17FBC"/>
    <w:rsid w:val="00B20106"/>
    <w:rsid w:val="00B20726"/>
    <w:rsid w:val="00B209CF"/>
    <w:rsid w:val="00B20C13"/>
    <w:rsid w:val="00B20CCB"/>
    <w:rsid w:val="00B20FDA"/>
    <w:rsid w:val="00B2101D"/>
    <w:rsid w:val="00B21115"/>
    <w:rsid w:val="00B2129A"/>
    <w:rsid w:val="00B212E6"/>
    <w:rsid w:val="00B21357"/>
    <w:rsid w:val="00B21573"/>
    <w:rsid w:val="00B21788"/>
    <w:rsid w:val="00B217B5"/>
    <w:rsid w:val="00B21985"/>
    <w:rsid w:val="00B21A60"/>
    <w:rsid w:val="00B21C33"/>
    <w:rsid w:val="00B21FF0"/>
    <w:rsid w:val="00B2206C"/>
    <w:rsid w:val="00B22114"/>
    <w:rsid w:val="00B22173"/>
    <w:rsid w:val="00B221B5"/>
    <w:rsid w:val="00B2234B"/>
    <w:rsid w:val="00B223EF"/>
    <w:rsid w:val="00B22806"/>
    <w:rsid w:val="00B2283A"/>
    <w:rsid w:val="00B22FE2"/>
    <w:rsid w:val="00B231FC"/>
    <w:rsid w:val="00B2324E"/>
    <w:rsid w:val="00B232A0"/>
    <w:rsid w:val="00B23320"/>
    <w:rsid w:val="00B233EF"/>
    <w:rsid w:val="00B2355C"/>
    <w:rsid w:val="00B23896"/>
    <w:rsid w:val="00B238E4"/>
    <w:rsid w:val="00B23938"/>
    <w:rsid w:val="00B23A3D"/>
    <w:rsid w:val="00B23A5B"/>
    <w:rsid w:val="00B23A6B"/>
    <w:rsid w:val="00B23B08"/>
    <w:rsid w:val="00B23B98"/>
    <w:rsid w:val="00B23C92"/>
    <w:rsid w:val="00B23D9B"/>
    <w:rsid w:val="00B243B0"/>
    <w:rsid w:val="00B2462E"/>
    <w:rsid w:val="00B2484E"/>
    <w:rsid w:val="00B2485D"/>
    <w:rsid w:val="00B24910"/>
    <w:rsid w:val="00B249E4"/>
    <w:rsid w:val="00B249FC"/>
    <w:rsid w:val="00B24A7A"/>
    <w:rsid w:val="00B24CE9"/>
    <w:rsid w:val="00B25147"/>
    <w:rsid w:val="00B253F4"/>
    <w:rsid w:val="00B254B8"/>
    <w:rsid w:val="00B25515"/>
    <w:rsid w:val="00B2564E"/>
    <w:rsid w:val="00B258FB"/>
    <w:rsid w:val="00B259DE"/>
    <w:rsid w:val="00B25B2A"/>
    <w:rsid w:val="00B25B52"/>
    <w:rsid w:val="00B25C8C"/>
    <w:rsid w:val="00B25CDB"/>
    <w:rsid w:val="00B25DEF"/>
    <w:rsid w:val="00B260E6"/>
    <w:rsid w:val="00B261A5"/>
    <w:rsid w:val="00B263C7"/>
    <w:rsid w:val="00B264B5"/>
    <w:rsid w:val="00B2658E"/>
    <w:rsid w:val="00B268A9"/>
    <w:rsid w:val="00B268AE"/>
    <w:rsid w:val="00B26955"/>
    <w:rsid w:val="00B26D0A"/>
    <w:rsid w:val="00B26EA8"/>
    <w:rsid w:val="00B26EB8"/>
    <w:rsid w:val="00B26EBD"/>
    <w:rsid w:val="00B27091"/>
    <w:rsid w:val="00B2718A"/>
    <w:rsid w:val="00B27212"/>
    <w:rsid w:val="00B27239"/>
    <w:rsid w:val="00B27267"/>
    <w:rsid w:val="00B27299"/>
    <w:rsid w:val="00B272C7"/>
    <w:rsid w:val="00B27395"/>
    <w:rsid w:val="00B27740"/>
    <w:rsid w:val="00B27810"/>
    <w:rsid w:val="00B278C0"/>
    <w:rsid w:val="00B27975"/>
    <w:rsid w:val="00B27AE0"/>
    <w:rsid w:val="00B27B0A"/>
    <w:rsid w:val="00B27D97"/>
    <w:rsid w:val="00B27F4A"/>
    <w:rsid w:val="00B27F93"/>
    <w:rsid w:val="00B27FC2"/>
    <w:rsid w:val="00B3014D"/>
    <w:rsid w:val="00B305DB"/>
    <w:rsid w:val="00B308B8"/>
    <w:rsid w:val="00B30983"/>
    <w:rsid w:val="00B30BCE"/>
    <w:rsid w:val="00B30C60"/>
    <w:rsid w:val="00B30D78"/>
    <w:rsid w:val="00B30DA2"/>
    <w:rsid w:val="00B31035"/>
    <w:rsid w:val="00B3119A"/>
    <w:rsid w:val="00B31215"/>
    <w:rsid w:val="00B31274"/>
    <w:rsid w:val="00B3136E"/>
    <w:rsid w:val="00B31552"/>
    <w:rsid w:val="00B31738"/>
    <w:rsid w:val="00B317E7"/>
    <w:rsid w:val="00B31A96"/>
    <w:rsid w:val="00B31C0F"/>
    <w:rsid w:val="00B31E0F"/>
    <w:rsid w:val="00B31E66"/>
    <w:rsid w:val="00B321D5"/>
    <w:rsid w:val="00B3225D"/>
    <w:rsid w:val="00B32315"/>
    <w:rsid w:val="00B324A5"/>
    <w:rsid w:val="00B328AA"/>
    <w:rsid w:val="00B32B64"/>
    <w:rsid w:val="00B32D75"/>
    <w:rsid w:val="00B32DA4"/>
    <w:rsid w:val="00B32FB1"/>
    <w:rsid w:val="00B33328"/>
    <w:rsid w:val="00B337A6"/>
    <w:rsid w:val="00B338FB"/>
    <w:rsid w:val="00B339E5"/>
    <w:rsid w:val="00B33A0F"/>
    <w:rsid w:val="00B33A57"/>
    <w:rsid w:val="00B34011"/>
    <w:rsid w:val="00B34083"/>
    <w:rsid w:val="00B340EC"/>
    <w:rsid w:val="00B341E0"/>
    <w:rsid w:val="00B34226"/>
    <w:rsid w:val="00B34309"/>
    <w:rsid w:val="00B343E2"/>
    <w:rsid w:val="00B34744"/>
    <w:rsid w:val="00B3488A"/>
    <w:rsid w:val="00B34BD6"/>
    <w:rsid w:val="00B34C57"/>
    <w:rsid w:val="00B34C71"/>
    <w:rsid w:val="00B34EF8"/>
    <w:rsid w:val="00B34F90"/>
    <w:rsid w:val="00B34FFF"/>
    <w:rsid w:val="00B35056"/>
    <w:rsid w:val="00B3514C"/>
    <w:rsid w:val="00B351D9"/>
    <w:rsid w:val="00B3521C"/>
    <w:rsid w:val="00B35392"/>
    <w:rsid w:val="00B353FD"/>
    <w:rsid w:val="00B35557"/>
    <w:rsid w:val="00B35659"/>
    <w:rsid w:val="00B3570E"/>
    <w:rsid w:val="00B35946"/>
    <w:rsid w:val="00B35BC4"/>
    <w:rsid w:val="00B36124"/>
    <w:rsid w:val="00B3669B"/>
    <w:rsid w:val="00B366C2"/>
    <w:rsid w:val="00B366FE"/>
    <w:rsid w:val="00B36704"/>
    <w:rsid w:val="00B3678D"/>
    <w:rsid w:val="00B3693B"/>
    <w:rsid w:val="00B36A8C"/>
    <w:rsid w:val="00B36C36"/>
    <w:rsid w:val="00B36DFF"/>
    <w:rsid w:val="00B36E37"/>
    <w:rsid w:val="00B36EE4"/>
    <w:rsid w:val="00B36F30"/>
    <w:rsid w:val="00B36F34"/>
    <w:rsid w:val="00B3715F"/>
    <w:rsid w:val="00B3724B"/>
    <w:rsid w:val="00B37258"/>
    <w:rsid w:val="00B37514"/>
    <w:rsid w:val="00B375C7"/>
    <w:rsid w:val="00B375E2"/>
    <w:rsid w:val="00B37728"/>
    <w:rsid w:val="00B37935"/>
    <w:rsid w:val="00B37B47"/>
    <w:rsid w:val="00B37BA4"/>
    <w:rsid w:val="00B37BD0"/>
    <w:rsid w:val="00B37CB4"/>
    <w:rsid w:val="00B37E37"/>
    <w:rsid w:val="00B37E88"/>
    <w:rsid w:val="00B37FA3"/>
    <w:rsid w:val="00B4020A"/>
    <w:rsid w:val="00B40274"/>
    <w:rsid w:val="00B40404"/>
    <w:rsid w:val="00B404C4"/>
    <w:rsid w:val="00B407FC"/>
    <w:rsid w:val="00B40949"/>
    <w:rsid w:val="00B40BEA"/>
    <w:rsid w:val="00B40DAE"/>
    <w:rsid w:val="00B40EA3"/>
    <w:rsid w:val="00B41288"/>
    <w:rsid w:val="00B41632"/>
    <w:rsid w:val="00B41875"/>
    <w:rsid w:val="00B4192F"/>
    <w:rsid w:val="00B41AF4"/>
    <w:rsid w:val="00B41B52"/>
    <w:rsid w:val="00B41C3F"/>
    <w:rsid w:val="00B41C90"/>
    <w:rsid w:val="00B41D5E"/>
    <w:rsid w:val="00B41E89"/>
    <w:rsid w:val="00B4211C"/>
    <w:rsid w:val="00B422BF"/>
    <w:rsid w:val="00B42407"/>
    <w:rsid w:val="00B42620"/>
    <w:rsid w:val="00B4266B"/>
    <w:rsid w:val="00B42683"/>
    <w:rsid w:val="00B42766"/>
    <w:rsid w:val="00B4290F"/>
    <w:rsid w:val="00B4291E"/>
    <w:rsid w:val="00B429B8"/>
    <w:rsid w:val="00B42ADE"/>
    <w:rsid w:val="00B42AF2"/>
    <w:rsid w:val="00B42CC7"/>
    <w:rsid w:val="00B42DCB"/>
    <w:rsid w:val="00B42E6C"/>
    <w:rsid w:val="00B42EA7"/>
    <w:rsid w:val="00B42F07"/>
    <w:rsid w:val="00B432C6"/>
    <w:rsid w:val="00B4338B"/>
    <w:rsid w:val="00B435E3"/>
    <w:rsid w:val="00B43679"/>
    <w:rsid w:val="00B43793"/>
    <w:rsid w:val="00B43827"/>
    <w:rsid w:val="00B43C7F"/>
    <w:rsid w:val="00B43DF8"/>
    <w:rsid w:val="00B43E60"/>
    <w:rsid w:val="00B43EEA"/>
    <w:rsid w:val="00B43FE1"/>
    <w:rsid w:val="00B44205"/>
    <w:rsid w:val="00B444AF"/>
    <w:rsid w:val="00B445BF"/>
    <w:rsid w:val="00B44634"/>
    <w:rsid w:val="00B449E9"/>
    <w:rsid w:val="00B44A0F"/>
    <w:rsid w:val="00B44C86"/>
    <w:rsid w:val="00B44C94"/>
    <w:rsid w:val="00B44D36"/>
    <w:rsid w:val="00B44E9A"/>
    <w:rsid w:val="00B44F50"/>
    <w:rsid w:val="00B44F9C"/>
    <w:rsid w:val="00B450AB"/>
    <w:rsid w:val="00B4527E"/>
    <w:rsid w:val="00B452DE"/>
    <w:rsid w:val="00B45373"/>
    <w:rsid w:val="00B453CF"/>
    <w:rsid w:val="00B4541C"/>
    <w:rsid w:val="00B45468"/>
    <w:rsid w:val="00B45500"/>
    <w:rsid w:val="00B455D6"/>
    <w:rsid w:val="00B45702"/>
    <w:rsid w:val="00B458E7"/>
    <w:rsid w:val="00B45A00"/>
    <w:rsid w:val="00B45A37"/>
    <w:rsid w:val="00B45A52"/>
    <w:rsid w:val="00B45A8E"/>
    <w:rsid w:val="00B45BAE"/>
    <w:rsid w:val="00B45C44"/>
    <w:rsid w:val="00B45C64"/>
    <w:rsid w:val="00B45DB8"/>
    <w:rsid w:val="00B45EB4"/>
    <w:rsid w:val="00B46003"/>
    <w:rsid w:val="00B46172"/>
    <w:rsid w:val="00B46207"/>
    <w:rsid w:val="00B463EC"/>
    <w:rsid w:val="00B46593"/>
    <w:rsid w:val="00B466BE"/>
    <w:rsid w:val="00B466C3"/>
    <w:rsid w:val="00B466F6"/>
    <w:rsid w:val="00B4678F"/>
    <w:rsid w:val="00B46A32"/>
    <w:rsid w:val="00B46B29"/>
    <w:rsid w:val="00B46B8B"/>
    <w:rsid w:val="00B46EF4"/>
    <w:rsid w:val="00B46FE3"/>
    <w:rsid w:val="00B47298"/>
    <w:rsid w:val="00B4729E"/>
    <w:rsid w:val="00B476B0"/>
    <w:rsid w:val="00B476E0"/>
    <w:rsid w:val="00B47896"/>
    <w:rsid w:val="00B47917"/>
    <w:rsid w:val="00B47954"/>
    <w:rsid w:val="00B47AE4"/>
    <w:rsid w:val="00B47BF7"/>
    <w:rsid w:val="00B47C01"/>
    <w:rsid w:val="00B47EFA"/>
    <w:rsid w:val="00B50219"/>
    <w:rsid w:val="00B505BD"/>
    <w:rsid w:val="00B50765"/>
    <w:rsid w:val="00B507C9"/>
    <w:rsid w:val="00B50916"/>
    <w:rsid w:val="00B50A40"/>
    <w:rsid w:val="00B50AA3"/>
    <w:rsid w:val="00B50BF6"/>
    <w:rsid w:val="00B50C31"/>
    <w:rsid w:val="00B50E9E"/>
    <w:rsid w:val="00B51177"/>
    <w:rsid w:val="00B51182"/>
    <w:rsid w:val="00B511BF"/>
    <w:rsid w:val="00B512FB"/>
    <w:rsid w:val="00B513BB"/>
    <w:rsid w:val="00B516FC"/>
    <w:rsid w:val="00B51717"/>
    <w:rsid w:val="00B518AC"/>
    <w:rsid w:val="00B51979"/>
    <w:rsid w:val="00B51B18"/>
    <w:rsid w:val="00B51C15"/>
    <w:rsid w:val="00B51CC7"/>
    <w:rsid w:val="00B51D59"/>
    <w:rsid w:val="00B51E1A"/>
    <w:rsid w:val="00B52061"/>
    <w:rsid w:val="00B521C4"/>
    <w:rsid w:val="00B5230B"/>
    <w:rsid w:val="00B5243D"/>
    <w:rsid w:val="00B524EA"/>
    <w:rsid w:val="00B52668"/>
    <w:rsid w:val="00B527CC"/>
    <w:rsid w:val="00B528DF"/>
    <w:rsid w:val="00B529A7"/>
    <w:rsid w:val="00B529FF"/>
    <w:rsid w:val="00B52AAB"/>
    <w:rsid w:val="00B52ABC"/>
    <w:rsid w:val="00B52BE4"/>
    <w:rsid w:val="00B52CB6"/>
    <w:rsid w:val="00B52DB0"/>
    <w:rsid w:val="00B52E18"/>
    <w:rsid w:val="00B5307E"/>
    <w:rsid w:val="00B532F2"/>
    <w:rsid w:val="00B53547"/>
    <w:rsid w:val="00B53597"/>
    <w:rsid w:val="00B53784"/>
    <w:rsid w:val="00B537EF"/>
    <w:rsid w:val="00B53849"/>
    <w:rsid w:val="00B53951"/>
    <w:rsid w:val="00B539BA"/>
    <w:rsid w:val="00B53A06"/>
    <w:rsid w:val="00B53B02"/>
    <w:rsid w:val="00B53B70"/>
    <w:rsid w:val="00B53C0D"/>
    <w:rsid w:val="00B53D35"/>
    <w:rsid w:val="00B53E1D"/>
    <w:rsid w:val="00B54030"/>
    <w:rsid w:val="00B54111"/>
    <w:rsid w:val="00B5421A"/>
    <w:rsid w:val="00B54589"/>
    <w:rsid w:val="00B54690"/>
    <w:rsid w:val="00B5472F"/>
    <w:rsid w:val="00B5494B"/>
    <w:rsid w:val="00B5495A"/>
    <w:rsid w:val="00B54A2D"/>
    <w:rsid w:val="00B54C75"/>
    <w:rsid w:val="00B54E1F"/>
    <w:rsid w:val="00B54F62"/>
    <w:rsid w:val="00B550D8"/>
    <w:rsid w:val="00B55114"/>
    <w:rsid w:val="00B5524F"/>
    <w:rsid w:val="00B55322"/>
    <w:rsid w:val="00B55347"/>
    <w:rsid w:val="00B555C6"/>
    <w:rsid w:val="00B558CC"/>
    <w:rsid w:val="00B55A8B"/>
    <w:rsid w:val="00B55B1E"/>
    <w:rsid w:val="00B55BA9"/>
    <w:rsid w:val="00B55D3E"/>
    <w:rsid w:val="00B55D86"/>
    <w:rsid w:val="00B55F87"/>
    <w:rsid w:val="00B56244"/>
    <w:rsid w:val="00B563A1"/>
    <w:rsid w:val="00B5648B"/>
    <w:rsid w:val="00B564A8"/>
    <w:rsid w:val="00B566BD"/>
    <w:rsid w:val="00B5671A"/>
    <w:rsid w:val="00B56A38"/>
    <w:rsid w:val="00B56C6E"/>
    <w:rsid w:val="00B56E13"/>
    <w:rsid w:val="00B56F38"/>
    <w:rsid w:val="00B5711C"/>
    <w:rsid w:val="00B57333"/>
    <w:rsid w:val="00B5740D"/>
    <w:rsid w:val="00B57470"/>
    <w:rsid w:val="00B57642"/>
    <w:rsid w:val="00B5783B"/>
    <w:rsid w:val="00B5791A"/>
    <w:rsid w:val="00B57921"/>
    <w:rsid w:val="00B57938"/>
    <w:rsid w:val="00B57A17"/>
    <w:rsid w:val="00B57B8D"/>
    <w:rsid w:val="00B57CAA"/>
    <w:rsid w:val="00B57E43"/>
    <w:rsid w:val="00B57F69"/>
    <w:rsid w:val="00B600DD"/>
    <w:rsid w:val="00B60122"/>
    <w:rsid w:val="00B6023B"/>
    <w:rsid w:val="00B6034F"/>
    <w:rsid w:val="00B606E8"/>
    <w:rsid w:val="00B60BF9"/>
    <w:rsid w:val="00B60DF4"/>
    <w:rsid w:val="00B60EC1"/>
    <w:rsid w:val="00B60ED5"/>
    <w:rsid w:val="00B60FC6"/>
    <w:rsid w:val="00B610F4"/>
    <w:rsid w:val="00B611BA"/>
    <w:rsid w:val="00B61333"/>
    <w:rsid w:val="00B6141E"/>
    <w:rsid w:val="00B61619"/>
    <w:rsid w:val="00B616F8"/>
    <w:rsid w:val="00B619C0"/>
    <w:rsid w:val="00B619F4"/>
    <w:rsid w:val="00B61A01"/>
    <w:rsid w:val="00B61F4E"/>
    <w:rsid w:val="00B6214A"/>
    <w:rsid w:val="00B62298"/>
    <w:rsid w:val="00B62412"/>
    <w:rsid w:val="00B62590"/>
    <w:rsid w:val="00B626C0"/>
    <w:rsid w:val="00B62700"/>
    <w:rsid w:val="00B627BB"/>
    <w:rsid w:val="00B62C09"/>
    <w:rsid w:val="00B62E49"/>
    <w:rsid w:val="00B62F20"/>
    <w:rsid w:val="00B62F63"/>
    <w:rsid w:val="00B6327D"/>
    <w:rsid w:val="00B632FF"/>
    <w:rsid w:val="00B63727"/>
    <w:rsid w:val="00B63883"/>
    <w:rsid w:val="00B6390D"/>
    <w:rsid w:val="00B6393A"/>
    <w:rsid w:val="00B63970"/>
    <w:rsid w:val="00B63A74"/>
    <w:rsid w:val="00B63B5B"/>
    <w:rsid w:val="00B63D24"/>
    <w:rsid w:val="00B63DBA"/>
    <w:rsid w:val="00B63E0A"/>
    <w:rsid w:val="00B63F02"/>
    <w:rsid w:val="00B63F55"/>
    <w:rsid w:val="00B63F9B"/>
    <w:rsid w:val="00B641C4"/>
    <w:rsid w:val="00B642C6"/>
    <w:rsid w:val="00B64423"/>
    <w:rsid w:val="00B644FE"/>
    <w:rsid w:val="00B646A9"/>
    <w:rsid w:val="00B64989"/>
    <w:rsid w:val="00B64AA0"/>
    <w:rsid w:val="00B64C7F"/>
    <w:rsid w:val="00B6507A"/>
    <w:rsid w:val="00B651B5"/>
    <w:rsid w:val="00B65345"/>
    <w:rsid w:val="00B65372"/>
    <w:rsid w:val="00B654B5"/>
    <w:rsid w:val="00B65889"/>
    <w:rsid w:val="00B65AAB"/>
    <w:rsid w:val="00B65AF3"/>
    <w:rsid w:val="00B65E04"/>
    <w:rsid w:val="00B65E78"/>
    <w:rsid w:val="00B6632C"/>
    <w:rsid w:val="00B6634B"/>
    <w:rsid w:val="00B66381"/>
    <w:rsid w:val="00B663F1"/>
    <w:rsid w:val="00B664A4"/>
    <w:rsid w:val="00B665D2"/>
    <w:rsid w:val="00B66642"/>
    <w:rsid w:val="00B6684C"/>
    <w:rsid w:val="00B66B44"/>
    <w:rsid w:val="00B66C5E"/>
    <w:rsid w:val="00B66F1A"/>
    <w:rsid w:val="00B66FEE"/>
    <w:rsid w:val="00B67097"/>
    <w:rsid w:val="00B670BA"/>
    <w:rsid w:val="00B67271"/>
    <w:rsid w:val="00B6729F"/>
    <w:rsid w:val="00B6738A"/>
    <w:rsid w:val="00B676E1"/>
    <w:rsid w:val="00B679EF"/>
    <w:rsid w:val="00B67BF9"/>
    <w:rsid w:val="00B67DDE"/>
    <w:rsid w:val="00B67E41"/>
    <w:rsid w:val="00B67E86"/>
    <w:rsid w:val="00B7006C"/>
    <w:rsid w:val="00B7013B"/>
    <w:rsid w:val="00B701F6"/>
    <w:rsid w:val="00B70279"/>
    <w:rsid w:val="00B706E1"/>
    <w:rsid w:val="00B706E2"/>
    <w:rsid w:val="00B70825"/>
    <w:rsid w:val="00B70A8C"/>
    <w:rsid w:val="00B70AD8"/>
    <w:rsid w:val="00B70D18"/>
    <w:rsid w:val="00B70D53"/>
    <w:rsid w:val="00B7167C"/>
    <w:rsid w:val="00B716D9"/>
    <w:rsid w:val="00B717B2"/>
    <w:rsid w:val="00B71BC2"/>
    <w:rsid w:val="00B71D6A"/>
    <w:rsid w:val="00B71DD0"/>
    <w:rsid w:val="00B71E90"/>
    <w:rsid w:val="00B71FA4"/>
    <w:rsid w:val="00B720D4"/>
    <w:rsid w:val="00B721B4"/>
    <w:rsid w:val="00B7222D"/>
    <w:rsid w:val="00B72561"/>
    <w:rsid w:val="00B72575"/>
    <w:rsid w:val="00B7267A"/>
    <w:rsid w:val="00B72988"/>
    <w:rsid w:val="00B72D7E"/>
    <w:rsid w:val="00B72F0A"/>
    <w:rsid w:val="00B730C2"/>
    <w:rsid w:val="00B73167"/>
    <w:rsid w:val="00B73488"/>
    <w:rsid w:val="00B735E1"/>
    <w:rsid w:val="00B7361F"/>
    <w:rsid w:val="00B73776"/>
    <w:rsid w:val="00B73788"/>
    <w:rsid w:val="00B737CA"/>
    <w:rsid w:val="00B73860"/>
    <w:rsid w:val="00B73919"/>
    <w:rsid w:val="00B73B1C"/>
    <w:rsid w:val="00B73C35"/>
    <w:rsid w:val="00B74055"/>
    <w:rsid w:val="00B742DF"/>
    <w:rsid w:val="00B744AA"/>
    <w:rsid w:val="00B74742"/>
    <w:rsid w:val="00B747F1"/>
    <w:rsid w:val="00B74834"/>
    <w:rsid w:val="00B748B8"/>
    <w:rsid w:val="00B74BA0"/>
    <w:rsid w:val="00B74DF0"/>
    <w:rsid w:val="00B74E9A"/>
    <w:rsid w:val="00B74F5D"/>
    <w:rsid w:val="00B7510D"/>
    <w:rsid w:val="00B75136"/>
    <w:rsid w:val="00B75470"/>
    <w:rsid w:val="00B754A4"/>
    <w:rsid w:val="00B755ED"/>
    <w:rsid w:val="00B75608"/>
    <w:rsid w:val="00B75682"/>
    <w:rsid w:val="00B756E9"/>
    <w:rsid w:val="00B757F1"/>
    <w:rsid w:val="00B7594A"/>
    <w:rsid w:val="00B759AA"/>
    <w:rsid w:val="00B75B4F"/>
    <w:rsid w:val="00B75DB8"/>
    <w:rsid w:val="00B76073"/>
    <w:rsid w:val="00B760B4"/>
    <w:rsid w:val="00B761B9"/>
    <w:rsid w:val="00B761EF"/>
    <w:rsid w:val="00B76240"/>
    <w:rsid w:val="00B76292"/>
    <w:rsid w:val="00B768C2"/>
    <w:rsid w:val="00B76BDD"/>
    <w:rsid w:val="00B76C7B"/>
    <w:rsid w:val="00B76D3B"/>
    <w:rsid w:val="00B76D9B"/>
    <w:rsid w:val="00B76DBB"/>
    <w:rsid w:val="00B76EFE"/>
    <w:rsid w:val="00B771DC"/>
    <w:rsid w:val="00B773A5"/>
    <w:rsid w:val="00B775FE"/>
    <w:rsid w:val="00B77A40"/>
    <w:rsid w:val="00B77A6B"/>
    <w:rsid w:val="00B77B1C"/>
    <w:rsid w:val="00B77B49"/>
    <w:rsid w:val="00B77BBF"/>
    <w:rsid w:val="00B77D2C"/>
    <w:rsid w:val="00B77F1D"/>
    <w:rsid w:val="00B77F57"/>
    <w:rsid w:val="00B77F98"/>
    <w:rsid w:val="00B806C2"/>
    <w:rsid w:val="00B80772"/>
    <w:rsid w:val="00B8098C"/>
    <w:rsid w:val="00B80A6B"/>
    <w:rsid w:val="00B80B50"/>
    <w:rsid w:val="00B80BFC"/>
    <w:rsid w:val="00B80C4E"/>
    <w:rsid w:val="00B80C85"/>
    <w:rsid w:val="00B812BB"/>
    <w:rsid w:val="00B81389"/>
    <w:rsid w:val="00B81820"/>
    <w:rsid w:val="00B818B6"/>
    <w:rsid w:val="00B81AA6"/>
    <w:rsid w:val="00B81C45"/>
    <w:rsid w:val="00B81C48"/>
    <w:rsid w:val="00B81F24"/>
    <w:rsid w:val="00B823A7"/>
    <w:rsid w:val="00B82567"/>
    <w:rsid w:val="00B82627"/>
    <w:rsid w:val="00B82947"/>
    <w:rsid w:val="00B829A2"/>
    <w:rsid w:val="00B829F6"/>
    <w:rsid w:val="00B82B87"/>
    <w:rsid w:val="00B82D02"/>
    <w:rsid w:val="00B8303C"/>
    <w:rsid w:val="00B83298"/>
    <w:rsid w:val="00B83403"/>
    <w:rsid w:val="00B83409"/>
    <w:rsid w:val="00B8358F"/>
    <w:rsid w:val="00B8363C"/>
    <w:rsid w:val="00B83A4B"/>
    <w:rsid w:val="00B83ACA"/>
    <w:rsid w:val="00B83D1D"/>
    <w:rsid w:val="00B84066"/>
    <w:rsid w:val="00B8410E"/>
    <w:rsid w:val="00B84331"/>
    <w:rsid w:val="00B8435D"/>
    <w:rsid w:val="00B84375"/>
    <w:rsid w:val="00B8453C"/>
    <w:rsid w:val="00B84913"/>
    <w:rsid w:val="00B84A8E"/>
    <w:rsid w:val="00B84AB1"/>
    <w:rsid w:val="00B84B30"/>
    <w:rsid w:val="00B84B6C"/>
    <w:rsid w:val="00B84B99"/>
    <w:rsid w:val="00B84C2D"/>
    <w:rsid w:val="00B84CD7"/>
    <w:rsid w:val="00B84DB6"/>
    <w:rsid w:val="00B84EED"/>
    <w:rsid w:val="00B84F29"/>
    <w:rsid w:val="00B8501A"/>
    <w:rsid w:val="00B8506D"/>
    <w:rsid w:val="00B85271"/>
    <w:rsid w:val="00B8528E"/>
    <w:rsid w:val="00B85641"/>
    <w:rsid w:val="00B85648"/>
    <w:rsid w:val="00B8578C"/>
    <w:rsid w:val="00B857D1"/>
    <w:rsid w:val="00B85AC7"/>
    <w:rsid w:val="00B85FED"/>
    <w:rsid w:val="00B8624B"/>
    <w:rsid w:val="00B86257"/>
    <w:rsid w:val="00B86263"/>
    <w:rsid w:val="00B86441"/>
    <w:rsid w:val="00B8649D"/>
    <w:rsid w:val="00B86804"/>
    <w:rsid w:val="00B8693B"/>
    <w:rsid w:val="00B86978"/>
    <w:rsid w:val="00B86AF9"/>
    <w:rsid w:val="00B86CC2"/>
    <w:rsid w:val="00B8716C"/>
    <w:rsid w:val="00B871B6"/>
    <w:rsid w:val="00B871F0"/>
    <w:rsid w:val="00B87403"/>
    <w:rsid w:val="00B8751C"/>
    <w:rsid w:val="00B87520"/>
    <w:rsid w:val="00B87802"/>
    <w:rsid w:val="00B878BC"/>
    <w:rsid w:val="00B87951"/>
    <w:rsid w:val="00B879CE"/>
    <w:rsid w:val="00B87BBB"/>
    <w:rsid w:val="00B87BCE"/>
    <w:rsid w:val="00B87C92"/>
    <w:rsid w:val="00B87F47"/>
    <w:rsid w:val="00B87F8C"/>
    <w:rsid w:val="00B90010"/>
    <w:rsid w:val="00B900BF"/>
    <w:rsid w:val="00B90141"/>
    <w:rsid w:val="00B90452"/>
    <w:rsid w:val="00B90782"/>
    <w:rsid w:val="00B908C2"/>
    <w:rsid w:val="00B9097F"/>
    <w:rsid w:val="00B90A0B"/>
    <w:rsid w:val="00B90A91"/>
    <w:rsid w:val="00B90AA7"/>
    <w:rsid w:val="00B90ABC"/>
    <w:rsid w:val="00B90ADF"/>
    <w:rsid w:val="00B90D03"/>
    <w:rsid w:val="00B9137B"/>
    <w:rsid w:val="00B91394"/>
    <w:rsid w:val="00B91453"/>
    <w:rsid w:val="00B91A26"/>
    <w:rsid w:val="00B91A67"/>
    <w:rsid w:val="00B91BE0"/>
    <w:rsid w:val="00B91CC1"/>
    <w:rsid w:val="00B91FAE"/>
    <w:rsid w:val="00B92013"/>
    <w:rsid w:val="00B92050"/>
    <w:rsid w:val="00B92106"/>
    <w:rsid w:val="00B922BD"/>
    <w:rsid w:val="00B9230F"/>
    <w:rsid w:val="00B92368"/>
    <w:rsid w:val="00B923CA"/>
    <w:rsid w:val="00B925CD"/>
    <w:rsid w:val="00B92809"/>
    <w:rsid w:val="00B92825"/>
    <w:rsid w:val="00B928D1"/>
    <w:rsid w:val="00B92B39"/>
    <w:rsid w:val="00B92D03"/>
    <w:rsid w:val="00B92D29"/>
    <w:rsid w:val="00B92FEC"/>
    <w:rsid w:val="00B93028"/>
    <w:rsid w:val="00B930E3"/>
    <w:rsid w:val="00B9324B"/>
    <w:rsid w:val="00B932D8"/>
    <w:rsid w:val="00B93311"/>
    <w:rsid w:val="00B9360C"/>
    <w:rsid w:val="00B93798"/>
    <w:rsid w:val="00B937BA"/>
    <w:rsid w:val="00B93809"/>
    <w:rsid w:val="00B938DC"/>
    <w:rsid w:val="00B93967"/>
    <w:rsid w:val="00B93A2F"/>
    <w:rsid w:val="00B93A44"/>
    <w:rsid w:val="00B93AD3"/>
    <w:rsid w:val="00B93D5F"/>
    <w:rsid w:val="00B940D0"/>
    <w:rsid w:val="00B94192"/>
    <w:rsid w:val="00B94196"/>
    <w:rsid w:val="00B941ED"/>
    <w:rsid w:val="00B9420C"/>
    <w:rsid w:val="00B94335"/>
    <w:rsid w:val="00B9445D"/>
    <w:rsid w:val="00B944A0"/>
    <w:rsid w:val="00B94569"/>
    <w:rsid w:val="00B94879"/>
    <w:rsid w:val="00B94887"/>
    <w:rsid w:val="00B948CA"/>
    <w:rsid w:val="00B94C02"/>
    <w:rsid w:val="00B94C59"/>
    <w:rsid w:val="00B94C8C"/>
    <w:rsid w:val="00B94D18"/>
    <w:rsid w:val="00B94D92"/>
    <w:rsid w:val="00B94D96"/>
    <w:rsid w:val="00B95273"/>
    <w:rsid w:val="00B9572C"/>
    <w:rsid w:val="00B95747"/>
    <w:rsid w:val="00B957B9"/>
    <w:rsid w:val="00B95836"/>
    <w:rsid w:val="00B9588F"/>
    <w:rsid w:val="00B959A1"/>
    <w:rsid w:val="00B95ACC"/>
    <w:rsid w:val="00B95AD0"/>
    <w:rsid w:val="00B95AFD"/>
    <w:rsid w:val="00B95C48"/>
    <w:rsid w:val="00B95CA0"/>
    <w:rsid w:val="00B95D55"/>
    <w:rsid w:val="00B95FBC"/>
    <w:rsid w:val="00B96153"/>
    <w:rsid w:val="00B962CD"/>
    <w:rsid w:val="00B962FB"/>
    <w:rsid w:val="00B96543"/>
    <w:rsid w:val="00B9655A"/>
    <w:rsid w:val="00B9676E"/>
    <w:rsid w:val="00B96777"/>
    <w:rsid w:val="00B9682B"/>
    <w:rsid w:val="00B96A15"/>
    <w:rsid w:val="00B96B10"/>
    <w:rsid w:val="00B96C6E"/>
    <w:rsid w:val="00B96CDE"/>
    <w:rsid w:val="00B96D4C"/>
    <w:rsid w:val="00B96E12"/>
    <w:rsid w:val="00B97572"/>
    <w:rsid w:val="00B977A2"/>
    <w:rsid w:val="00B97941"/>
    <w:rsid w:val="00B97943"/>
    <w:rsid w:val="00B9798D"/>
    <w:rsid w:val="00B979EE"/>
    <w:rsid w:val="00B97A8A"/>
    <w:rsid w:val="00B97ACA"/>
    <w:rsid w:val="00B97AD7"/>
    <w:rsid w:val="00B97AEE"/>
    <w:rsid w:val="00B97BBC"/>
    <w:rsid w:val="00BA0002"/>
    <w:rsid w:val="00BA0033"/>
    <w:rsid w:val="00BA012A"/>
    <w:rsid w:val="00BA0152"/>
    <w:rsid w:val="00BA0485"/>
    <w:rsid w:val="00BA084F"/>
    <w:rsid w:val="00BA0965"/>
    <w:rsid w:val="00BA09E1"/>
    <w:rsid w:val="00BA0A99"/>
    <w:rsid w:val="00BA0B59"/>
    <w:rsid w:val="00BA0D13"/>
    <w:rsid w:val="00BA0D42"/>
    <w:rsid w:val="00BA0DFE"/>
    <w:rsid w:val="00BA0EA1"/>
    <w:rsid w:val="00BA0FC7"/>
    <w:rsid w:val="00BA10C5"/>
    <w:rsid w:val="00BA12A2"/>
    <w:rsid w:val="00BA1455"/>
    <w:rsid w:val="00BA168B"/>
    <w:rsid w:val="00BA17DE"/>
    <w:rsid w:val="00BA1810"/>
    <w:rsid w:val="00BA1895"/>
    <w:rsid w:val="00BA18C8"/>
    <w:rsid w:val="00BA1BC3"/>
    <w:rsid w:val="00BA1DA3"/>
    <w:rsid w:val="00BA1DF5"/>
    <w:rsid w:val="00BA202F"/>
    <w:rsid w:val="00BA2053"/>
    <w:rsid w:val="00BA206E"/>
    <w:rsid w:val="00BA230D"/>
    <w:rsid w:val="00BA23CC"/>
    <w:rsid w:val="00BA2430"/>
    <w:rsid w:val="00BA24E0"/>
    <w:rsid w:val="00BA24EC"/>
    <w:rsid w:val="00BA2552"/>
    <w:rsid w:val="00BA27AC"/>
    <w:rsid w:val="00BA2837"/>
    <w:rsid w:val="00BA2939"/>
    <w:rsid w:val="00BA2952"/>
    <w:rsid w:val="00BA2BCE"/>
    <w:rsid w:val="00BA2C95"/>
    <w:rsid w:val="00BA2F00"/>
    <w:rsid w:val="00BA2F9B"/>
    <w:rsid w:val="00BA303A"/>
    <w:rsid w:val="00BA305C"/>
    <w:rsid w:val="00BA32B2"/>
    <w:rsid w:val="00BA3359"/>
    <w:rsid w:val="00BA340B"/>
    <w:rsid w:val="00BA35C7"/>
    <w:rsid w:val="00BA3717"/>
    <w:rsid w:val="00BA386D"/>
    <w:rsid w:val="00BA38F6"/>
    <w:rsid w:val="00BA3D5D"/>
    <w:rsid w:val="00BA3D8F"/>
    <w:rsid w:val="00BA3DA3"/>
    <w:rsid w:val="00BA3DB4"/>
    <w:rsid w:val="00BA3F91"/>
    <w:rsid w:val="00BA3FAD"/>
    <w:rsid w:val="00BA409B"/>
    <w:rsid w:val="00BA40EA"/>
    <w:rsid w:val="00BA41B2"/>
    <w:rsid w:val="00BA45AD"/>
    <w:rsid w:val="00BA46EE"/>
    <w:rsid w:val="00BA476D"/>
    <w:rsid w:val="00BA4C59"/>
    <w:rsid w:val="00BA4C9E"/>
    <w:rsid w:val="00BA4E4A"/>
    <w:rsid w:val="00BA4EC4"/>
    <w:rsid w:val="00BA509B"/>
    <w:rsid w:val="00BA52DD"/>
    <w:rsid w:val="00BA5305"/>
    <w:rsid w:val="00BA55A6"/>
    <w:rsid w:val="00BA564C"/>
    <w:rsid w:val="00BA56C3"/>
    <w:rsid w:val="00BA596D"/>
    <w:rsid w:val="00BA5B6A"/>
    <w:rsid w:val="00BA5BD5"/>
    <w:rsid w:val="00BA5C9F"/>
    <w:rsid w:val="00BA5E33"/>
    <w:rsid w:val="00BA60C8"/>
    <w:rsid w:val="00BA60F3"/>
    <w:rsid w:val="00BA6255"/>
    <w:rsid w:val="00BA63C1"/>
    <w:rsid w:val="00BA640D"/>
    <w:rsid w:val="00BA64AA"/>
    <w:rsid w:val="00BA6546"/>
    <w:rsid w:val="00BA659D"/>
    <w:rsid w:val="00BA65E5"/>
    <w:rsid w:val="00BA685A"/>
    <w:rsid w:val="00BA68D1"/>
    <w:rsid w:val="00BA6C2D"/>
    <w:rsid w:val="00BA6CEE"/>
    <w:rsid w:val="00BA70B4"/>
    <w:rsid w:val="00BA7285"/>
    <w:rsid w:val="00BA73D5"/>
    <w:rsid w:val="00BA7406"/>
    <w:rsid w:val="00BA75E4"/>
    <w:rsid w:val="00BA75FC"/>
    <w:rsid w:val="00BA7903"/>
    <w:rsid w:val="00BA79A3"/>
    <w:rsid w:val="00BA79CD"/>
    <w:rsid w:val="00BA7A62"/>
    <w:rsid w:val="00BA7C5A"/>
    <w:rsid w:val="00BA7D37"/>
    <w:rsid w:val="00BA7DA7"/>
    <w:rsid w:val="00BA7DB3"/>
    <w:rsid w:val="00BB0116"/>
    <w:rsid w:val="00BB0386"/>
    <w:rsid w:val="00BB054E"/>
    <w:rsid w:val="00BB0722"/>
    <w:rsid w:val="00BB09DF"/>
    <w:rsid w:val="00BB0B08"/>
    <w:rsid w:val="00BB0C49"/>
    <w:rsid w:val="00BB0D58"/>
    <w:rsid w:val="00BB0E99"/>
    <w:rsid w:val="00BB0F75"/>
    <w:rsid w:val="00BB10A8"/>
    <w:rsid w:val="00BB10F5"/>
    <w:rsid w:val="00BB128A"/>
    <w:rsid w:val="00BB13D3"/>
    <w:rsid w:val="00BB1485"/>
    <w:rsid w:val="00BB15EE"/>
    <w:rsid w:val="00BB16B3"/>
    <w:rsid w:val="00BB19BA"/>
    <w:rsid w:val="00BB1B43"/>
    <w:rsid w:val="00BB1B4C"/>
    <w:rsid w:val="00BB1E1C"/>
    <w:rsid w:val="00BB1E5B"/>
    <w:rsid w:val="00BB1EBC"/>
    <w:rsid w:val="00BB1F1D"/>
    <w:rsid w:val="00BB2028"/>
    <w:rsid w:val="00BB210A"/>
    <w:rsid w:val="00BB23D3"/>
    <w:rsid w:val="00BB2A84"/>
    <w:rsid w:val="00BB2ACB"/>
    <w:rsid w:val="00BB2B29"/>
    <w:rsid w:val="00BB2BB9"/>
    <w:rsid w:val="00BB2BBC"/>
    <w:rsid w:val="00BB2C23"/>
    <w:rsid w:val="00BB318A"/>
    <w:rsid w:val="00BB31F0"/>
    <w:rsid w:val="00BB33C0"/>
    <w:rsid w:val="00BB36E3"/>
    <w:rsid w:val="00BB37D9"/>
    <w:rsid w:val="00BB38CF"/>
    <w:rsid w:val="00BB3C87"/>
    <w:rsid w:val="00BB3E2A"/>
    <w:rsid w:val="00BB3FC5"/>
    <w:rsid w:val="00BB4028"/>
    <w:rsid w:val="00BB4226"/>
    <w:rsid w:val="00BB4456"/>
    <w:rsid w:val="00BB45D3"/>
    <w:rsid w:val="00BB4627"/>
    <w:rsid w:val="00BB48D2"/>
    <w:rsid w:val="00BB48F3"/>
    <w:rsid w:val="00BB4923"/>
    <w:rsid w:val="00BB4A61"/>
    <w:rsid w:val="00BB4BCA"/>
    <w:rsid w:val="00BB4C11"/>
    <w:rsid w:val="00BB4D0B"/>
    <w:rsid w:val="00BB4EF5"/>
    <w:rsid w:val="00BB4F7A"/>
    <w:rsid w:val="00BB513F"/>
    <w:rsid w:val="00BB53A8"/>
    <w:rsid w:val="00BB54A8"/>
    <w:rsid w:val="00BB551D"/>
    <w:rsid w:val="00BB56FC"/>
    <w:rsid w:val="00BB5940"/>
    <w:rsid w:val="00BB5D8E"/>
    <w:rsid w:val="00BB5FE9"/>
    <w:rsid w:val="00BB60A2"/>
    <w:rsid w:val="00BB6281"/>
    <w:rsid w:val="00BB639A"/>
    <w:rsid w:val="00BB64D6"/>
    <w:rsid w:val="00BB6545"/>
    <w:rsid w:val="00BB65DC"/>
    <w:rsid w:val="00BB6629"/>
    <w:rsid w:val="00BB6869"/>
    <w:rsid w:val="00BB68DB"/>
    <w:rsid w:val="00BB69D3"/>
    <w:rsid w:val="00BB6A25"/>
    <w:rsid w:val="00BB6B54"/>
    <w:rsid w:val="00BB6C3E"/>
    <w:rsid w:val="00BB6DA4"/>
    <w:rsid w:val="00BB6DE6"/>
    <w:rsid w:val="00BB6FAB"/>
    <w:rsid w:val="00BB702E"/>
    <w:rsid w:val="00BB7212"/>
    <w:rsid w:val="00BB72C6"/>
    <w:rsid w:val="00BB7751"/>
    <w:rsid w:val="00BB7A8E"/>
    <w:rsid w:val="00BB7B9C"/>
    <w:rsid w:val="00BB7BC5"/>
    <w:rsid w:val="00BB7CF6"/>
    <w:rsid w:val="00BC0104"/>
    <w:rsid w:val="00BC01D5"/>
    <w:rsid w:val="00BC055B"/>
    <w:rsid w:val="00BC0753"/>
    <w:rsid w:val="00BC0961"/>
    <w:rsid w:val="00BC09FB"/>
    <w:rsid w:val="00BC0A06"/>
    <w:rsid w:val="00BC0A19"/>
    <w:rsid w:val="00BC0A2C"/>
    <w:rsid w:val="00BC0A61"/>
    <w:rsid w:val="00BC0A83"/>
    <w:rsid w:val="00BC0B45"/>
    <w:rsid w:val="00BC0E41"/>
    <w:rsid w:val="00BC0E5D"/>
    <w:rsid w:val="00BC0FEC"/>
    <w:rsid w:val="00BC1163"/>
    <w:rsid w:val="00BC15D7"/>
    <w:rsid w:val="00BC1788"/>
    <w:rsid w:val="00BC1951"/>
    <w:rsid w:val="00BC1E27"/>
    <w:rsid w:val="00BC1E45"/>
    <w:rsid w:val="00BC2087"/>
    <w:rsid w:val="00BC2098"/>
    <w:rsid w:val="00BC20C8"/>
    <w:rsid w:val="00BC226F"/>
    <w:rsid w:val="00BC2368"/>
    <w:rsid w:val="00BC249A"/>
    <w:rsid w:val="00BC24D8"/>
    <w:rsid w:val="00BC24FB"/>
    <w:rsid w:val="00BC25C3"/>
    <w:rsid w:val="00BC2605"/>
    <w:rsid w:val="00BC2790"/>
    <w:rsid w:val="00BC27AF"/>
    <w:rsid w:val="00BC28D1"/>
    <w:rsid w:val="00BC299B"/>
    <w:rsid w:val="00BC2B3B"/>
    <w:rsid w:val="00BC2B7D"/>
    <w:rsid w:val="00BC2EFC"/>
    <w:rsid w:val="00BC31AA"/>
    <w:rsid w:val="00BC3232"/>
    <w:rsid w:val="00BC3281"/>
    <w:rsid w:val="00BC36A7"/>
    <w:rsid w:val="00BC36DC"/>
    <w:rsid w:val="00BC38DF"/>
    <w:rsid w:val="00BC38E4"/>
    <w:rsid w:val="00BC39FC"/>
    <w:rsid w:val="00BC3A0C"/>
    <w:rsid w:val="00BC3A6A"/>
    <w:rsid w:val="00BC3FFD"/>
    <w:rsid w:val="00BC4008"/>
    <w:rsid w:val="00BC4198"/>
    <w:rsid w:val="00BC4328"/>
    <w:rsid w:val="00BC43D2"/>
    <w:rsid w:val="00BC4579"/>
    <w:rsid w:val="00BC463D"/>
    <w:rsid w:val="00BC4661"/>
    <w:rsid w:val="00BC47A1"/>
    <w:rsid w:val="00BC47AE"/>
    <w:rsid w:val="00BC49A4"/>
    <w:rsid w:val="00BC49B1"/>
    <w:rsid w:val="00BC4ACA"/>
    <w:rsid w:val="00BC4C29"/>
    <w:rsid w:val="00BC4CCE"/>
    <w:rsid w:val="00BC4DAF"/>
    <w:rsid w:val="00BC4F8B"/>
    <w:rsid w:val="00BC50AB"/>
    <w:rsid w:val="00BC51A4"/>
    <w:rsid w:val="00BC5674"/>
    <w:rsid w:val="00BC5799"/>
    <w:rsid w:val="00BC58B9"/>
    <w:rsid w:val="00BC5AE1"/>
    <w:rsid w:val="00BC5EDA"/>
    <w:rsid w:val="00BC5F89"/>
    <w:rsid w:val="00BC5F9A"/>
    <w:rsid w:val="00BC611E"/>
    <w:rsid w:val="00BC6254"/>
    <w:rsid w:val="00BC65C6"/>
    <w:rsid w:val="00BC661C"/>
    <w:rsid w:val="00BC6956"/>
    <w:rsid w:val="00BC695E"/>
    <w:rsid w:val="00BC6D54"/>
    <w:rsid w:val="00BC6E8B"/>
    <w:rsid w:val="00BC6EBC"/>
    <w:rsid w:val="00BC6EE0"/>
    <w:rsid w:val="00BC6F0F"/>
    <w:rsid w:val="00BC6FAA"/>
    <w:rsid w:val="00BC722D"/>
    <w:rsid w:val="00BC72DD"/>
    <w:rsid w:val="00BC7339"/>
    <w:rsid w:val="00BC7606"/>
    <w:rsid w:val="00BC79D1"/>
    <w:rsid w:val="00BC7A0C"/>
    <w:rsid w:val="00BC7A26"/>
    <w:rsid w:val="00BC7D11"/>
    <w:rsid w:val="00BC7D4F"/>
    <w:rsid w:val="00BC7D96"/>
    <w:rsid w:val="00BD0117"/>
    <w:rsid w:val="00BD01BF"/>
    <w:rsid w:val="00BD09B4"/>
    <w:rsid w:val="00BD0A35"/>
    <w:rsid w:val="00BD0B1B"/>
    <w:rsid w:val="00BD0B25"/>
    <w:rsid w:val="00BD0BB6"/>
    <w:rsid w:val="00BD0EA5"/>
    <w:rsid w:val="00BD0EB8"/>
    <w:rsid w:val="00BD11D4"/>
    <w:rsid w:val="00BD126D"/>
    <w:rsid w:val="00BD12C8"/>
    <w:rsid w:val="00BD1349"/>
    <w:rsid w:val="00BD13E7"/>
    <w:rsid w:val="00BD1464"/>
    <w:rsid w:val="00BD165F"/>
    <w:rsid w:val="00BD1940"/>
    <w:rsid w:val="00BD1981"/>
    <w:rsid w:val="00BD1BDE"/>
    <w:rsid w:val="00BD1BE0"/>
    <w:rsid w:val="00BD1BF9"/>
    <w:rsid w:val="00BD1E14"/>
    <w:rsid w:val="00BD1FE8"/>
    <w:rsid w:val="00BD21B0"/>
    <w:rsid w:val="00BD21E6"/>
    <w:rsid w:val="00BD223B"/>
    <w:rsid w:val="00BD2273"/>
    <w:rsid w:val="00BD23B3"/>
    <w:rsid w:val="00BD2611"/>
    <w:rsid w:val="00BD2763"/>
    <w:rsid w:val="00BD279C"/>
    <w:rsid w:val="00BD27A2"/>
    <w:rsid w:val="00BD27AD"/>
    <w:rsid w:val="00BD2853"/>
    <w:rsid w:val="00BD2CAB"/>
    <w:rsid w:val="00BD2D47"/>
    <w:rsid w:val="00BD2F79"/>
    <w:rsid w:val="00BD2FB3"/>
    <w:rsid w:val="00BD3142"/>
    <w:rsid w:val="00BD322B"/>
    <w:rsid w:val="00BD3737"/>
    <w:rsid w:val="00BD39FD"/>
    <w:rsid w:val="00BD3A7A"/>
    <w:rsid w:val="00BD3B2A"/>
    <w:rsid w:val="00BD3B6F"/>
    <w:rsid w:val="00BD3B9C"/>
    <w:rsid w:val="00BD3C9C"/>
    <w:rsid w:val="00BD3D24"/>
    <w:rsid w:val="00BD43D5"/>
    <w:rsid w:val="00BD4428"/>
    <w:rsid w:val="00BD44CA"/>
    <w:rsid w:val="00BD469D"/>
    <w:rsid w:val="00BD49FD"/>
    <w:rsid w:val="00BD4A2C"/>
    <w:rsid w:val="00BD4A85"/>
    <w:rsid w:val="00BD4B1A"/>
    <w:rsid w:val="00BD4E36"/>
    <w:rsid w:val="00BD4F96"/>
    <w:rsid w:val="00BD52CA"/>
    <w:rsid w:val="00BD537A"/>
    <w:rsid w:val="00BD54C8"/>
    <w:rsid w:val="00BD54F8"/>
    <w:rsid w:val="00BD59FB"/>
    <w:rsid w:val="00BD5C44"/>
    <w:rsid w:val="00BD5C5C"/>
    <w:rsid w:val="00BD601D"/>
    <w:rsid w:val="00BD62E0"/>
    <w:rsid w:val="00BD640F"/>
    <w:rsid w:val="00BD6551"/>
    <w:rsid w:val="00BD655D"/>
    <w:rsid w:val="00BD67FF"/>
    <w:rsid w:val="00BD68BF"/>
    <w:rsid w:val="00BD6A1D"/>
    <w:rsid w:val="00BD6A77"/>
    <w:rsid w:val="00BD6C77"/>
    <w:rsid w:val="00BD6C86"/>
    <w:rsid w:val="00BD6EEE"/>
    <w:rsid w:val="00BD706B"/>
    <w:rsid w:val="00BD73D4"/>
    <w:rsid w:val="00BD7645"/>
    <w:rsid w:val="00BD78F7"/>
    <w:rsid w:val="00BD7B2F"/>
    <w:rsid w:val="00BD7B3E"/>
    <w:rsid w:val="00BD7C26"/>
    <w:rsid w:val="00BD7CD7"/>
    <w:rsid w:val="00BD7DD8"/>
    <w:rsid w:val="00BE0666"/>
    <w:rsid w:val="00BE0801"/>
    <w:rsid w:val="00BE0854"/>
    <w:rsid w:val="00BE09EC"/>
    <w:rsid w:val="00BE0C60"/>
    <w:rsid w:val="00BE0CA9"/>
    <w:rsid w:val="00BE0E46"/>
    <w:rsid w:val="00BE105B"/>
    <w:rsid w:val="00BE1110"/>
    <w:rsid w:val="00BE1255"/>
    <w:rsid w:val="00BE1491"/>
    <w:rsid w:val="00BE14ED"/>
    <w:rsid w:val="00BE1650"/>
    <w:rsid w:val="00BE1810"/>
    <w:rsid w:val="00BE198C"/>
    <w:rsid w:val="00BE1A8F"/>
    <w:rsid w:val="00BE1B5B"/>
    <w:rsid w:val="00BE1B9E"/>
    <w:rsid w:val="00BE1C13"/>
    <w:rsid w:val="00BE1C3A"/>
    <w:rsid w:val="00BE1FDD"/>
    <w:rsid w:val="00BE206D"/>
    <w:rsid w:val="00BE24E5"/>
    <w:rsid w:val="00BE25C8"/>
    <w:rsid w:val="00BE27F2"/>
    <w:rsid w:val="00BE2855"/>
    <w:rsid w:val="00BE2ACF"/>
    <w:rsid w:val="00BE2AF6"/>
    <w:rsid w:val="00BE2BC3"/>
    <w:rsid w:val="00BE2F0F"/>
    <w:rsid w:val="00BE2FE9"/>
    <w:rsid w:val="00BE336C"/>
    <w:rsid w:val="00BE3409"/>
    <w:rsid w:val="00BE36E0"/>
    <w:rsid w:val="00BE3825"/>
    <w:rsid w:val="00BE39BB"/>
    <w:rsid w:val="00BE3CCE"/>
    <w:rsid w:val="00BE3D43"/>
    <w:rsid w:val="00BE3D5D"/>
    <w:rsid w:val="00BE3E6B"/>
    <w:rsid w:val="00BE3FDF"/>
    <w:rsid w:val="00BE409A"/>
    <w:rsid w:val="00BE43F5"/>
    <w:rsid w:val="00BE4499"/>
    <w:rsid w:val="00BE4768"/>
    <w:rsid w:val="00BE47A5"/>
    <w:rsid w:val="00BE489D"/>
    <w:rsid w:val="00BE48AD"/>
    <w:rsid w:val="00BE491C"/>
    <w:rsid w:val="00BE4A12"/>
    <w:rsid w:val="00BE4D48"/>
    <w:rsid w:val="00BE5133"/>
    <w:rsid w:val="00BE53D2"/>
    <w:rsid w:val="00BE5436"/>
    <w:rsid w:val="00BE5447"/>
    <w:rsid w:val="00BE55AE"/>
    <w:rsid w:val="00BE57D7"/>
    <w:rsid w:val="00BE58A7"/>
    <w:rsid w:val="00BE59A1"/>
    <w:rsid w:val="00BE5A5F"/>
    <w:rsid w:val="00BE5BF7"/>
    <w:rsid w:val="00BE5D2A"/>
    <w:rsid w:val="00BE6000"/>
    <w:rsid w:val="00BE6166"/>
    <w:rsid w:val="00BE619D"/>
    <w:rsid w:val="00BE61B0"/>
    <w:rsid w:val="00BE63A8"/>
    <w:rsid w:val="00BE63AF"/>
    <w:rsid w:val="00BE64F3"/>
    <w:rsid w:val="00BE6BB4"/>
    <w:rsid w:val="00BE6BCF"/>
    <w:rsid w:val="00BE6C86"/>
    <w:rsid w:val="00BE6EC8"/>
    <w:rsid w:val="00BE6FA7"/>
    <w:rsid w:val="00BE712A"/>
    <w:rsid w:val="00BE71AE"/>
    <w:rsid w:val="00BE7238"/>
    <w:rsid w:val="00BE7398"/>
    <w:rsid w:val="00BE7465"/>
    <w:rsid w:val="00BE75BD"/>
    <w:rsid w:val="00BE7686"/>
    <w:rsid w:val="00BE769B"/>
    <w:rsid w:val="00BE77E6"/>
    <w:rsid w:val="00BE7C40"/>
    <w:rsid w:val="00BE7C78"/>
    <w:rsid w:val="00BF00B3"/>
    <w:rsid w:val="00BF01CB"/>
    <w:rsid w:val="00BF02A3"/>
    <w:rsid w:val="00BF075F"/>
    <w:rsid w:val="00BF083B"/>
    <w:rsid w:val="00BF09AA"/>
    <w:rsid w:val="00BF0BA7"/>
    <w:rsid w:val="00BF0BD7"/>
    <w:rsid w:val="00BF0C46"/>
    <w:rsid w:val="00BF0CD1"/>
    <w:rsid w:val="00BF0D5C"/>
    <w:rsid w:val="00BF0D9D"/>
    <w:rsid w:val="00BF0DD1"/>
    <w:rsid w:val="00BF0E85"/>
    <w:rsid w:val="00BF10D7"/>
    <w:rsid w:val="00BF1111"/>
    <w:rsid w:val="00BF15BE"/>
    <w:rsid w:val="00BF1899"/>
    <w:rsid w:val="00BF1980"/>
    <w:rsid w:val="00BF1AF1"/>
    <w:rsid w:val="00BF1CBD"/>
    <w:rsid w:val="00BF1F8E"/>
    <w:rsid w:val="00BF1FD8"/>
    <w:rsid w:val="00BF20E8"/>
    <w:rsid w:val="00BF22CC"/>
    <w:rsid w:val="00BF230E"/>
    <w:rsid w:val="00BF24C6"/>
    <w:rsid w:val="00BF270C"/>
    <w:rsid w:val="00BF2838"/>
    <w:rsid w:val="00BF2A00"/>
    <w:rsid w:val="00BF2C44"/>
    <w:rsid w:val="00BF2D81"/>
    <w:rsid w:val="00BF2DD6"/>
    <w:rsid w:val="00BF2DFF"/>
    <w:rsid w:val="00BF3062"/>
    <w:rsid w:val="00BF30EC"/>
    <w:rsid w:val="00BF3782"/>
    <w:rsid w:val="00BF37A7"/>
    <w:rsid w:val="00BF38CD"/>
    <w:rsid w:val="00BF38DC"/>
    <w:rsid w:val="00BF3B6F"/>
    <w:rsid w:val="00BF3BCA"/>
    <w:rsid w:val="00BF3CC9"/>
    <w:rsid w:val="00BF422C"/>
    <w:rsid w:val="00BF44FD"/>
    <w:rsid w:val="00BF4706"/>
    <w:rsid w:val="00BF4A1A"/>
    <w:rsid w:val="00BF4A70"/>
    <w:rsid w:val="00BF4BAD"/>
    <w:rsid w:val="00BF4DE4"/>
    <w:rsid w:val="00BF4F34"/>
    <w:rsid w:val="00BF504F"/>
    <w:rsid w:val="00BF50F8"/>
    <w:rsid w:val="00BF51A2"/>
    <w:rsid w:val="00BF51BE"/>
    <w:rsid w:val="00BF5288"/>
    <w:rsid w:val="00BF56E0"/>
    <w:rsid w:val="00BF5872"/>
    <w:rsid w:val="00BF5997"/>
    <w:rsid w:val="00BF59CA"/>
    <w:rsid w:val="00BF5A6F"/>
    <w:rsid w:val="00BF5BDD"/>
    <w:rsid w:val="00BF5C35"/>
    <w:rsid w:val="00BF5C67"/>
    <w:rsid w:val="00BF5C7E"/>
    <w:rsid w:val="00BF5CD5"/>
    <w:rsid w:val="00BF5FE1"/>
    <w:rsid w:val="00BF6050"/>
    <w:rsid w:val="00BF610D"/>
    <w:rsid w:val="00BF61C0"/>
    <w:rsid w:val="00BF620B"/>
    <w:rsid w:val="00BF63B6"/>
    <w:rsid w:val="00BF6400"/>
    <w:rsid w:val="00BF648D"/>
    <w:rsid w:val="00BF66EE"/>
    <w:rsid w:val="00BF66F0"/>
    <w:rsid w:val="00BF66FF"/>
    <w:rsid w:val="00BF6877"/>
    <w:rsid w:val="00BF6923"/>
    <w:rsid w:val="00BF6D40"/>
    <w:rsid w:val="00BF6EF3"/>
    <w:rsid w:val="00BF71A3"/>
    <w:rsid w:val="00BF750B"/>
    <w:rsid w:val="00BF75A1"/>
    <w:rsid w:val="00BF7680"/>
    <w:rsid w:val="00BF77AB"/>
    <w:rsid w:val="00BF795E"/>
    <w:rsid w:val="00BF796C"/>
    <w:rsid w:val="00BF7A0D"/>
    <w:rsid w:val="00BF7A2C"/>
    <w:rsid w:val="00BF7A2E"/>
    <w:rsid w:val="00BF7A78"/>
    <w:rsid w:val="00BF7E8C"/>
    <w:rsid w:val="00BF7F4A"/>
    <w:rsid w:val="00C000C5"/>
    <w:rsid w:val="00C00115"/>
    <w:rsid w:val="00C0015C"/>
    <w:rsid w:val="00C0018A"/>
    <w:rsid w:val="00C00190"/>
    <w:rsid w:val="00C0025A"/>
    <w:rsid w:val="00C00284"/>
    <w:rsid w:val="00C00338"/>
    <w:rsid w:val="00C0037D"/>
    <w:rsid w:val="00C003B9"/>
    <w:rsid w:val="00C003D5"/>
    <w:rsid w:val="00C004F7"/>
    <w:rsid w:val="00C0060D"/>
    <w:rsid w:val="00C00905"/>
    <w:rsid w:val="00C00960"/>
    <w:rsid w:val="00C00A7C"/>
    <w:rsid w:val="00C00BCC"/>
    <w:rsid w:val="00C00DAE"/>
    <w:rsid w:val="00C00FAC"/>
    <w:rsid w:val="00C0104C"/>
    <w:rsid w:val="00C01170"/>
    <w:rsid w:val="00C01258"/>
    <w:rsid w:val="00C01370"/>
    <w:rsid w:val="00C013AB"/>
    <w:rsid w:val="00C013BC"/>
    <w:rsid w:val="00C01533"/>
    <w:rsid w:val="00C0156D"/>
    <w:rsid w:val="00C01614"/>
    <w:rsid w:val="00C01829"/>
    <w:rsid w:val="00C01892"/>
    <w:rsid w:val="00C01B97"/>
    <w:rsid w:val="00C01BBB"/>
    <w:rsid w:val="00C01C81"/>
    <w:rsid w:val="00C01FD1"/>
    <w:rsid w:val="00C02047"/>
    <w:rsid w:val="00C0235E"/>
    <w:rsid w:val="00C024A5"/>
    <w:rsid w:val="00C02697"/>
    <w:rsid w:val="00C02784"/>
    <w:rsid w:val="00C02CE1"/>
    <w:rsid w:val="00C02D1E"/>
    <w:rsid w:val="00C02E70"/>
    <w:rsid w:val="00C02EED"/>
    <w:rsid w:val="00C0314D"/>
    <w:rsid w:val="00C03211"/>
    <w:rsid w:val="00C0331F"/>
    <w:rsid w:val="00C03508"/>
    <w:rsid w:val="00C035B5"/>
    <w:rsid w:val="00C036AC"/>
    <w:rsid w:val="00C03809"/>
    <w:rsid w:val="00C03865"/>
    <w:rsid w:val="00C03938"/>
    <w:rsid w:val="00C03BB2"/>
    <w:rsid w:val="00C03D5A"/>
    <w:rsid w:val="00C03DAA"/>
    <w:rsid w:val="00C040CC"/>
    <w:rsid w:val="00C040E1"/>
    <w:rsid w:val="00C040FF"/>
    <w:rsid w:val="00C04688"/>
    <w:rsid w:val="00C047A1"/>
    <w:rsid w:val="00C047B0"/>
    <w:rsid w:val="00C048BC"/>
    <w:rsid w:val="00C04A19"/>
    <w:rsid w:val="00C04BF7"/>
    <w:rsid w:val="00C04CBC"/>
    <w:rsid w:val="00C04FDD"/>
    <w:rsid w:val="00C0509A"/>
    <w:rsid w:val="00C0511A"/>
    <w:rsid w:val="00C05213"/>
    <w:rsid w:val="00C05276"/>
    <w:rsid w:val="00C054A3"/>
    <w:rsid w:val="00C055AD"/>
    <w:rsid w:val="00C055EB"/>
    <w:rsid w:val="00C055F9"/>
    <w:rsid w:val="00C05622"/>
    <w:rsid w:val="00C057A6"/>
    <w:rsid w:val="00C0582D"/>
    <w:rsid w:val="00C05851"/>
    <w:rsid w:val="00C05AD6"/>
    <w:rsid w:val="00C05CF1"/>
    <w:rsid w:val="00C05E08"/>
    <w:rsid w:val="00C05ECD"/>
    <w:rsid w:val="00C06095"/>
    <w:rsid w:val="00C06272"/>
    <w:rsid w:val="00C06551"/>
    <w:rsid w:val="00C06767"/>
    <w:rsid w:val="00C06BEC"/>
    <w:rsid w:val="00C06C46"/>
    <w:rsid w:val="00C06C85"/>
    <w:rsid w:val="00C07380"/>
    <w:rsid w:val="00C07393"/>
    <w:rsid w:val="00C074D1"/>
    <w:rsid w:val="00C0759B"/>
    <w:rsid w:val="00C07620"/>
    <w:rsid w:val="00C07AB6"/>
    <w:rsid w:val="00C07ACB"/>
    <w:rsid w:val="00C07B28"/>
    <w:rsid w:val="00C07E78"/>
    <w:rsid w:val="00C10055"/>
    <w:rsid w:val="00C102F3"/>
    <w:rsid w:val="00C1035B"/>
    <w:rsid w:val="00C1040C"/>
    <w:rsid w:val="00C10636"/>
    <w:rsid w:val="00C106B8"/>
    <w:rsid w:val="00C1073F"/>
    <w:rsid w:val="00C10AFD"/>
    <w:rsid w:val="00C10B22"/>
    <w:rsid w:val="00C10C3F"/>
    <w:rsid w:val="00C10C52"/>
    <w:rsid w:val="00C10CC2"/>
    <w:rsid w:val="00C11038"/>
    <w:rsid w:val="00C1107C"/>
    <w:rsid w:val="00C11243"/>
    <w:rsid w:val="00C11623"/>
    <w:rsid w:val="00C1172F"/>
    <w:rsid w:val="00C119A0"/>
    <w:rsid w:val="00C11A14"/>
    <w:rsid w:val="00C11A92"/>
    <w:rsid w:val="00C11ABD"/>
    <w:rsid w:val="00C11D90"/>
    <w:rsid w:val="00C121B6"/>
    <w:rsid w:val="00C127EC"/>
    <w:rsid w:val="00C1297C"/>
    <w:rsid w:val="00C129D9"/>
    <w:rsid w:val="00C12A10"/>
    <w:rsid w:val="00C12CCB"/>
    <w:rsid w:val="00C13089"/>
    <w:rsid w:val="00C1309D"/>
    <w:rsid w:val="00C130D6"/>
    <w:rsid w:val="00C134DA"/>
    <w:rsid w:val="00C13527"/>
    <w:rsid w:val="00C13547"/>
    <w:rsid w:val="00C137A7"/>
    <w:rsid w:val="00C13C06"/>
    <w:rsid w:val="00C13C90"/>
    <w:rsid w:val="00C13CF2"/>
    <w:rsid w:val="00C13E83"/>
    <w:rsid w:val="00C13FB4"/>
    <w:rsid w:val="00C142CC"/>
    <w:rsid w:val="00C14422"/>
    <w:rsid w:val="00C1480F"/>
    <w:rsid w:val="00C14D72"/>
    <w:rsid w:val="00C14F19"/>
    <w:rsid w:val="00C14FB2"/>
    <w:rsid w:val="00C15145"/>
    <w:rsid w:val="00C15205"/>
    <w:rsid w:val="00C155A7"/>
    <w:rsid w:val="00C155E0"/>
    <w:rsid w:val="00C1575F"/>
    <w:rsid w:val="00C15B0C"/>
    <w:rsid w:val="00C15B41"/>
    <w:rsid w:val="00C15BC8"/>
    <w:rsid w:val="00C15CF3"/>
    <w:rsid w:val="00C15DE5"/>
    <w:rsid w:val="00C15F18"/>
    <w:rsid w:val="00C1613F"/>
    <w:rsid w:val="00C162E3"/>
    <w:rsid w:val="00C1652A"/>
    <w:rsid w:val="00C16621"/>
    <w:rsid w:val="00C1683C"/>
    <w:rsid w:val="00C1685F"/>
    <w:rsid w:val="00C168CF"/>
    <w:rsid w:val="00C16912"/>
    <w:rsid w:val="00C16B4E"/>
    <w:rsid w:val="00C16CF5"/>
    <w:rsid w:val="00C16D47"/>
    <w:rsid w:val="00C16F35"/>
    <w:rsid w:val="00C16F67"/>
    <w:rsid w:val="00C17007"/>
    <w:rsid w:val="00C170C0"/>
    <w:rsid w:val="00C17204"/>
    <w:rsid w:val="00C17248"/>
    <w:rsid w:val="00C172A8"/>
    <w:rsid w:val="00C17304"/>
    <w:rsid w:val="00C1748F"/>
    <w:rsid w:val="00C174D9"/>
    <w:rsid w:val="00C1756D"/>
    <w:rsid w:val="00C176AC"/>
    <w:rsid w:val="00C178EE"/>
    <w:rsid w:val="00C17BDA"/>
    <w:rsid w:val="00C17CE1"/>
    <w:rsid w:val="00C17F27"/>
    <w:rsid w:val="00C2039F"/>
    <w:rsid w:val="00C20464"/>
    <w:rsid w:val="00C20549"/>
    <w:rsid w:val="00C2058B"/>
    <w:rsid w:val="00C205C3"/>
    <w:rsid w:val="00C20668"/>
    <w:rsid w:val="00C20742"/>
    <w:rsid w:val="00C208B8"/>
    <w:rsid w:val="00C209AD"/>
    <w:rsid w:val="00C20AF2"/>
    <w:rsid w:val="00C20B13"/>
    <w:rsid w:val="00C2102A"/>
    <w:rsid w:val="00C2103A"/>
    <w:rsid w:val="00C212AB"/>
    <w:rsid w:val="00C212C4"/>
    <w:rsid w:val="00C21311"/>
    <w:rsid w:val="00C21630"/>
    <w:rsid w:val="00C2164B"/>
    <w:rsid w:val="00C21868"/>
    <w:rsid w:val="00C21A41"/>
    <w:rsid w:val="00C21DA3"/>
    <w:rsid w:val="00C21EF9"/>
    <w:rsid w:val="00C21F42"/>
    <w:rsid w:val="00C21FE6"/>
    <w:rsid w:val="00C22086"/>
    <w:rsid w:val="00C2215C"/>
    <w:rsid w:val="00C221C0"/>
    <w:rsid w:val="00C2221E"/>
    <w:rsid w:val="00C222A1"/>
    <w:rsid w:val="00C222F7"/>
    <w:rsid w:val="00C22347"/>
    <w:rsid w:val="00C22397"/>
    <w:rsid w:val="00C224E3"/>
    <w:rsid w:val="00C22633"/>
    <w:rsid w:val="00C22690"/>
    <w:rsid w:val="00C22734"/>
    <w:rsid w:val="00C22AAB"/>
    <w:rsid w:val="00C22C79"/>
    <w:rsid w:val="00C22DEA"/>
    <w:rsid w:val="00C22ECB"/>
    <w:rsid w:val="00C22EDC"/>
    <w:rsid w:val="00C22EF6"/>
    <w:rsid w:val="00C22FA3"/>
    <w:rsid w:val="00C232A8"/>
    <w:rsid w:val="00C233B5"/>
    <w:rsid w:val="00C23954"/>
    <w:rsid w:val="00C23BB4"/>
    <w:rsid w:val="00C23EEE"/>
    <w:rsid w:val="00C23F47"/>
    <w:rsid w:val="00C23FC4"/>
    <w:rsid w:val="00C242C1"/>
    <w:rsid w:val="00C2437B"/>
    <w:rsid w:val="00C24589"/>
    <w:rsid w:val="00C246AB"/>
    <w:rsid w:val="00C24707"/>
    <w:rsid w:val="00C24792"/>
    <w:rsid w:val="00C24839"/>
    <w:rsid w:val="00C24A20"/>
    <w:rsid w:val="00C24B34"/>
    <w:rsid w:val="00C24BB6"/>
    <w:rsid w:val="00C24BC5"/>
    <w:rsid w:val="00C24C4D"/>
    <w:rsid w:val="00C24CA0"/>
    <w:rsid w:val="00C24D35"/>
    <w:rsid w:val="00C24E28"/>
    <w:rsid w:val="00C25080"/>
    <w:rsid w:val="00C2525E"/>
    <w:rsid w:val="00C2579C"/>
    <w:rsid w:val="00C2584D"/>
    <w:rsid w:val="00C25885"/>
    <w:rsid w:val="00C2590F"/>
    <w:rsid w:val="00C259C9"/>
    <w:rsid w:val="00C25BFE"/>
    <w:rsid w:val="00C25F77"/>
    <w:rsid w:val="00C2604B"/>
    <w:rsid w:val="00C26099"/>
    <w:rsid w:val="00C26159"/>
    <w:rsid w:val="00C2629C"/>
    <w:rsid w:val="00C262ED"/>
    <w:rsid w:val="00C265C9"/>
    <w:rsid w:val="00C2664A"/>
    <w:rsid w:val="00C26968"/>
    <w:rsid w:val="00C26A65"/>
    <w:rsid w:val="00C26A69"/>
    <w:rsid w:val="00C26DE9"/>
    <w:rsid w:val="00C26E37"/>
    <w:rsid w:val="00C26F04"/>
    <w:rsid w:val="00C27037"/>
    <w:rsid w:val="00C27096"/>
    <w:rsid w:val="00C273DA"/>
    <w:rsid w:val="00C27554"/>
    <w:rsid w:val="00C277DA"/>
    <w:rsid w:val="00C277FF"/>
    <w:rsid w:val="00C27855"/>
    <w:rsid w:val="00C279BC"/>
    <w:rsid w:val="00C279F3"/>
    <w:rsid w:val="00C27C23"/>
    <w:rsid w:val="00C27D09"/>
    <w:rsid w:val="00C27D22"/>
    <w:rsid w:val="00C27DAF"/>
    <w:rsid w:val="00C27F18"/>
    <w:rsid w:val="00C30019"/>
    <w:rsid w:val="00C301CF"/>
    <w:rsid w:val="00C306B6"/>
    <w:rsid w:val="00C307DA"/>
    <w:rsid w:val="00C30876"/>
    <w:rsid w:val="00C309E6"/>
    <w:rsid w:val="00C30B6D"/>
    <w:rsid w:val="00C30B9D"/>
    <w:rsid w:val="00C30C12"/>
    <w:rsid w:val="00C30C46"/>
    <w:rsid w:val="00C30EEB"/>
    <w:rsid w:val="00C30F26"/>
    <w:rsid w:val="00C311E2"/>
    <w:rsid w:val="00C31439"/>
    <w:rsid w:val="00C31460"/>
    <w:rsid w:val="00C3147A"/>
    <w:rsid w:val="00C31668"/>
    <w:rsid w:val="00C317B8"/>
    <w:rsid w:val="00C31808"/>
    <w:rsid w:val="00C31A1A"/>
    <w:rsid w:val="00C31A84"/>
    <w:rsid w:val="00C31AB5"/>
    <w:rsid w:val="00C31ACA"/>
    <w:rsid w:val="00C31B79"/>
    <w:rsid w:val="00C31B9C"/>
    <w:rsid w:val="00C31C79"/>
    <w:rsid w:val="00C31D03"/>
    <w:rsid w:val="00C31D26"/>
    <w:rsid w:val="00C31DD4"/>
    <w:rsid w:val="00C31E1D"/>
    <w:rsid w:val="00C32064"/>
    <w:rsid w:val="00C3223A"/>
    <w:rsid w:val="00C32707"/>
    <w:rsid w:val="00C32922"/>
    <w:rsid w:val="00C32CA7"/>
    <w:rsid w:val="00C32E58"/>
    <w:rsid w:val="00C330B7"/>
    <w:rsid w:val="00C3312E"/>
    <w:rsid w:val="00C33183"/>
    <w:rsid w:val="00C3360F"/>
    <w:rsid w:val="00C336AF"/>
    <w:rsid w:val="00C33706"/>
    <w:rsid w:val="00C33A05"/>
    <w:rsid w:val="00C33B39"/>
    <w:rsid w:val="00C33C9B"/>
    <w:rsid w:val="00C33CE6"/>
    <w:rsid w:val="00C33D87"/>
    <w:rsid w:val="00C33DCB"/>
    <w:rsid w:val="00C33DE6"/>
    <w:rsid w:val="00C33F14"/>
    <w:rsid w:val="00C3465A"/>
    <w:rsid w:val="00C34695"/>
    <w:rsid w:val="00C34760"/>
    <w:rsid w:val="00C347C2"/>
    <w:rsid w:val="00C34AED"/>
    <w:rsid w:val="00C34B23"/>
    <w:rsid w:val="00C34B38"/>
    <w:rsid w:val="00C34D0A"/>
    <w:rsid w:val="00C34D5B"/>
    <w:rsid w:val="00C34F01"/>
    <w:rsid w:val="00C35028"/>
    <w:rsid w:val="00C3553E"/>
    <w:rsid w:val="00C3560D"/>
    <w:rsid w:val="00C357EA"/>
    <w:rsid w:val="00C35941"/>
    <w:rsid w:val="00C35A3D"/>
    <w:rsid w:val="00C35BCA"/>
    <w:rsid w:val="00C360D6"/>
    <w:rsid w:val="00C3616F"/>
    <w:rsid w:val="00C36202"/>
    <w:rsid w:val="00C363FB"/>
    <w:rsid w:val="00C3647D"/>
    <w:rsid w:val="00C364A6"/>
    <w:rsid w:val="00C36673"/>
    <w:rsid w:val="00C36691"/>
    <w:rsid w:val="00C366C6"/>
    <w:rsid w:val="00C36A9F"/>
    <w:rsid w:val="00C36D7D"/>
    <w:rsid w:val="00C36F7D"/>
    <w:rsid w:val="00C37148"/>
    <w:rsid w:val="00C374C1"/>
    <w:rsid w:val="00C374EE"/>
    <w:rsid w:val="00C375B1"/>
    <w:rsid w:val="00C375E9"/>
    <w:rsid w:val="00C37611"/>
    <w:rsid w:val="00C37666"/>
    <w:rsid w:val="00C37831"/>
    <w:rsid w:val="00C37890"/>
    <w:rsid w:val="00C37A50"/>
    <w:rsid w:val="00C37B9E"/>
    <w:rsid w:val="00C37C1D"/>
    <w:rsid w:val="00C37C63"/>
    <w:rsid w:val="00C37CF3"/>
    <w:rsid w:val="00C40013"/>
    <w:rsid w:val="00C403AE"/>
    <w:rsid w:val="00C40589"/>
    <w:rsid w:val="00C40830"/>
    <w:rsid w:val="00C40B4D"/>
    <w:rsid w:val="00C40E9F"/>
    <w:rsid w:val="00C411E9"/>
    <w:rsid w:val="00C41269"/>
    <w:rsid w:val="00C4133C"/>
    <w:rsid w:val="00C414EE"/>
    <w:rsid w:val="00C41586"/>
    <w:rsid w:val="00C415DD"/>
    <w:rsid w:val="00C4161D"/>
    <w:rsid w:val="00C416FD"/>
    <w:rsid w:val="00C4178D"/>
    <w:rsid w:val="00C417CC"/>
    <w:rsid w:val="00C417F5"/>
    <w:rsid w:val="00C41A9F"/>
    <w:rsid w:val="00C41AFB"/>
    <w:rsid w:val="00C41B90"/>
    <w:rsid w:val="00C41C84"/>
    <w:rsid w:val="00C41D36"/>
    <w:rsid w:val="00C41DF7"/>
    <w:rsid w:val="00C41E33"/>
    <w:rsid w:val="00C41E91"/>
    <w:rsid w:val="00C41F79"/>
    <w:rsid w:val="00C42293"/>
    <w:rsid w:val="00C424DF"/>
    <w:rsid w:val="00C4262A"/>
    <w:rsid w:val="00C426CE"/>
    <w:rsid w:val="00C428FF"/>
    <w:rsid w:val="00C429FF"/>
    <w:rsid w:val="00C42ADA"/>
    <w:rsid w:val="00C42C84"/>
    <w:rsid w:val="00C42D38"/>
    <w:rsid w:val="00C42DBF"/>
    <w:rsid w:val="00C42FAA"/>
    <w:rsid w:val="00C43051"/>
    <w:rsid w:val="00C430E2"/>
    <w:rsid w:val="00C431AE"/>
    <w:rsid w:val="00C43314"/>
    <w:rsid w:val="00C43341"/>
    <w:rsid w:val="00C43584"/>
    <w:rsid w:val="00C43677"/>
    <w:rsid w:val="00C436C6"/>
    <w:rsid w:val="00C438BF"/>
    <w:rsid w:val="00C43A9E"/>
    <w:rsid w:val="00C43E12"/>
    <w:rsid w:val="00C43EA9"/>
    <w:rsid w:val="00C43F47"/>
    <w:rsid w:val="00C440FC"/>
    <w:rsid w:val="00C4416C"/>
    <w:rsid w:val="00C442E0"/>
    <w:rsid w:val="00C442FD"/>
    <w:rsid w:val="00C44432"/>
    <w:rsid w:val="00C44457"/>
    <w:rsid w:val="00C44738"/>
    <w:rsid w:val="00C4473A"/>
    <w:rsid w:val="00C44AE6"/>
    <w:rsid w:val="00C44D46"/>
    <w:rsid w:val="00C44DED"/>
    <w:rsid w:val="00C44F3A"/>
    <w:rsid w:val="00C45016"/>
    <w:rsid w:val="00C4519B"/>
    <w:rsid w:val="00C45289"/>
    <w:rsid w:val="00C453CF"/>
    <w:rsid w:val="00C45411"/>
    <w:rsid w:val="00C454D9"/>
    <w:rsid w:val="00C45525"/>
    <w:rsid w:val="00C45537"/>
    <w:rsid w:val="00C45624"/>
    <w:rsid w:val="00C45779"/>
    <w:rsid w:val="00C458C7"/>
    <w:rsid w:val="00C45B4F"/>
    <w:rsid w:val="00C45C60"/>
    <w:rsid w:val="00C45C62"/>
    <w:rsid w:val="00C45CCD"/>
    <w:rsid w:val="00C45E5A"/>
    <w:rsid w:val="00C45FA6"/>
    <w:rsid w:val="00C46292"/>
    <w:rsid w:val="00C4637D"/>
    <w:rsid w:val="00C4643D"/>
    <w:rsid w:val="00C4684C"/>
    <w:rsid w:val="00C469F2"/>
    <w:rsid w:val="00C469F6"/>
    <w:rsid w:val="00C46A3B"/>
    <w:rsid w:val="00C46AD9"/>
    <w:rsid w:val="00C46D29"/>
    <w:rsid w:val="00C46D45"/>
    <w:rsid w:val="00C46D9E"/>
    <w:rsid w:val="00C46E11"/>
    <w:rsid w:val="00C46E19"/>
    <w:rsid w:val="00C47002"/>
    <w:rsid w:val="00C47064"/>
    <w:rsid w:val="00C47440"/>
    <w:rsid w:val="00C474EA"/>
    <w:rsid w:val="00C47541"/>
    <w:rsid w:val="00C475C7"/>
    <w:rsid w:val="00C47601"/>
    <w:rsid w:val="00C476CD"/>
    <w:rsid w:val="00C478DA"/>
    <w:rsid w:val="00C478F3"/>
    <w:rsid w:val="00C47AA2"/>
    <w:rsid w:val="00C47B75"/>
    <w:rsid w:val="00C47BA4"/>
    <w:rsid w:val="00C47DF2"/>
    <w:rsid w:val="00C50576"/>
    <w:rsid w:val="00C5083C"/>
    <w:rsid w:val="00C50890"/>
    <w:rsid w:val="00C50AAE"/>
    <w:rsid w:val="00C510DD"/>
    <w:rsid w:val="00C5119C"/>
    <w:rsid w:val="00C511B1"/>
    <w:rsid w:val="00C5126D"/>
    <w:rsid w:val="00C513EA"/>
    <w:rsid w:val="00C51591"/>
    <w:rsid w:val="00C515B0"/>
    <w:rsid w:val="00C51702"/>
    <w:rsid w:val="00C5171D"/>
    <w:rsid w:val="00C517ED"/>
    <w:rsid w:val="00C51A28"/>
    <w:rsid w:val="00C51A69"/>
    <w:rsid w:val="00C51B08"/>
    <w:rsid w:val="00C51BA8"/>
    <w:rsid w:val="00C51C23"/>
    <w:rsid w:val="00C51C57"/>
    <w:rsid w:val="00C51D81"/>
    <w:rsid w:val="00C51DB8"/>
    <w:rsid w:val="00C51F42"/>
    <w:rsid w:val="00C51FF9"/>
    <w:rsid w:val="00C520F9"/>
    <w:rsid w:val="00C521F1"/>
    <w:rsid w:val="00C5227E"/>
    <w:rsid w:val="00C522B3"/>
    <w:rsid w:val="00C524BE"/>
    <w:rsid w:val="00C527D2"/>
    <w:rsid w:val="00C5298A"/>
    <w:rsid w:val="00C52F4A"/>
    <w:rsid w:val="00C5304F"/>
    <w:rsid w:val="00C53376"/>
    <w:rsid w:val="00C53513"/>
    <w:rsid w:val="00C53730"/>
    <w:rsid w:val="00C53811"/>
    <w:rsid w:val="00C53930"/>
    <w:rsid w:val="00C53951"/>
    <w:rsid w:val="00C53977"/>
    <w:rsid w:val="00C53E49"/>
    <w:rsid w:val="00C53F5D"/>
    <w:rsid w:val="00C54047"/>
    <w:rsid w:val="00C540B9"/>
    <w:rsid w:val="00C54398"/>
    <w:rsid w:val="00C543E7"/>
    <w:rsid w:val="00C54411"/>
    <w:rsid w:val="00C54491"/>
    <w:rsid w:val="00C545EB"/>
    <w:rsid w:val="00C5481D"/>
    <w:rsid w:val="00C54CC3"/>
    <w:rsid w:val="00C54D4A"/>
    <w:rsid w:val="00C54D6E"/>
    <w:rsid w:val="00C54D95"/>
    <w:rsid w:val="00C54E2B"/>
    <w:rsid w:val="00C54EE3"/>
    <w:rsid w:val="00C55090"/>
    <w:rsid w:val="00C552F9"/>
    <w:rsid w:val="00C5546B"/>
    <w:rsid w:val="00C554D4"/>
    <w:rsid w:val="00C554D9"/>
    <w:rsid w:val="00C55673"/>
    <w:rsid w:val="00C55827"/>
    <w:rsid w:val="00C55927"/>
    <w:rsid w:val="00C55C1A"/>
    <w:rsid w:val="00C560DB"/>
    <w:rsid w:val="00C5639E"/>
    <w:rsid w:val="00C56532"/>
    <w:rsid w:val="00C565A2"/>
    <w:rsid w:val="00C56607"/>
    <w:rsid w:val="00C566C5"/>
    <w:rsid w:val="00C567BD"/>
    <w:rsid w:val="00C56B20"/>
    <w:rsid w:val="00C56B9E"/>
    <w:rsid w:val="00C56D36"/>
    <w:rsid w:val="00C56D39"/>
    <w:rsid w:val="00C56DB8"/>
    <w:rsid w:val="00C57155"/>
    <w:rsid w:val="00C5715C"/>
    <w:rsid w:val="00C57223"/>
    <w:rsid w:val="00C57356"/>
    <w:rsid w:val="00C573CE"/>
    <w:rsid w:val="00C57569"/>
    <w:rsid w:val="00C5765C"/>
    <w:rsid w:val="00C57744"/>
    <w:rsid w:val="00C57A1F"/>
    <w:rsid w:val="00C57A92"/>
    <w:rsid w:val="00C57C0D"/>
    <w:rsid w:val="00C57CA5"/>
    <w:rsid w:val="00C57E63"/>
    <w:rsid w:val="00C602B1"/>
    <w:rsid w:val="00C602CD"/>
    <w:rsid w:val="00C605F0"/>
    <w:rsid w:val="00C6069B"/>
    <w:rsid w:val="00C607D1"/>
    <w:rsid w:val="00C6085B"/>
    <w:rsid w:val="00C6089D"/>
    <w:rsid w:val="00C609B9"/>
    <w:rsid w:val="00C60A62"/>
    <w:rsid w:val="00C60A86"/>
    <w:rsid w:val="00C60AF5"/>
    <w:rsid w:val="00C60CB5"/>
    <w:rsid w:val="00C60D11"/>
    <w:rsid w:val="00C60E81"/>
    <w:rsid w:val="00C60FBF"/>
    <w:rsid w:val="00C61030"/>
    <w:rsid w:val="00C61109"/>
    <w:rsid w:val="00C611C3"/>
    <w:rsid w:val="00C61324"/>
    <w:rsid w:val="00C616B0"/>
    <w:rsid w:val="00C6180D"/>
    <w:rsid w:val="00C6183D"/>
    <w:rsid w:val="00C618A8"/>
    <w:rsid w:val="00C61AB2"/>
    <w:rsid w:val="00C61B02"/>
    <w:rsid w:val="00C61B8B"/>
    <w:rsid w:val="00C61DE2"/>
    <w:rsid w:val="00C61E90"/>
    <w:rsid w:val="00C61F1C"/>
    <w:rsid w:val="00C61FD2"/>
    <w:rsid w:val="00C620B7"/>
    <w:rsid w:val="00C620D4"/>
    <w:rsid w:val="00C6222B"/>
    <w:rsid w:val="00C62600"/>
    <w:rsid w:val="00C6276A"/>
    <w:rsid w:val="00C62792"/>
    <w:rsid w:val="00C62798"/>
    <w:rsid w:val="00C6293C"/>
    <w:rsid w:val="00C6297B"/>
    <w:rsid w:val="00C629BC"/>
    <w:rsid w:val="00C62A32"/>
    <w:rsid w:val="00C62AB4"/>
    <w:rsid w:val="00C62F69"/>
    <w:rsid w:val="00C630AB"/>
    <w:rsid w:val="00C631C1"/>
    <w:rsid w:val="00C63444"/>
    <w:rsid w:val="00C635A4"/>
    <w:rsid w:val="00C635F0"/>
    <w:rsid w:val="00C63BCE"/>
    <w:rsid w:val="00C63BFA"/>
    <w:rsid w:val="00C63C2F"/>
    <w:rsid w:val="00C63D69"/>
    <w:rsid w:val="00C63D8C"/>
    <w:rsid w:val="00C63ECC"/>
    <w:rsid w:val="00C64208"/>
    <w:rsid w:val="00C64270"/>
    <w:rsid w:val="00C6434D"/>
    <w:rsid w:val="00C643EB"/>
    <w:rsid w:val="00C64407"/>
    <w:rsid w:val="00C644C4"/>
    <w:rsid w:val="00C644F2"/>
    <w:rsid w:val="00C64544"/>
    <w:rsid w:val="00C645FD"/>
    <w:rsid w:val="00C64699"/>
    <w:rsid w:val="00C64868"/>
    <w:rsid w:val="00C64A78"/>
    <w:rsid w:val="00C64DA3"/>
    <w:rsid w:val="00C64E8B"/>
    <w:rsid w:val="00C64E8C"/>
    <w:rsid w:val="00C64F72"/>
    <w:rsid w:val="00C64F83"/>
    <w:rsid w:val="00C6511C"/>
    <w:rsid w:val="00C6537E"/>
    <w:rsid w:val="00C6539B"/>
    <w:rsid w:val="00C6540F"/>
    <w:rsid w:val="00C656AC"/>
    <w:rsid w:val="00C65840"/>
    <w:rsid w:val="00C65D13"/>
    <w:rsid w:val="00C65D6D"/>
    <w:rsid w:val="00C65FF3"/>
    <w:rsid w:val="00C66188"/>
    <w:rsid w:val="00C6642E"/>
    <w:rsid w:val="00C66494"/>
    <w:rsid w:val="00C664AE"/>
    <w:rsid w:val="00C66676"/>
    <w:rsid w:val="00C666B9"/>
    <w:rsid w:val="00C66A02"/>
    <w:rsid w:val="00C66E98"/>
    <w:rsid w:val="00C670FC"/>
    <w:rsid w:val="00C672BB"/>
    <w:rsid w:val="00C6743C"/>
    <w:rsid w:val="00C67950"/>
    <w:rsid w:val="00C67B58"/>
    <w:rsid w:val="00C67C57"/>
    <w:rsid w:val="00C67CFD"/>
    <w:rsid w:val="00C67EC0"/>
    <w:rsid w:val="00C70072"/>
    <w:rsid w:val="00C702A2"/>
    <w:rsid w:val="00C702A5"/>
    <w:rsid w:val="00C70370"/>
    <w:rsid w:val="00C70462"/>
    <w:rsid w:val="00C70585"/>
    <w:rsid w:val="00C706A8"/>
    <w:rsid w:val="00C706E9"/>
    <w:rsid w:val="00C70975"/>
    <w:rsid w:val="00C709F0"/>
    <w:rsid w:val="00C70E23"/>
    <w:rsid w:val="00C712F3"/>
    <w:rsid w:val="00C713DD"/>
    <w:rsid w:val="00C71490"/>
    <w:rsid w:val="00C71783"/>
    <w:rsid w:val="00C71841"/>
    <w:rsid w:val="00C719A2"/>
    <w:rsid w:val="00C71A63"/>
    <w:rsid w:val="00C71DC7"/>
    <w:rsid w:val="00C71EFF"/>
    <w:rsid w:val="00C71F6D"/>
    <w:rsid w:val="00C72070"/>
    <w:rsid w:val="00C72165"/>
    <w:rsid w:val="00C72184"/>
    <w:rsid w:val="00C724DF"/>
    <w:rsid w:val="00C72773"/>
    <w:rsid w:val="00C72A19"/>
    <w:rsid w:val="00C72A5F"/>
    <w:rsid w:val="00C72B8E"/>
    <w:rsid w:val="00C72BD8"/>
    <w:rsid w:val="00C72BDB"/>
    <w:rsid w:val="00C72D7B"/>
    <w:rsid w:val="00C7302B"/>
    <w:rsid w:val="00C73620"/>
    <w:rsid w:val="00C736F4"/>
    <w:rsid w:val="00C73779"/>
    <w:rsid w:val="00C7397F"/>
    <w:rsid w:val="00C73AB0"/>
    <w:rsid w:val="00C73C6D"/>
    <w:rsid w:val="00C73D30"/>
    <w:rsid w:val="00C73D66"/>
    <w:rsid w:val="00C73E2F"/>
    <w:rsid w:val="00C74167"/>
    <w:rsid w:val="00C741D2"/>
    <w:rsid w:val="00C744CE"/>
    <w:rsid w:val="00C7454D"/>
    <w:rsid w:val="00C7486E"/>
    <w:rsid w:val="00C74929"/>
    <w:rsid w:val="00C74D98"/>
    <w:rsid w:val="00C74E50"/>
    <w:rsid w:val="00C7503A"/>
    <w:rsid w:val="00C75213"/>
    <w:rsid w:val="00C75357"/>
    <w:rsid w:val="00C754E3"/>
    <w:rsid w:val="00C754EC"/>
    <w:rsid w:val="00C75526"/>
    <w:rsid w:val="00C7574B"/>
    <w:rsid w:val="00C757AE"/>
    <w:rsid w:val="00C75831"/>
    <w:rsid w:val="00C75860"/>
    <w:rsid w:val="00C758BD"/>
    <w:rsid w:val="00C758C6"/>
    <w:rsid w:val="00C7592F"/>
    <w:rsid w:val="00C75980"/>
    <w:rsid w:val="00C75A6D"/>
    <w:rsid w:val="00C75AB7"/>
    <w:rsid w:val="00C75C2C"/>
    <w:rsid w:val="00C75CEB"/>
    <w:rsid w:val="00C75DB0"/>
    <w:rsid w:val="00C760F6"/>
    <w:rsid w:val="00C7622B"/>
    <w:rsid w:val="00C76268"/>
    <w:rsid w:val="00C76400"/>
    <w:rsid w:val="00C764D4"/>
    <w:rsid w:val="00C76624"/>
    <w:rsid w:val="00C76661"/>
    <w:rsid w:val="00C7670F"/>
    <w:rsid w:val="00C768E9"/>
    <w:rsid w:val="00C7692D"/>
    <w:rsid w:val="00C76AAF"/>
    <w:rsid w:val="00C76C46"/>
    <w:rsid w:val="00C76E35"/>
    <w:rsid w:val="00C76F3B"/>
    <w:rsid w:val="00C77027"/>
    <w:rsid w:val="00C77478"/>
    <w:rsid w:val="00C774A1"/>
    <w:rsid w:val="00C775A0"/>
    <w:rsid w:val="00C775F7"/>
    <w:rsid w:val="00C77754"/>
    <w:rsid w:val="00C77A9A"/>
    <w:rsid w:val="00C77AC5"/>
    <w:rsid w:val="00C77ACD"/>
    <w:rsid w:val="00C77D0F"/>
    <w:rsid w:val="00C8035B"/>
    <w:rsid w:val="00C803A3"/>
    <w:rsid w:val="00C8077F"/>
    <w:rsid w:val="00C80AAA"/>
    <w:rsid w:val="00C80C41"/>
    <w:rsid w:val="00C80CEF"/>
    <w:rsid w:val="00C80E40"/>
    <w:rsid w:val="00C80EBD"/>
    <w:rsid w:val="00C80EC5"/>
    <w:rsid w:val="00C810D1"/>
    <w:rsid w:val="00C81120"/>
    <w:rsid w:val="00C81178"/>
    <w:rsid w:val="00C81196"/>
    <w:rsid w:val="00C812B6"/>
    <w:rsid w:val="00C81432"/>
    <w:rsid w:val="00C814B8"/>
    <w:rsid w:val="00C816D2"/>
    <w:rsid w:val="00C81804"/>
    <w:rsid w:val="00C81817"/>
    <w:rsid w:val="00C81935"/>
    <w:rsid w:val="00C81A43"/>
    <w:rsid w:val="00C81C05"/>
    <w:rsid w:val="00C81D6D"/>
    <w:rsid w:val="00C81E39"/>
    <w:rsid w:val="00C81EBB"/>
    <w:rsid w:val="00C81EBE"/>
    <w:rsid w:val="00C825CD"/>
    <w:rsid w:val="00C8275C"/>
    <w:rsid w:val="00C82860"/>
    <w:rsid w:val="00C828B8"/>
    <w:rsid w:val="00C82958"/>
    <w:rsid w:val="00C82994"/>
    <w:rsid w:val="00C82A6D"/>
    <w:rsid w:val="00C82C2D"/>
    <w:rsid w:val="00C82E07"/>
    <w:rsid w:val="00C82EC5"/>
    <w:rsid w:val="00C83041"/>
    <w:rsid w:val="00C8365B"/>
    <w:rsid w:val="00C836CF"/>
    <w:rsid w:val="00C838C3"/>
    <w:rsid w:val="00C8395D"/>
    <w:rsid w:val="00C83A40"/>
    <w:rsid w:val="00C83C89"/>
    <w:rsid w:val="00C83CC2"/>
    <w:rsid w:val="00C83D1D"/>
    <w:rsid w:val="00C83E50"/>
    <w:rsid w:val="00C83E5F"/>
    <w:rsid w:val="00C8424B"/>
    <w:rsid w:val="00C8452A"/>
    <w:rsid w:val="00C8487D"/>
    <w:rsid w:val="00C848A7"/>
    <w:rsid w:val="00C849C0"/>
    <w:rsid w:val="00C84ABF"/>
    <w:rsid w:val="00C84B84"/>
    <w:rsid w:val="00C84E4D"/>
    <w:rsid w:val="00C84F2E"/>
    <w:rsid w:val="00C85035"/>
    <w:rsid w:val="00C851F6"/>
    <w:rsid w:val="00C85392"/>
    <w:rsid w:val="00C8568B"/>
    <w:rsid w:val="00C858FF"/>
    <w:rsid w:val="00C859DC"/>
    <w:rsid w:val="00C85AE0"/>
    <w:rsid w:val="00C85D72"/>
    <w:rsid w:val="00C85E30"/>
    <w:rsid w:val="00C85F23"/>
    <w:rsid w:val="00C86029"/>
    <w:rsid w:val="00C8643F"/>
    <w:rsid w:val="00C86531"/>
    <w:rsid w:val="00C865AB"/>
    <w:rsid w:val="00C8663C"/>
    <w:rsid w:val="00C86A80"/>
    <w:rsid w:val="00C86BC2"/>
    <w:rsid w:val="00C86BFA"/>
    <w:rsid w:val="00C86C09"/>
    <w:rsid w:val="00C86C78"/>
    <w:rsid w:val="00C86D3E"/>
    <w:rsid w:val="00C86E8E"/>
    <w:rsid w:val="00C8712F"/>
    <w:rsid w:val="00C8722C"/>
    <w:rsid w:val="00C876A0"/>
    <w:rsid w:val="00C8779F"/>
    <w:rsid w:val="00C878CA"/>
    <w:rsid w:val="00C879EF"/>
    <w:rsid w:val="00C87AF2"/>
    <w:rsid w:val="00C87B57"/>
    <w:rsid w:val="00C87FC6"/>
    <w:rsid w:val="00C900E7"/>
    <w:rsid w:val="00C9027A"/>
    <w:rsid w:val="00C906A4"/>
    <w:rsid w:val="00C908B2"/>
    <w:rsid w:val="00C908C6"/>
    <w:rsid w:val="00C90A98"/>
    <w:rsid w:val="00C90B38"/>
    <w:rsid w:val="00C90B42"/>
    <w:rsid w:val="00C90BF4"/>
    <w:rsid w:val="00C91074"/>
    <w:rsid w:val="00C910F7"/>
    <w:rsid w:val="00C91104"/>
    <w:rsid w:val="00C9166B"/>
    <w:rsid w:val="00C916AC"/>
    <w:rsid w:val="00C9181D"/>
    <w:rsid w:val="00C9182B"/>
    <w:rsid w:val="00C91991"/>
    <w:rsid w:val="00C91C5F"/>
    <w:rsid w:val="00C91E24"/>
    <w:rsid w:val="00C9213E"/>
    <w:rsid w:val="00C92328"/>
    <w:rsid w:val="00C9234F"/>
    <w:rsid w:val="00C923A0"/>
    <w:rsid w:val="00C9242E"/>
    <w:rsid w:val="00C9255D"/>
    <w:rsid w:val="00C92870"/>
    <w:rsid w:val="00C9289D"/>
    <w:rsid w:val="00C928BF"/>
    <w:rsid w:val="00C928CD"/>
    <w:rsid w:val="00C9296C"/>
    <w:rsid w:val="00C9296D"/>
    <w:rsid w:val="00C92DFF"/>
    <w:rsid w:val="00C92E84"/>
    <w:rsid w:val="00C93066"/>
    <w:rsid w:val="00C93384"/>
    <w:rsid w:val="00C934A9"/>
    <w:rsid w:val="00C938B7"/>
    <w:rsid w:val="00C93948"/>
    <w:rsid w:val="00C93DE8"/>
    <w:rsid w:val="00C93EAE"/>
    <w:rsid w:val="00C93ECE"/>
    <w:rsid w:val="00C93FD8"/>
    <w:rsid w:val="00C94170"/>
    <w:rsid w:val="00C941B8"/>
    <w:rsid w:val="00C9435B"/>
    <w:rsid w:val="00C94465"/>
    <w:rsid w:val="00C945B1"/>
    <w:rsid w:val="00C945C2"/>
    <w:rsid w:val="00C9463F"/>
    <w:rsid w:val="00C9469A"/>
    <w:rsid w:val="00C946B2"/>
    <w:rsid w:val="00C946F6"/>
    <w:rsid w:val="00C9474D"/>
    <w:rsid w:val="00C9475D"/>
    <w:rsid w:val="00C947DA"/>
    <w:rsid w:val="00C94A51"/>
    <w:rsid w:val="00C94B1E"/>
    <w:rsid w:val="00C94D80"/>
    <w:rsid w:val="00C94D96"/>
    <w:rsid w:val="00C94FB6"/>
    <w:rsid w:val="00C95056"/>
    <w:rsid w:val="00C95076"/>
    <w:rsid w:val="00C95115"/>
    <w:rsid w:val="00C951FD"/>
    <w:rsid w:val="00C952C3"/>
    <w:rsid w:val="00C952EC"/>
    <w:rsid w:val="00C9536E"/>
    <w:rsid w:val="00C95370"/>
    <w:rsid w:val="00C953D3"/>
    <w:rsid w:val="00C95A15"/>
    <w:rsid w:val="00C95A37"/>
    <w:rsid w:val="00C95D21"/>
    <w:rsid w:val="00C95DF4"/>
    <w:rsid w:val="00C95F85"/>
    <w:rsid w:val="00C961DD"/>
    <w:rsid w:val="00C961FC"/>
    <w:rsid w:val="00C962F3"/>
    <w:rsid w:val="00C963BF"/>
    <w:rsid w:val="00C96479"/>
    <w:rsid w:val="00C96516"/>
    <w:rsid w:val="00C969A0"/>
    <w:rsid w:val="00C96A54"/>
    <w:rsid w:val="00C96B8E"/>
    <w:rsid w:val="00C96CB3"/>
    <w:rsid w:val="00C96DD8"/>
    <w:rsid w:val="00C96E49"/>
    <w:rsid w:val="00C96F17"/>
    <w:rsid w:val="00C96F7D"/>
    <w:rsid w:val="00C970A1"/>
    <w:rsid w:val="00C971F7"/>
    <w:rsid w:val="00C972CC"/>
    <w:rsid w:val="00C97397"/>
    <w:rsid w:val="00C97511"/>
    <w:rsid w:val="00C975E6"/>
    <w:rsid w:val="00C9770C"/>
    <w:rsid w:val="00C978FE"/>
    <w:rsid w:val="00C97A74"/>
    <w:rsid w:val="00C97B47"/>
    <w:rsid w:val="00C97D48"/>
    <w:rsid w:val="00C97EAC"/>
    <w:rsid w:val="00CA0053"/>
    <w:rsid w:val="00CA034C"/>
    <w:rsid w:val="00CA0360"/>
    <w:rsid w:val="00CA0389"/>
    <w:rsid w:val="00CA0818"/>
    <w:rsid w:val="00CA0AC8"/>
    <w:rsid w:val="00CA0C2D"/>
    <w:rsid w:val="00CA0DE8"/>
    <w:rsid w:val="00CA0E9B"/>
    <w:rsid w:val="00CA10D0"/>
    <w:rsid w:val="00CA1333"/>
    <w:rsid w:val="00CA13DE"/>
    <w:rsid w:val="00CA1458"/>
    <w:rsid w:val="00CA14B4"/>
    <w:rsid w:val="00CA14F6"/>
    <w:rsid w:val="00CA175E"/>
    <w:rsid w:val="00CA1777"/>
    <w:rsid w:val="00CA1913"/>
    <w:rsid w:val="00CA19A9"/>
    <w:rsid w:val="00CA1B16"/>
    <w:rsid w:val="00CA1C69"/>
    <w:rsid w:val="00CA1C9B"/>
    <w:rsid w:val="00CA1CE5"/>
    <w:rsid w:val="00CA1E51"/>
    <w:rsid w:val="00CA21A9"/>
    <w:rsid w:val="00CA2295"/>
    <w:rsid w:val="00CA22A8"/>
    <w:rsid w:val="00CA2499"/>
    <w:rsid w:val="00CA2697"/>
    <w:rsid w:val="00CA2759"/>
    <w:rsid w:val="00CA285E"/>
    <w:rsid w:val="00CA2C12"/>
    <w:rsid w:val="00CA30E1"/>
    <w:rsid w:val="00CA32B2"/>
    <w:rsid w:val="00CA35FE"/>
    <w:rsid w:val="00CA3691"/>
    <w:rsid w:val="00CA374F"/>
    <w:rsid w:val="00CA38BB"/>
    <w:rsid w:val="00CA38C1"/>
    <w:rsid w:val="00CA3BC9"/>
    <w:rsid w:val="00CA3C4E"/>
    <w:rsid w:val="00CA4072"/>
    <w:rsid w:val="00CA43F9"/>
    <w:rsid w:val="00CA4458"/>
    <w:rsid w:val="00CA4567"/>
    <w:rsid w:val="00CA45FC"/>
    <w:rsid w:val="00CA461D"/>
    <w:rsid w:val="00CA46E0"/>
    <w:rsid w:val="00CA481F"/>
    <w:rsid w:val="00CA487E"/>
    <w:rsid w:val="00CA489F"/>
    <w:rsid w:val="00CA4BD8"/>
    <w:rsid w:val="00CA4EA0"/>
    <w:rsid w:val="00CA50D7"/>
    <w:rsid w:val="00CA516C"/>
    <w:rsid w:val="00CA52B2"/>
    <w:rsid w:val="00CA530B"/>
    <w:rsid w:val="00CA5349"/>
    <w:rsid w:val="00CA5353"/>
    <w:rsid w:val="00CA53B4"/>
    <w:rsid w:val="00CA55C8"/>
    <w:rsid w:val="00CA56C5"/>
    <w:rsid w:val="00CA59C2"/>
    <w:rsid w:val="00CA5C47"/>
    <w:rsid w:val="00CA5C82"/>
    <w:rsid w:val="00CA5DC3"/>
    <w:rsid w:val="00CA6155"/>
    <w:rsid w:val="00CA62EE"/>
    <w:rsid w:val="00CA64F2"/>
    <w:rsid w:val="00CA655F"/>
    <w:rsid w:val="00CA65EF"/>
    <w:rsid w:val="00CA6647"/>
    <w:rsid w:val="00CA679A"/>
    <w:rsid w:val="00CA6876"/>
    <w:rsid w:val="00CA6B1A"/>
    <w:rsid w:val="00CA6CAA"/>
    <w:rsid w:val="00CA6CFF"/>
    <w:rsid w:val="00CA70D6"/>
    <w:rsid w:val="00CA7113"/>
    <w:rsid w:val="00CA7177"/>
    <w:rsid w:val="00CA729C"/>
    <w:rsid w:val="00CA732B"/>
    <w:rsid w:val="00CA7414"/>
    <w:rsid w:val="00CA744E"/>
    <w:rsid w:val="00CA7632"/>
    <w:rsid w:val="00CA7682"/>
    <w:rsid w:val="00CA7854"/>
    <w:rsid w:val="00CA7915"/>
    <w:rsid w:val="00CA7916"/>
    <w:rsid w:val="00CA7A75"/>
    <w:rsid w:val="00CA7D46"/>
    <w:rsid w:val="00CA7D5D"/>
    <w:rsid w:val="00CA7E03"/>
    <w:rsid w:val="00CA7E1A"/>
    <w:rsid w:val="00CA7F28"/>
    <w:rsid w:val="00CA7F39"/>
    <w:rsid w:val="00CB00EA"/>
    <w:rsid w:val="00CB0125"/>
    <w:rsid w:val="00CB01EF"/>
    <w:rsid w:val="00CB01F6"/>
    <w:rsid w:val="00CB029E"/>
    <w:rsid w:val="00CB0300"/>
    <w:rsid w:val="00CB0587"/>
    <w:rsid w:val="00CB06D4"/>
    <w:rsid w:val="00CB0768"/>
    <w:rsid w:val="00CB09EE"/>
    <w:rsid w:val="00CB0A1F"/>
    <w:rsid w:val="00CB0B67"/>
    <w:rsid w:val="00CB0CE9"/>
    <w:rsid w:val="00CB0DE8"/>
    <w:rsid w:val="00CB1033"/>
    <w:rsid w:val="00CB131F"/>
    <w:rsid w:val="00CB1320"/>
    <w:rsid w:val="00CB1337"/>
    <w:rsid w:val="00CB161E"/>
    <w:rsid w:val="00CB1681"/>
    <w:rsid w:val="00CB16C4"/>
    <w:rsid w:val="00CB178F"/>
    <w:rsid w:val="00CB1900"/>
    <w:rsid w:val="00CB1976"/>
    <w:rsid w:val="00CB19D4"/>
    <w:rsid w:val="00CB1A00"/>
    <w:rsid w:val="00CB1B71"/>
    <w:rsid w:val="00CB1EFD"/>
    <w:rsid w:val="00CB2121"/>
    <w:rsid w:val="00CB21AF"/>
    <w:rsid w:val="00CB221C"/>
    <w:rsid w:val="00CB2295"/>
    <w:rsid w:val="00CB2470"/>
    <w:rsid w:val="00CB2476"/>
    <w:rsid w:val="00CB2503"/>
    <w:rsid w:val="00CB2648"/>
    <w:rsid w:val="00CB26BD"/>
    <w:rsid w:val="00CB27B8"/>
    <w:rsid w:val="00CB27F0"/>
    <w:rsid w:val="00CB2ACA"/>
    <w:rsid w:val="00CB2ACF"/>
    <w:rsid w:val="00CB2B76"/>
    <w:rsid w:val="00CB2D09"/>
    <w:rsid w:val="00CB2E15"/>
    <w:rsid w:val="00CB316D"/>
    <w:rsid w:val="00CB32B4"/>
    <w:rsid w:val="00CB33CD"/>
    <w:rsid w:val="00CB33D0"/>
    <w:rsid w:val="00CB3555"/>
    <w:rsid w:val="00CB3693"/>
    <w:rsid w:val="00CB36B8"/>
    <w:rsid w:val="00CB372C"/>
    <w:rsid w:val="00CB39D7"/>
    <w:rsid w:val="00CB3AC6"/>
    <w:rsid w:val="00CB3BB7"/>
    <w:rsid w:val="00CB3BEB"/>
    <w:rsid w:val="00CB3C5D"/>
    <w:rsid w:val="00CB3CEE"/>
    <w:rsid w:val="00CB3D86"/>
    <w:rsid w:val="00CB3E69"/>
    <w:rsid w:val="00CB434C"/>
    <w:rsid w:val="00CB439C"/>
    <w:rsid w:val="00CB43EC"/>
    <w:rsid w:val="00CB452B"/>
    <w:rsid w:val="00CB4767"/>
    <w:rsid w:val="00CB4900"/>
    <w:rsid w:val="00CB4B2D"/>
    <w:rsid w:val="00CB4D3F"/>
    <w:rsid w:val="00CB4DC2"/>
    <w:rsid w:val="00CB4DCD"/>
    <w:rsid w:val="00CB4E1E"/>
    <w:rsid w:val="00CB4E2D"/>
    <w:rsid w:val="00CB4E4B"/>
    <w:rsid w:val="00CB4F2D"/>
    <w:rsid w:val="00CB5074"/>
    <w:rsid w:val="00CB535F"/>
    <w:rsid w:val="00CB53F8"/>
    <w:rsid w:val="00CB544A"/>
    <w:rsid w:val="00CB57A4"/>
    <w:rsid w:val="00CB58CC"/>
    <w:rsid w:val="00CB5AD4"/>
    <w:rsid w:val="00CB5BCE"/>
    <w:rsid w:val="00CB5D62"/>
    <w:rsid w:val="00CB5E59"/>
    <w:rsid w:val="00CB5FF4"/>
    <w:rsid w:val="00CB603C"/>
    <w:rsid w:val="00CB6173"/>
    <w:rsid w:val="00CB6272"/>
    <w:rsid w:val="00CB6324"/>
    <w:rsid w:val="00CB63FD"/>
    <w:rsid w:val="00CB6605"/>
    <w:rsid w:val="00CB6773"/>
    <w:rsid w:val="00CB6883"/>
    <w:rsid w:val="00CB6975"/>
    <w:rsid w:val="00CB6B3F"/>
    <w:rsid w:val="00CB6B4A"/>
    <w:rsid w:val="00CB6B4D"/>
    <w:rsid w:val="00CB6B7C"/>
    <w:rsid w:val="00CB6C9D"/>
    <w:rsid w:val="00CB6DB2"/>
    <w:rsid w:val="00CB7049"/>
    <w:rsid w:val="00CB70E9"/>
    <w:rsid w:val="00CB7418"/>
    <w:rsid w:val="00CB7595"/>
    <w:rsid w:val="00CB779C"/>
    <w:rsid w:val="00CB78DF"/>
    <w:rsid w:val="00CB799E"/>
    <w:rsid w:val="00CB7A7D"/>
    <w:rsid w:val="00CB7C49"/>
    <w:rsid w:val="00CB7CEB"/>
    <w:rsid w:val="00CB7EC4"/>
    <w:rsid w:val="00CC01EB"/>
    <w:rsid w:val="00CC03FB"/>
    <w:rsid w:val="00CC049E"/>
    <w:rsid w:val="00CC0670"/>
    <w:rsid w:val="00CC0743"/>
    <w:rsid w:val="00CC0830"/>
    <w:rsid w:val="00CC0862"/>
    <w:rsid w:val="00CC0A15"/>
    <w:rsid w:val="00CC0B70"/>
    <w:rsid w:val="00CC0BBE"/>
    <w:rsid w:val="00CC0BFF"/>
    <w:rsid w:val="00CC100B"/>
    <w:rsid w:val="00CC1311"/>
    <w:rsid w:val="00CC135D"/>
    <w:rsid w:val="00CC15A2"/>
    <w:rsid w:val="00CC165E"/>
    <w:rsid w:val="00CC1690"/>
    <w:rsid w:val="00CC185F"/>
    <w:rsid w:val="00CC1969"/>
    <w:rsid w:val="00CC19DE"/>
    <w:rsid w:val="00CC1B04"/>
    <w:rsid w:val="00CC1C7E"/>
    <w:rsid w:val="00CC1FF0"/>
    <w:rsid w:val="00CC2213"/>
    <w:rsid w:val="00CC2221"/>
    <w:rsid w:val="00CC22A0"/>
    <w:rsid w:val="00CC2320"/>
    <w:rsid w:val="00CC23B3"/>
    <w:rsid w:val="00CC24D7"/>
    <w:rsid w:val="00CC25C1"/>
    <w:rsid w:val="00CC2614"/>
    <w:rsid w:val="00CC27FE"/>
    <w:rsid w:val="00CC2852"/>
    <w:rsid w:val="00CC290E"/>
    <w:rsid w:val="00CC2939"/>
    <w:rsid w:val="00CC2995"/>
    <w:rsid w:val="00CC2A78"/>
    <w:rsid w:val="00CC2BB0"/>
    <w:rsid w:val="00CC2D98"/>
    <w:rsid w:val="00CC2E06"/>
    <w:rsid w:val="00CC2E07"/>
    <w:rsid w:val="00CC2EE5"/>
    <w:rsid w:val="00CC3066"/>
    <w:rsid w:val="00CC3248"/>
    <w:rsid w:val="00CC34CC"/>
    <w:rsid w:val="00CC367D"/>
    <w:rsid w:val="00CC3772"/>
    <w:rsid w:val="00CC3A33"/>
    <w:rsid w:val="00CC3D23"/>
    <w:rsid w:val="00CC3D5D"/>
    <w:rsid w:val="00CC3D91"/>
    <w:rsid w:val="00CC3F04"/>
    <w:rsid w:val="00CC40DC"/>
    <w:rsid w:val="00CC40F3"/>
    <w:rsid w:val="00CC4210"/>
    <w:rsid w:val="00CC4238"/>
    <w:rsid w:val="00CC44F1"/>
    <w:rsid w:val="00CC44FE"/>
    <w:rsid w:val="00CC457A"/>
    <w:rsid w:val="00CC4731"/>
    <w:rsid w:val="00CC48DB"/>
    <w:rsid w:val="00CC4921"/>
    <w:rsid w:val="00CC498E"/>
    <w:rsid w:val="00CC4CB7"/>
    <w:rsid w:val="00CC501A"/>
    <w:rsid w:val="00CC5431"/>
    <w:rsid w:val="00CC5476"/>
    <w:rsid w:val="00CC57C3"/>
    <w:rsid w:val="00CC582F"/>
    <w:rsid w:val="00CC5D2E"/>
    <w:rsid w:val="00CC5E1B"/>
    <w:rsid w:val="00CC5EB3"/>
    <w:rsid w:val="00CC62B3"/>
    <w:rsid w:val="00CC6380"/>
    <w:rsid w:val="00CC644D"/>
    <w:rsid w:val="00CC653E"/>
    <w:rsid w:val="00CC658D"/>
    <w:rsid w:val="00CC665A"/>
    <w:rsid w:val="00CC67EC"/>
    <w:rsid w:val="00CC697E"/>
    <w:rsid w:val="00CC6C2F"/>
    <w:rsid w:val="00CC6D92"/>
    <w:rsid w:val="00CC6FB8"/>
    <w:rsid w:val="00CC718D"/>
    <w:rsid w:val="00CC7210"/>
    <w:rsid w:val="00CC7268"/>
    <w:rsid w:val="00CC741C"/>
    <w:rsid w:val="00CC74A2"/>
    <w:rsid w:val="00CC75E8"/>
    <w:rsid w:val="00CC7749"/>
    <w:rsid w:val="00CC779C"/>
    <w:rsid w:val="00CC799D"/>
    <w:rsid w:val="00CC7ADE"/>
    <w:rsid w:val="00CC7BF1"/>
    <w:rsid w:val="00CC7C4B"/>
    <w:rsid w:val="00CC7E5A"/>
    <w:rsid w:val="00CC7F36"/>
    <w:rsid w:val="00CD021F"/>
    <w:rsid w:val="00CD0396"/>
    <w:rsid w:val="00CD0492"/>
    <w:rsid w:val="00CD0518"/>
    <w:rsid w:val="00CD0593"/>
    <w:rsid w:val="00CD05B9"/>
    <w:rsid w:val="00CD078E"/>
    <w:rsid w:val="00CD0793"/>
    <w:rsid w:val="00CD07CA"/>
    <w:rsid w:val="00CD07DE"/>
    <w:rsid w:val="00CD0A9C"/>
    <w:rsid w:val="00CD0C72"/>
    <w:rsid w:val="00CD107A"/>
    <w:rsid w:val="00CD1147"/>
    <w:rsid w:val="00CD1184"/>
    <w:rsid w:val="00CD1311"/>
    <w:rsid w:val="00CD146B"/>
    <w:rsid w:val="00CD155B"/>
    <w:rsid w:val="00CD1A3E"/>
    <w:rsid w:val="00CD1B15"/>
    <w:rsid w:val="00CD1F64"/>
    <w:rsid w:val="00CD1FD1"/>
    <w:rsid w:val="00CD20D4"/>
    <w:rsid w:val="00CD2136"/>
    <w:rsid w:val="00CD2187"/>
    <w:rsid w:val="00CD246B"/>
    <w:rsid w:val="00CD2519"/>
    <w:rsid w:val="00CD251C"/>
    <w:rsid w:val="00CD2777"/>
    <w:rsid w:val="00CD27CA"/>
    <w:rsid w:val="00CD29A3"/>
    <w:rsid w:val="00CD29A5"/>
    <w:rsid w:val="00CD2C94"/>
    <w:rsid w:val="00CD2CDC"/>
    <w:rsid w:val="00CD2F34"/>
    <w:rsid w:val="00CD32BA"/>
    <w:rsid w:val="00CD38CC"/>
    <w:rsid w:val="00CD3902"/>
    <w:rsid w:val="00CD3A8A"/>
    <w:rsid w:val="00CD3B66"/>
    <w:rsid w:val="00CD3D0F"/>
    <w:rsid w:val="00CD3DC9"/>
    <w:rsid w:val="00CD3E6E"/>
    <w:rsid w:val="00CD3F02"/>
    <w:rsid w:val="00CD412A"/>
    <w:rsid w:val="00CD4456"/>
    <w:rsid w:val="00CD4817"/>
    <w:rsid w:val="00CD4CB3"/>
    <w:rsid w:val="00CD4ED3"/>
    <w:rsid w:val="00CD4F23"/>
    <w:rsid w:val="00CD4FC6"/>
    <w:rsid w:val="00CD520E"/>
    <w:rsid w:val="00CD5217"/>
    <w:rsid w:val="00CD5269"/>
    <w:rsid w:val="00CD52AF"/>
    <w:rsid w:val="00CD531E"/>
    <w:rsid w:val="00CD5329"/>
    <w:rsid w:val="00CD5562"/>
    <w:rsid w:val="00CD558B"/>
    <w:rsid w:val="00CD55B3"/>
    <w:rsid w:val="00CD55BF"/>
    <w:rsid w:val="00CD5668"/>
    <w:rsid w:val="00CD58AE"/>
    <w:rsid w:val="00CD5958"/>
    <w:rsid w:val="00CD595B"/>
    <w:rsid w:val="00CD59D9"/>
    <w:rsid w:val="00CD5A05"/>
    <w:rsid w:val="00CD5B7D"/>
    <w:rsid w:val="00CD5BF6"/>
    <w:rsid w:val="00CD5D9A"/>
    <w:rsid w:val="00CD5DBF"/>
    <w:rsid w:val="00CD5F3B"/>
    <w:rsid w:val="00CD6333"/>
    <w:rsid w:val="00CD6457"/>
    <w:rsid w:val="00CD6899"/>
    <w:rsid w:val="00CD6906"/>
    <w:rsid w:val="00CD6A11"/>
    <w:rsid w:val="00CD6A7B"/>
    <w:rsid w:val="00CD6ABC"/>
    <w:rsid w:val="00CD6CB5"/>
    <w:rsid w:val="00CD6D6C"/>
    <w:rsid w:val="00CD6DE9"/>
    <w:rsid w:val="00CD6E88"/>
    <w:rsid w:val="00CD6F53"/>
    <w:rsid w:val="00CD7065"/>
    <w:rsid w:val="00CD7286"/>
    <w:rsid w:val="00CD7288"/>
    <w:rsid w:val="00CD7411"/>
    <w:rsid w:val="00CD750A"/>
    <w:rsid w:val="00CD7576"/>
    <w:rsid w:val="00CD76D3"/>
    <w:rsid w:val="00CD7A6E"/>
    <w:rsid w:val="00CD7CD0"/>
    <w:rsid w:val="00CD7D81"/>
    <w:rsid w:val="00CD7DED"/>
    <w:rsid w:val="00CD7E16"/>
    <w:rsid w:val="00CD7E1D"/>
    <w:rsid w:val="00CD7E48"/>
    <w:rsid w:val="00CD7EE5"/>
    <w:rsid w:val="00CD7FD7"/>
    <w:rsid w:val="00CE0097"/>
    <w:rsid w:val="00CE045D"/>
    <w:rsid w:val="00CE04A0"/>
    <w:rsid w:val="00CE04BA"/>
    <w:rsid w:val="00CE06BD"/>
    <w:rsid w:val="00CE073C"/>
    <w:rsid w:val="00CE07A2"/>
    <w:rsid w:val="00CE0855"/>
    <w:rsid w:val="00CE0A5D"/>
    <w:rsid w:val="00CE0B6C"/>
    <w:rsid w:val="00CE0DB5"/>
    <w:rsid w:val="00CE102F"/>
    <w:rsid w:val="00CE1086"/>
    <w:rsid w:val="00CE113D"/>
    <w:rsid w:val="00CE11B2"/>
    <w:rsid w:val="00CE14C1"/>
    <w:rsid w:val="00CE157F"/>
    <w:rsid w:val="00CE1AAD"/>
    <w:rsid w:val="00CE1C11"/>
    <w:rsid w:val="00CE1CAE"/>
    <w:rsid w:val="00CE1D24"/>
    <w:rsid w:val="00CE2349"/>
    <w:rsid w:val="00CE23B9"/>
    <w:rsid w:val="00CE23BA"/>
    <w:rsid w:val="00CE250E"/>
    <w:rsid w:val="00CE2576"/>
    <w:rsid w:val="00CE25C0"/>
    <w:rsid w:val="00CE265B"/>
    <w:rsid w:val="00CE26BC"/>
    <w:rsid w:val="00CE2719"/>
    <w:rsid w:val="00CE28CA"/>
    <w:rsid w:val="00CE2B4F"/>
    <w:rsid w:val="00CE2CC5"/>
    <w:rsid w:val="00CE2DE6"/>
    <w:rsid w:val="00CE2E12"/>
    <w:rsid w:val="00CE2F26"/>
    <w:rsid w:val="00CE3042"/>
    <w:rsid w:val="00CE3068"/>
    <w:rsid w:val="00CE30A7"/>
    <w:rsid w:val="00CE30B0"/>
    <w:rsid w:val="00CE30E6"/>
    <w:rsid w:val="00CE333D"/>
    <w:rsid w:val="00CE341F"/>
    <w:rsid w:val="00CE345F"/>
    <w:rsid w:val="00CE34DC"/>
    <w:rsid w:val="00CE368B"/>
    <w:rsid w:val="00CE36DD"/>
    <w:rsid w:val="00CE3BF2"/>
    <w:rsid w:val="00CE3C00"/>
    <w:rsid w:val="00CE3CFE"/>
    <w:rsid w:val="00CE3F11"/>
    <w:rsid w:val="00CE40AB"/>
    <w:rsid w:val="00CE4194"/>
    <w:rsid w:val="00CE41A4"/>
    <w:rsid w:val="00CE41CC"/>
    <w:rsid w:val="00CE44E5"/>
    <w:rsid w:val="00CE4501"/>
    <w:rsid w:val="00CE476B"/>
    <w:rsid w:val="00CE4787"/>
    <w:rsid w:val="00CE4825"/>
    <w:rsid w:val="00CE4A02"/>
    <w:rsid w:val="00CE4BBB"/>
    <w:rsid w:val="00CE4BBD"/>
    <w:rsid w:val="00CE4D3C"/>
    <w:rsid w:val="00CE4D54"/>
    <w:rsid w:val="00CE4DC4"/>
    <w:rsid w:val="00CE5135"/>
    <w:rsid w:val="00CE5203"/>
    <w:rsid w:val="00CE533F"/>
    <w:rsid w:val="00CE5457"/>
    <w:rsid w:val="00CE5899"/>
    <w:rsid w:val="00CE593A"/>
    <w:rsid w:val="00CE593C"/>
    <w:rsid w:val="00CE5E98"/>
    <w:rsid w:val="00CE5F30"/>
    <w:rsid w:val="00CE60CD"/>
    <w:rsid w:val="00CE6389"/>
    <w:rsid w:val="00CE66E2"/>
    <w:rsid w:val="00CE674A"/>
    <w:rsid w:val="00CE6972"/>
    <w:rsid w:val="00CE69E1"/>
    <w:rsid w:val="00CE69FC"/>
    <w:rsid w:val="00CE6A21"/>
    <w:rsid w:val="00CE6CC6"/>
    <w:rsid w:val="00CE6D3D"/>
    <w:rsid w:val="00CE6E7E"/>
    <w:rsid w:val="00CE6E81"/>
    <w:rsid w:val="00CE726B"/>
    <w:rsid w:val="00CE7508"/>
    <w:rsid w:val="00CE7D6C"/>
    <w:rsid w:val="00CE7DA2"/>
    <w:rsid w:val="00CE7DAC"/>
    <w:rsid w:val="00CF0079"/>
    <w:rsid w:val="00CF0219"/>
    <w:rsid w:val="00CF031B"/>
    <w:rsid w:val="00CF03FB"/>
    <w:rsid w:val="00CF04B4"/>
    <w:rsid w:val="00CF0562"/>
    <w:rsid w:val="00CF05DB"/>
    <w:rsid w:val="00CF05E0"/>
    <w:rsid w:val="00CF06C5"/>
    <w:rsid w:val="00CF07B4"/>
    <w:rsid w:val="00CF08D7"/>
    <w:rsid w:val="00CF0915"/>
    <w:rsid w:val="00CF098F"/>
    <w:rsid w:val="00CF0A04"/>
    <w:rsid w:val="00CF0B33"/>
    <w:rsid w:val="00CF0B8C"/>
    <w:rsid w:val="00CF0D06"/>
    <w:rsid w:val="00CF0FC4"/>
    <w:rsid w:val="00CF1089"/>
    <w:rsid w:val="00CF1204"/>
    <w:rsid w:val="00CF122A"/>
    <w:rsid w:val="00CF1266"/>
    <w:rsid w:val="00CF1347"/>
    <w:rsid w:val="00CF14BE"/>
    <w:rsid w:val="00CF15DD"/>
    <w:rsid w:val="00CF1B6F"/>
    <w:rsid w:val="00CF1C79"/>
    <w:rsid w:val="00CF1D89"/>
    <w:rsid w:val="00CF1EFC"/>
    <w:rsid w:val="00CF1F60"/>
    <w:rsid w:val="00CF2121"/>
    <w:rsid w:val="00CF2157"/>
    <w:rsid w:val="00CF2193"/>
    <w:rsid w:val="00CF223A"/>
    <w:rsid w:val="00CF225A"/>
    <w:rsid w:val="00CF24F0"/>
    <w:rsid w:val="00CF262E"/>
    <w:rsid w:val="00CF26C2"/>
    <w:rsid w:val="00CF2708"/>
    <w:rsid w:val="00CF27DF"/>
    <w:rsid w:val="00CF294F"/>
    <w:rsid w:val="00CF2A7F"/>
    <w:rsid w:val="00CF2C08"/>
    <w:rsid w:val="00CF2C97"/>
    <w:rsid w:val="00CF2F01"/>
    <w:rsid w:val="00CF2F64"/>
    <w:rsid w:val="00CF3082"/>
    <w:rsid w:val="00CF311A"/>
    <w:rsid w:val="00CF3359"/>
    <w:rsid w:val="00CF3400"/>
    <w:rsid w:val="00CF343A"/>
    <w:rsid w:val="00CF34AA"/>
    <w:rsid w:val="00CF379F"/>
    <w:rsid w:val="00CF3C87"/>
    <w:rsid w:val="00CF4256"/>
    <w:rsid w:val="00CF4277"/>
    <w:rsid w:val="00CF42DF"/>
    <w:rsid w:val="00CF4307"/>
    <w:rsid w:val="00CF4452"/>
    <w:rsid w:val="00CF44B1"/>
    <w:rsid w:val="00CF479B"/>
    <w:rsid w:val="00CF4A31"/>
    <w:rsid w:val="00CF4D4A"/>
    <w:rsid w:val="00CF5125"/>
    <w:rsid w:val="00CF53FE"/>
    <w:rsid w:val="00CF54E1"/>
    <w:rsid w:val="00CF570D"/>
    <w:rsid w:val="00CF5D03"/>
    <w:rsid w:val="00CF5E20"/>
    <w:rsid w:val="00CF6181"/>
    <w:rsid w:val="00CF63AD"/>
    <w:rsid w:val="00CF6493"/>
    <w:rsid w:val="00CF6696"/>
    <w:rsid w:val="00CF695D"/>
    <w:rsid w:val="00CF698D"/>
    <w:rsid w:val="00CF6D18"/>
    <w:rsid w:val="00CF70D1"/>
    <w:rsid w:val="00CF7182"/>
    <w:rsid w:val="00CF71D5"/>
    <w:rsid w:val="00CF73FC"/>
    <w:rsid w:val="00CF7429"/>
    <w:rsid w:val="00CF76E5"/>
    <w:rsid w:val="00CF7716"/>
    <w:rsid w:val="00CF78A9"/>
    <w:rsid w:val="00CF7A0A"/>
    <w:rsid w:val="00CF7B62"/>
    <w:rsid w:val="00CF7BBF"/>
    <w:rsid w:val="00CF7C62"/>
    <w:rsid w:val="00CF7F96"/>
    <w:rsid w:val="00CF7FAF"/>
    <w:rsid w:val="00D0008E"/>
    <w:rsid w:val="00D0023C"/>
    <w:rsid w:val="00D007CD"/>
    <w:rsid w:val="00D007F4"/>
    <w:rsid w:val="00D007F7"/>
    <w:rsid w:val="00D009E6"/>
    <w:rsid w:val="00D00AA4"/>
    <w:rsid w:val="00D00CA0"/>
    <w:rsid w:val="00D00D80"/>
    <w:rsid w:val="00D00EEC"/>
    <w:rsid w:val="00D00F9D"/>
    <w:rsid w:val="00D0127B"/>
    <w:rsid w:val="00D0133E"/>
    <w:rsid w:val="00D01361"/>
    <w:rsid w:val="00D01381"/>
    <w:rsid w:val="00D01453"/>
    <w:rsid w:val="00D01834"/>
    <w:rsid w:val="00D018FE"/>
    <w:rsid w:val="00D01954"/>
    <w:rsid w:val="00D0198D"/>
    <w:rsid w:val="00D01A27"/>
    <w:rsid w:val="00D01C41"/>
    <w:rsid w:val="00D01D5C"/>
    <w:rsid w:val="00D01ED5"/>
    <w:rsid w:val="00D0210F"/>
    <w:rsid w:val="00D021F0"/>
    <w:rsid w:val="00D02271"/>
    <w:rsid w:val="00D02391"/>
    <w:rsid w:val="00D02402"/>
    <w:rsid w:val="00D0244D"/>
    <w:rsid w:val="00D02456"/>
    <w:rsid w:val="00D0245B"/>
    <w:rsid w:val="00D026BC"/>
    <w:rsid w:val="00D02896"/>
    <w:rsid w:val="00D02AD7"/>
    <w:rsid w:val="00D02BB7"/>
    <w:rsid w:val="00D02C47"/>
    <w:rsid w:val="00D03308"/>
    <w:rsid w:val="00D03325"/>
    <w:rsid w:val="00D03458"/>
    <w:rsid w:val="00D0366B"/>
    <w:rsid w:val="00D036D9"/>
    <w:rsid w:val="00D039E5"/>
    <w:rsid w:val="00D03C35"/>
    <w:rsid w:val="00D03E7A"/>
    <w:rsid w:val="00D03E7B"/>
    <w:rsid w:val="00D03E8F"/>
    <w:rsid w:val="00D03F6B"/>
    <w:rsid w:val="00D0416D"/>
    <w:rsid w:val="00D0452C"/>
    <w:rsid w:val="00D0454C"/>
    <w:rsid w:val="00D047D3"/>
    <w:rsid w:val="00D04827"/>
    <w:rsid w:val="00D0496B"/>
    <w:rsid w:val="00D04EFF"/>
    <w:rsid w:val="00D04F25"/>
    <w:rsid w:val="00D04F87"/>
    <w:rsid w:val="00D051A6"/>
    <w:rsid w:val="00D051E5"/>
    <w:rsid w:val="00D05245"/>
    <w:rsid w:val="00D05307"/>
    <w:rsid w:val="00D053EE"/>
    <w:rsid w:val="00D054FD"/>
    <w:rsid w:val="00D0557D"/>
    <w:rsid w:val="00D05657"/>
    <w:rsid w:val="00D05669"/>
    <w:rsid w:val="00D05970"/>
    <w:rsid w:val="00D05A2E"/>
    <w:rsid w:val="00D05A37"/>
    <w:rsid w:val="00D05A66"/>
    <w:rsid w:val="00D05A68"/>
    <w:rsid w:val="00D05D64"/>
    <w:rsid w:val="00D0601C"/>
    <w:rsid w:val="00D0630F"/>
    <w:rsid w:val="00D0673D"/>
    <w:rsid w:val="00D06878"/>
    <w:rsid w:val="00D06A55"/>
    <w:rsid w:val="00D06CBF"/>
    <w:rsid w:val="00D06CEE"/>
    <w:rsid w:val="00D06EDC"/>
    <w:rsid w:val="00D07091"/>
    <w:rsid w:val="00D0713C"/>
    <w:rsid w:val="00D071B3"/>
    <w:rsid w:val="00D078C6"/>
    <w:rsid w:val="00D07C33"/>
    <w:rsid w:val="00D07FB4"/>
    <w:rsid w:val="00D1036E"/>
    <w:rsid w:val="00D10426"/>
    <w:rsid w:val="00D1052A"/>
    <w:rsid w:val="00D105CA"/>
    <w:rsid w:val="00D1060A"/>
    <w:rsid w:val="00D107E7"/>
    <w:rsid w:val="00D1097A"/>
    <w:rsid w:val="00D109C8"/>
    <w:rsid w:val="00D10B5B"/>
    <w:rsid w:val="00D10D0E"/>
    <w:rsid w:val="00D10E7B"/>
    <w:rsid w:val="00D10E82"/>
    <w:rsid w:val="00D10E91"/>
    <w:rsid w:val="00D10F5A"/>
    <w:rsid w:val="00D10F63"/>
    <w:rsid w:val="00D10F7E"/>
    <w:rsid w:val="00D1105A"/>
    <w:rsid w:val="00D11127"/>
    <w:rsid w:val="00D1137B"/>
    <w:rsid w:val="00D11622"/>
    <w:rsid w:val="00D11750"/>
    <w:rsid w:val="00D11850"/>
    <w:rsid w:val="00D11B48"/>
    <w:rsid w:val="00D11B6E"/>
    <w:rsid w:val="00D11DB6"/>
    <w:rsid w:val="00D11E20"/>
    <w:rsid w:val="00D11F1B"/>
    <w:rsid w:val="00D11F4B"/>
    <w:rsid w:val="00D121FC"/>
    <w:rsid w:val="00D123D1"/>
    <w:rsid w:val="00D12482"/>
    <w:rsid w:val="00D125BD"/>
    <w:rsid w:val="00D12700"/>
    <w:rsid w:val="00D12892"/>
    <w:rsid w:val="00D1298F"/>
    <w:rsid w:val="00D12A9E"/>
    <w:rsid w:val="00D12BB7"/>
    <w:rsid w:val="00D12ED0"/>
    <w:rsid w:val="00D13154"/>
    <w:rsid w:val="00D132C4"/>
    <w:rsid w:val="00D132D5"/>
    <w:rsid w:val="00D13489"/>
    <w:rsid w:val="00D13621"/>
    <w:rsid w:val="00D136F8"/>
    <w:rsid w:val="00D13A0C"/>
    <w:rsid w:val="00D13AB2"/>
    <w:rsid w:val="00D13E53"/>
    <w:rsid w:val="00D13F94"/>
    <w:rsid w:val="00D14449"/>
    <w:rsid w:val="00D14492"/>
    <w:rsid w:val="00D147E2"/>
    <w:rsid w:val="00D14AFC"/>
    <w:rsid w:val="00D14B0B"/>
    <w:rsid w:val="00D14CBF"/>
    <w:rsid w:val="00D14D8A"/>
    <w:rsid w:val="00D14F85"/>
    <w:rsid w:val="00D14FB1"/>
    <w:rsid w:val="00D151EA"/>
    <w:rsid w:val="00D15303"/>
    <w:rsid w:val="00D15365"/>
    <w:rsid w:val="00D15379"/>
    <w:rsid w:val="00D15740"/>
    <w:rsid w:val="00D1601B"/>
    <w:rsid w:val="00D16051"/>
    <w:rsid w:val="00D160F7"/>
    <w:rsid w:val="00D1623E"/>
    <w:rsid w:val="00D16297"/>
    <w:rsid w:val="00D162CA"/>
    <w:rsid w:val="00D1658F"/>
    <w:rsid w:val="00D168DB"/>
    <w:rsid w:val="00D16B1D"/>
    <w:rsid w:val="00D16C83"/>
    <w:rsid w:val="00D16D0D"/>
    <w:rsid w:val="00D16D8D"/>
    <w:rsid w:val="00D16EF2"/>
    <w:rsid w:val="00D16F64"/>
    <w:rsid w:val="00D170C7"/>
    <w:rsid w:val="00D1769A"/>
    <w:rsid w:val="00D17788"/>
    <w:rsid w:val="00D178B9"/>
    <w:rsid w:val="00D20039"/>
    <w:rsid w:val="00D2011C"/>
    <w:rsid w:val="00D20316"/>
    <w:rsid w:val="00D2033B"/>
    <w:rsid w:val="00D20461"/>
    <w:rsid w:val="00D208BD"/>
    <w:rsid w:val="00D20A19"/>
    <w:rsid w:val="00D20B75"/>
    <w:rsid w:val="00D20B8B"/>
    <w:rsid w:val="00D20EB0"/>
    <w:rsid w:val="00D20F39"/>
    <w:rsid w:val="00D21163"/>
    <w:rsid w:val="00D2148E"/>
    <w:rsid w:val="00D2173C"/>
    <w:rsid w:val="00D21788"/>
    <w:rsid w:val="00D218BB"/>
    <w:rsid w:val="00D21A6E"/>
    <w:rsid w:val="00D21D69"/>
    <w:rsid w:val="00D21E62"/>
    <w:rsid w:val="00D21FA8"/>
    <w:rsid w:val="00D22035"/>
    <w:rsid w:val="00D22051"/>
    <w:rsid w:val="00D220EF"/>
    <w:rsid w:val="00D22166"/>
    <w:rsid w:val="00D22469"/>
    <w:rsid w:val="00D224D2"/>
    <w:rsid w:val="00D224F0"/>
    <w:rsid w:val="00D225A3"/>
    <w:rsid w:val="00D225CB"/>
    <w:rsid w:val="00D22675"/>
    <w:rsid w:val="00D22B80"/>
    <w:rsid w:val="00D22B8A"/>
    <w:rsid w:val="00D22EDF"/>
    <w:rsid w:val="00D22FB2"/>
    <w:rsid w:val="00D2301C"/>
    <w:rsid w:val="00D2314B"/>
    <w:rsid w:val="00D2334D"/>
    <w:rsid w:val="00D23412"/>
    <w:rsid w:val="00D236B7"/>
    <w:rsid w:val="00D23A8F"/>
    <w:rsid w:val="00D23B5E"/>
    <w:rsid w:val="00D23BE3"/>
    <w:rsid w:val="00D23E48"/>
    <w:rsid w:val="00D23EFB"/>
    <w:rsid w:val="00D23FF7"/>
    <w:rsid w:val="00D242D4"/>
    <w:rsid w:val="00D243EA"/>
    <w:rsid w:val="00D244BE"/>
    <w:rsid w:val="00D244CE"/>
    <w:rsid w:val="00D24537"/>
    <w:rsid w:val="00D24640"/>
    <w:rsid w:val="00D2482F"/>
    <w:rsid w:val="00D249E6"/>
    <w:rsid w:val="00D24B50"/>
    <w:rsid w:val="00D24B54"/>
    <w:rsid w:val="00D24C4C"/>
    <w:rsid w:val="00D24E41"/>
    <w:rsid w:val="00D252B0"/>
    <w:rsid w:val="00D25352"/>
    <w:rsid w:val="00D2538E"/>
    <w:rsid w:val="00D25410"/>
    <w:rsid w:val="00D25964"/>
    <w:rsid w:val="00D25EC9"/>
    <w:rsid w:val="00D25FED"/>
    <w:rsid w:val="00D26011"/>
    <w:rsid w:val="00D26116"/>
    <w:rsid w:val="00D2617D"/>
    <w:rsid w:val="00D262A9"/>
    <w:rsid w:val="00D263FE"/>
    <w:rsid w:val="00D26488"/>
    <w:rsid w:val="00D268D9"/>
    <w:rsid w:val="00D2692A"/>
    <w:rsid w:val="00D26A83"/>
    <w:rsid w:val="00D26B2F"/>
    <w:rsid w:val="00D26B35"/>
    <w:rsid w:val="00D26C86"/>
    <w:rsid w:val="00D26D2F"/>
    <w:rsid w:val="00D26EF9"/>
    <w:rsid w:val="00D26F36"/>
    <w:rsid w:val="00D27232"/>
    <w:rsid w:val="00D2755B"/>
    <w:rsid w:val="00D276C6"/>
    <w:rsid w:val="00D2780E"/>
    <w:rsid w:val="00D278E5"/>
    <w:rsid w:val="00D278F4"/>
    <w:rsid w:val="00D27A3C"/>
    <w:rsid w:val="00D27B83"/>
    <w:rsid w:val="00D27BA6"/>
    <w:rsid w:val="00D27E4F"/>
    <w:rsid w:val="00D27E64"/>
    <w:rsid w:val="00D27F2D"/>
    <w:rsid w:val="00D27F5E"/>
    <w:rsid w:val="00D300C0"/>
    <w:rsid w:val="00D300E9"/>
    <w:rsid w:val="00D30118"/>
    <w:rsid w:val="00D301FE"/>
    <w:rsid w:val="00D30334"/>
    <w:rsid w:val="00D3034D"/>
    <w:rsid w:val="00D304CF"/>
    <w:rsid w:val="00D30515"/>
    <w:rsid w:val="00D30814"/>
    <w:rsid w:val="00D3081D"/>
    <w:rsid w:val="00D3090A"/>
    <w:rsid w:val="00D30973"/>
    <w:rsid w:val="00D30B6D"/>
    <w:rsid w:val="00D310C4"/>
    <w:rsid w:val="00D310F3"/>
    <w:rsid w:val="00D3111E"/>
    <w:rsid w:val="00D31221"/>
    <w:rsid w:val="00D31318"/>
    <w:rsid w:val="00D3141C"/>
    <w:rsid w:val="00D31467"/>
    <w:rsid w:val="00D31546"/>
    <w:rsid w:val="00D316DF"/>
    <w:rsid w:val="00D31700"/>
    <w:rsid w:val="00D31761"/>
    <w:rsid w:val="00D31851"/>
    <w:rsid w:val="00D319FF"/>
    <w:rsid w:val="00D31C49"/>
    <w:rsid w:val="00D31F4A"/>
    <w:rsid w:val="00D31F7E"/>
    <w:rsid w:val="00D31F8D"/>
    <w:rsid w:val="00D32012"/>
    <w:rsid w:val="00D323F9"/>
    <w:rsid w:val="00D32449"/>
    <w:rsid w:val="00D3256E"/>
    <w:rsid w:val="00D32664"/>
    <w:rsid w:val="00D326D0"/>
    <w:rsid w:val="00D326DD"/>
    <w:rsid w:val="00D3282E"/>
    <w:rsid w:val="00D328B8"/>
    <w:rsid w:val="00D32B7D"/>
    <w:rsid w:val="00D32D36"/>
    <w:rsid w:val="00D32F94"/>
    <w:rsid w:val="00D32FA5"/>
    <w:rsid w:val="00D3300B"/>
    <w:rsid w:val="00D33116"/>
    <w:rsid w:val="00D333EC"/>
    <w:rsid w:val="00D33558"/>
    <w:rsid w:val="00D336AD"/>
    <w:rsid w:val="00D3377F"/>
    <w:rsid w:val="00D339AB"/>
    <w:rsid w:val="00D33AE9"/>
    <w:rsid w:val="00D33C32"/>
    <w:rsid w:val="00D33C38"/>
    <w:rsid w:val="00D33EBE"/>
    <w:rsid w:val="00D34023"/>
    <w:rsid w:val="00D34058"/>
    <w:rsid w:val="00D34376"/>
    <w:rsid w:val="00D3459B"/>
    <w:rsid w:val="00D34615"/>
    <w:rsid w:val="00D34946"/>
    <w:rsid w:val="00D349FD"/>
    <w:rsid w:val="00D34C3A"/>
    <w:rsid w:val="00D35223"/>
    <w:rsid w:val="00D35357"/>
    <w:rsid w:val="00D353B4"/>
    <w:rsid w:val="00D356CF"/>
    <w:rsid w:val="00D35755"/>
    <w:rsid w:val="00D357CA"/>
    <w:rsid w:val="00D3581F"/>
    <w:rsid w:val="00D35973"/>
    <w:rsid w:val="00D35BDD"/>
    <w:rsid w:val="00D35D9E"/>
    <w:rsid w:val="00D35E91"/>
    <w:rsid w:val="00D35FE9"/>
    <w:rsid w:val="00D36096"/>
    <w:rsid w:val="00D361D6"/>
    <w:rsid w:val="00D361D9"/>
    <w:rsid w:val="00D3633F"/>
    <w:rsid w:val="00D367B7"/>
    <w:rsid w:val="00D3681B"/>
    <w:rsid w:val="00D368ED"/>
    <w:rsid w:val="00D36955"/>
    <w:rsid w:val="00D3695F"/>
    <w:rsid w:val="00D36BD4"/>
    <w:rsid w:val="00D36C57"/>
    <w:rsid w:val="00D36CB6"/>
    <w:rsid w:val="00D36CC6"/>
    <w:rsid w:val="00D36CFB"/>
    <w:rsid w:val="00D36DCE"/>
    <w:rsid w:val="00D370CA"/>
    <w:rsid w:val="00D3714E"/>
    <w:rsid w:val="00D3718F"/>
    <w:rsid w:val="00D3737A"/>
    <w:rsid w:val="00D373FF"/>
    <w:rsid w:val="00D374F2"/>
    <w:rsid w:val="00D375EF"/>
    <w:rsid w:val="00D37835"/>
    <w:rsid w:val="00D3790D"/>
    <w:rsid w:val="00D37ECC"/>
    <w:rsid w:val="00D40177"/>
    <w:rsid w:val="00D401AB"/>
    <w:rsid w:val="00D401C6"/>
    <w:rsid w:val="00D40381"/>
    <w:rsid w:val="00D40422"/>
    <w:rsid w:val="00D4049E"/>
    <w:rsid w:val="00D40508"/>
    <w:rsid w:val="00D40651"/>
    <w:rsid w:val="00D4065B"/>
    <w:rsid w:val="00D406B2"/>
    <w:rsid w:val="00D407C0"/>
    <w:rsid w:val="00D40A0A"/>
    <w:rsid w:val="00D40B95"/>
    <w:rsid w:val="00D40C11"/>
    <w:rsid w:val="00D40CD6"/>
    <w:rsid w:val="00D40EAE"/>
    <w:rsid w:val="00D4111E"/>
    <w:rsid w:val="00D413C5"/>
    <w:rsid w:val="00D414C7"/>
    <w:rsid w:val="00D415DC"/>
    <w:rsid w:val="00D418DA"/>
    <w:rsid w:val="00D41936"/>
    <w:rsid w:val="00D41A59"/>
    <w:rsid w:val="00D41CF9"/>
    <w:rsid w:val="00D41D17"/>
    <w:rsid w:val="00D41E77"/>
    <w:rsid w:val="00D41FE5"/>
    <w:rsid w:val="00D422DB"/>
    <w:rsid w:val="00D426A5"/>
    <w:rsid w:val="00D42794"/>
    <w:rsid w:val="00D427CA"/>
    <w:rsid w:val="00D4281E"/>
    <w:rsid w:val="00D4287D"/>
    <w:rsid w:val="00D42933"/>
    <w:rsid w:val="00D42B97"/>
    <w:rsid w:val="00D43020"/>
    <w:rsid w:val="00D43096"/>
    <w:rsid w:val="00D4336E"/>
    <w:rsid w:val="00D43448"/>
    <w:rsid w:val="00D434A1"/>
    <w:rsid w:val="00D43512"/>
    <w:rsid w:val="00D435BD"/>
    <w:rsid w:val="00D437EA"/>
    <w:rsid w:val="00D43B5E"/>
    <w:rsid w:val="00D43BC4"/>
    <w:rsid w:val="00D43BFD"/>
    <w:rsid w:val="00D43C74"/>
    <w:rsid w:val="00D43D04"/>
    <w:rsid w:val="00D43D89"/>
    <w:rsid w:val="00D43DE4"/>
    <w:rsid w:val="00D43E77"/>
    <w:rsid w:val="00D43F83"/>
    <w:rsid w:val="00D44421"/>
    <w:rsid w:val="00D445E0"/>
    <w:rsid w:val="00D4465D"/>
    <w:rsid w:val="00D44715"/>
    <w:rsid w:val="00D44992"/>
    <w:rsid w:val="00D44A2A"/>
    <w:rsid w:val="00D44DD4"/>
    <w:rsid w:val="00D44DEF"/>
    <w:rsid w:val="00D44FC7"/>
    <w:rsid w:val="00D45001"/>
    <w:rsid w:val="00D450DE"/>
    <w:rsid w:val="00D4518D"/>
    <w:rsid w:val="00D452D4"/>
    <w:rsid w:val="00D453A6"/>
    <w:rsid w:val="00D45433"/>
    <w:rsid w:val="00D458E5"/>
    <w:rsid w:val="00D45974"/>
    <w:rsid w:val="00D45A0E"/>
    <w:rsid w:val="00D45A7A"/>
    <w:rsid w:val="00D45AB1"/>
    <w:rsid w:val="00D45DA7"/>
    <w:rsid w:val="00D45DA9"/>
    <w:rsid w:val="00D45DEB"/>
    <w:rsid w:val="00D46027"/>
    <w:rsid w:val="00D46108"/>
    <w:rsid w:val="00D4610D"/>
    <w:rsid w:val="00D4620F"/>
    <w:rsid w:val="00D462B2"/>
    <w:rsid w:val="00D463A2"/>
    <w:rsid w:val="00D4657B"/>
    <w:rsid w:val="00D46593"/>
    <w:rsid w:val="00D46852"/>
    <w:rsid w:val="00D468D4"/>
    <w:rsid w:val="00D469D9"/>
    <w:rsid w:val="00D46A58"/>
    <w:rsid w:val="00D46AB2"/>
    <w:rsid w:val="00D46AF8"/>
    <w:rsid w:val="00D46C90"/>
    <w:rsid w:val="00D46D50"/>
    <w:rsid w:val="00D46DF6"/>
    <w:rsid w:val="00D46E75"/>
    <w:rsid w:val="00D46FEE"/>
    <w:rsid w:val="00D47103"/>
    <w:rsid w:val="00D471ED"/>
    <w:rsid w:val="00D47252"/>
    <w:rsid w:val="00D472D9"/>
    <w:rsid w:val="00D472E3"/>
    <w:rsid w:val="00D47331"/>
    <w:rsid w:val="00D47574"/>
    <w:rsid w:val="00D475DE"/>
    <w:rsid w:val="00D47815"/>
    <w:rsid w:val="00D47A4F"/>
    <w:rsid w:val="00D47C70"/>
    <w:rsid w:val="00D47D2C"/>
    <w:rsid w:val="00D47D98"/>
    <w:rsid w:val="00D500D3"/>
    <w:rsid w:val="00D501AA"/>
    <w:rsid w:val="00D501FA"/>
    <w:rsid w:val="00D50215"/>
    <w:rsid w:val="00D502E0"/>
    <w:rsid w:val="00D50344"/>
    <w:rsid w:val="00D503A5"/>
    <w:rsid w:val="00D5050B"/>
    <w:rsid w:val="00D5069A"/>
    <w:rsid w:val="00D506E8"/>
    <w:rsid w:val="00D5084D"/>
    <w:rsid w:val="00D50B5D"/>
    <w:rsid w:val="00D50C30"/>
    <w:rsid w:val="00D50E05"/>
    <w:rsid w:val="00D50F1A"/>
    <w:rsid w:val="00D5111D"/>
    <w:rsid w:val="00D5127A"/>
    <w:rsid w:val="00D51285"/>
    <w:rsid w:val="00D51477"/>
    <w:rsid w:val="00D51647"/>
    <w:rsid w:val="00D516BD"/>
    <w:rsid w:val="00D51819"/>
    <w:rsid w:val="00D5181B"/>
    <w:rsid w:val="00D518A7"/>
    <w:rsid w:val="00D51930"/>
    <w:rsid w:val="00D51CF0"/>
    <w:rsid w:val="00D51E66"/>
    <w:rsid w:val="00D51F0F"/>
    <w:rsid w:val="00D52283"/>
    <w:rsid w:val="00D52433"/>
    <w:rsid w:val="00D526F8"/>
    <w:rsid w:val="00D52761"/>
    <w:rsid w:val="00D5276E"/>
    <w:rsid w:val="00D527C8"/>
    <w:rsid w:val="00D5287C"/>
    <w:rsid w:val="00D52B7E"/>
    <w:rsid w:val="00D52BBB"/>
    <w:rsid w:val="00D52BD8"/>
    <w:rsid w:val="00D52E6A"/>
    <w:rsid w:val="00D52E88"/>
    <w:rsid w:val="00D532AB"/>
    <w:rsid w:val="00D53427"/>
    <w:rsid w:val="00D53509"/>
    <w:rsid w:val="00D53637"/>
    <w:rsid w:val="00D5376F"/>
    <w:rsid w:val="00D5392D"/>
    <w:rsid w:val="00D53953"/>
    <w:rsid w:val="00D5396D"/>
    <w:rsid w:val="00D539C1"/>
    <w:rsid w:val="00D53BC0"/>
    <w:rsid w:val="00D53CE6"/>
    <w:rsid w:val="00D53DBB"/>
    <w:rsid w:val="00D53F1C"/>
    <w:rsid w:val="00D53F57"/>
    <w:rsid w:val="00D5417D"/>
    <w:rsid w:val="00D54359"/>
    <w:rsid w:val="00D5439D"/>
    <w:rsid w:val="00D54582"/>
    <w:rsid w:val="00D54840"/>
    <w:rsid w:val="00D54A6B"/>
    <w:rsid w:val="00D54B50"/>
    <w:rsid w:val="00D54E69"/>
    <w:rsid w:val="00D552EE"/>
    <w:rsid w:val="00D552FB"/>
    <w:rsid w:val="00D5567E"/>
    <w:rsid w:val="00D5573D"/>
    <w:rsid w:val="00D557F0"/>
    <w:rsid w:val="00D55928"/>
    <w:rsid w:val="00D55AF0"/>
    <w:rsid w:val="00D55C3B"/>
    <w:rsid w:val="00D55F0F"/>
    <w:rsid w:val="00D55FBC"/>
    <w:rsid w:val="00D561BE"/>
    <w:rsid w:val="00D5648E"/>
    <w:rsid w:val="00D565BB"/>
    <w:rsid w:val="00D565D4"/>
    <w:rsid w:val="00D5668C"/>
    <w:rsid w:val="00D5670B"/>
    <w:rsid w:val="00D5671A"/>
    <w:rsid w:val="00D567A6"/>
    <w:rsid w:val="00D56883"/>
    <w:rsid w:val="00D5689F"/>
    <w:rsid w:val="00D568FD"/>
    <w:rsid w:val="00D56B70"/>
    <w:rsid w:val="00D56C1A"/>
    <w:rsid w:val="00D56F15"/>
    <w:rsid w:val="00D57054"/>
    <w:rsid w:val="00D57119"/>
    <w:rsid w:val="00D5713D"/>
    <w:rsid w:val="00D57180"/>
    <w:rsid w:val="00D573EC"/>
    <w:rsid w:val="00D57476"/>
    <w:rsid w:val="00D574BF"/>
    <w:rsid w:val="00D575C6"/>
    <w:rsid w:val="00D577B7"/>
    <w:rsid w:val="00D578F0"/>
    <w:rsid w:val="00D57A56"/>
    <w:rsid w:val="00D57AA2"/>
    <w:rsid w:val="00D57AB1"/>
    <w:rsid w:val="00D57B11"/>
    <w:rsid w:val="00D57FB1"/>
    <w:rsid w:val="00D60157"/>
    <w:rsid w:val="00D6048F"/>
    <w:rsid w:val="00D60495"/>
    <w:rsid w:val="00D6057C"/>
    <w:rsid w:val="00D60802"/>
    <w:rsid w:val="00D60805"/>
    <w:rsid w:val="00D60A87"/>
    <w:rsid w:val="00D60F13"/>
    <w:rsid w:val="00D60F2E"/>
    <w:rsid w:val="00D61217"/>
    <w:rsid w:val="00D613F1"/>
    <w:rsid w:val="00D61458"/>
    <w:rsid w:val="00D614B7"/>
    <w:rsid w:val="00D6151F"/>
    <w:rsid w:val="00D616C5"/>
    <w:rsid w:val="00D6173B"/>
    <w:rsid w:val="00D618AF"/>
    <w:rsid w:val="00D61921"/>
    <w:rsid w:val="00D61928"/>
    <w:rsid w:val="00D61981"/>
    <w:rsid w:val="00D619FD"/>
    <w:rsid w:val="00D61CA2"/>
    <w:rsid w:val="00D6223D"/>
    <w:rsid w:val="00D622AB"/>
    <w:rsid w:val="00D62327"/>
    <w:rsid w:val="00D626B0"/>
    <w:rsid w:val="00D62991"/>
    <w:rsid w:val="00D62A0F"/>
    <w:rsid w:val="00D62A56"/>
    <w:rsid w:val="00D62DB6"/>
    <w:rsid w:val="00D62F64"/>
    <w:rsid w:val="00D62F7C"/>
    <w:rsid w:val="00D63005"/>
    <w:rsid w:val="00D63146"/>
    <w:rsid w:val="00D63284"/>
    <w:rsid w:val="00D63447"/>
    <w:rsid w:val="00D6347A"/>
    <w:rsid w:val="00D6356D"/>
    <w:rsid w:val="00D635CE"/>
    <w:rsid w:val="00D636D3"/>
    <w:rsid w:val="00D63934"/>
    <w:rsid w:val="00D63B98"/>
    <w:rsid w:val="00D63E85"/>
    <w:rsid w:val="00D63FB5"/>
    <w:rsid w:val="00D64059"/>
    <w:rsid w:val="00D64165"/>
    <w:rsid w:val="00D6428D"/>
    <w:rsid w:val="00D6437F"/>
    <w:rsid w:val="00D644C2"/>
    <w:rsid w:val="00D64573"/>
    <w:rsid w:val="00D64667"/>
    <w:rsid w:val="00D6473B"/>
    <w:rsid w:val="00D647DD"/>
    <w:rsid w:val="00D64833"/>
    <w:rsid w:val="00D64CD1"/>
    <w:rsid w:val="00D64D93"/>
    <w:rsid w:val="00D64DAA"/>
    <w:rsid w:val="00D64DEB"/>
    <w:rsid w:val="00D64FC7"/>
    <w:rsid w:val="00D65425"/>
    <w:rsid w:val="00D6553D"/>
    <w:rsid w:val="00D6554C"/>
    <w:rsid w:val="00D655E5"/>
    <w:rsid w:val="00D656EB"/>
    <w:rsid w:val="00D65740"/>
    <w:rsid w:val="00D6583D"/>
    <w:rsid w:val="00D65842"/>
    <w:rsid w:val="00D6599C"/>
    <w:rsid w:val="00D65A27"/>
    <w:rsid w:val="00D65A91"/>
    <w:rsid w:val="00D65C4C"/>
    <w:rsid w:val="00D65C69"/>
    <w:rsid w:val="00D65D96"/>
    <w:rsid w:val="00D65DF4"/>
    <w:rsid w:val="00D65F20"/>
    <w:rsid w:val="00D66181"/>
    <w:rsid w:val="00D66370"/>
    <w:rsid w:val="00D664DD"/>
    <w:rsid w:val="00D664FC"/>
    <w:rsid w:val="00D6680E"/>
    <w:rsid w:val="00D6686E"/>
    <w:rsid w:val="00D66AB2"/>
    <w:rsid w:val="00D66BA4"/>
    <w:rsid w:val="00D66CFF"/>
    <w:rsid w:val="00D66DD4"/>
    <w:rsid w:val="00D66DEE"/>
    <w:rsid w:val="00D67178"/>
    <w:rsid w:val="00D673D3"/>
    <w:rsid w:val="00D67529"/>
    <w:rsid w:val="00D675EE"/>
    <w:rsid w:val="00D679FD"/>
    <w:rsid w:val="00D67A25"/>
    <w:rsid w:val="00D67CAD"/>
    <w:rsid w:val="00D67E2A"/>
    <w:rsid w:val="00D701E8"/>
    <w:rsid w:val="00D70222"/>
    <w:rsid w:val="00D7035E"/>
    <w:rsid w:val="00D703B9"/>
    <w:rsid w:val="00D70673"/>
    <w:rsid w:val="00D70720"/>
    <w:rsid w:val="00D707A9"/>
    <w:rsid w:val="00D708D0"/>
    <w:rsid w:val="00D708E9"/>
    <w:rsid w:val="00D70951"/>
    <w:rsid w:val="00D709D6"/>
    <w:rsid w:val="00D70B14"/>
    <w:rsid w:val="00D70D20"/>
    <w:rsid w:val="00D71026"/>
    <w:rsid w:val="00D71467"/>
    <w:rsid w:val="00D7149A"/>
    <w:rsid w:val="00D714A9"/>
    <w:rsid w:val="00D714DC"/>
    <w:rsid w:val="00D71528"/>
    <w:rsid w:val="00D715B2"/>
    <w:rsid w:val="00D71749"/>
    <w:rsid w:val="00D71794"/>
    <w:rsid w:val="00D71A9F"/>
    <w:rsid w:val="00D71B16"/>
    <w:rsid w:val="00D71C0D"/>
    <w:rsid w:val="00D71C45"/>
    <w:rsid w:val="00D71C90"/>
    <w:rsid w:val="00D71E4B"/>
    <w:rsid w:val="00D72036"/>
    <w:rsid w:val="00D720DF"/>
    <w:rsid w:val="00D721E0"/>
    <w:rsid w:val="00D7250F"/>
    <w:rsid w:val="00D72544"/>
    <w:rsid w:val="00D725CC"/>
    <w:rsid w:val="00D72629"/>
    <w:rsid w:val="00D72744"/>
    <w:rsid w:val="00D7287D"/>
    <w:rsid w:val="00D72A6C"/>
    <w:rsid w:val="00D72A83"/>
    <w:rsid w:val="00D72B24"/>
    <w:rsid w:val="00D72B33"/>
    <w:rsid w:val="00D72BF1"/>
    <w:rsid w:val="00D72CBF"/>
    <w:rsid w:val="00D72E5F"/>
    <w:rsid w:val="00D72EFA"/>
    <w:rsid w:val="00D72FDC"/>
    <w:rsid w:val="00D72FF5"/>
    <w:rsid w:val="00D730B0"/>
    <w:rsid w:val="00D73385"/>
    <w:rsid w:val="00D73744"/>
    <w:rsid w:val="00D73DE3"/>
    <w:rsid w:val="00D73E91"/>
    <w:rsid w:val="00D7424A"/>
    <w:rsid w:val="00D744AB"/>
    <w:rsid w:val="00D746C5"/>
    <w:rsid w:val="00D74743"/>
    <w:rsid w:val="00D74899"/>
    <w:rsid w:val="00D749A1"/>
    <w:rsid w:val="00D749C1"/>
    <w:rsid w:val="00D74D67"/>
    <w:rsid w:val="00D74DC5"/>
    <w:rsid w:val="00D74F41"/>
    <w:rsid w:val="00D7506D"/>
    <w:rsid w:val="00D75102"/>
    <w:rsid w:val="00D752A2"/>
    <w:rsid w:val="00D7563F"/>
    <w:rsid w:val="00D75A86"/>
    <w:rsid w:val="00D75AA6"/>
    <w:rsid w:val="00D75B70"/>
    <w:rsid w:val="00D75C76"/>
    <w:rsid w:val="00D75EE3"/>
    <w:rsid w:val="00D75FAD"/>
    <w:rsid w:val="00D75FB2"/>
    <w:rsid w:val="00D76269"/>
    <w:rsid w:val="00D76313"/>
    <w:rsid w:val="00D765A0"/>
    <w:rsid w:val="00D76684"/>
    <w:rsid w:val="00D766A0"/>
    <w:rsid w:val="00D766A2"/>
    <w:rsid w:val="00D766AA"/>
    <w:rsid w:val="00D76771"/>
    <w:rsid w:val="00D76998"/>
    <w:rsid w:val="00D76AB5"/>
    <w:rsid w:val="00D76CB9"/>
    <w:rsid w:val="00D76CC9"/>
    <w:rsid w:val="00D76FE1"/>
    <w:rsid w:val="00D770A8"/>
    <w:rsid w:val="00D77114"/>
    <w:rsid w:val="00D771FD"/>
    <w:rsid w:val="00D77427"/>
    <w:rsid w:val="00D7764C"/>
    <w:rsid w:val="00D778A9"/>
    <w:rsid w:val="00D7796D"/>
    <w:rsid w:val="00D779E7"/>
    <w:rsid w:val="00D77B8A"/>
    <w:rsid w:val="00D77FDB"/>
    <w:rsid w:val="00D8004C"/>
    <w:rsid w:val="00D800F1"/>
    <w:rsid w:val="00D800F7"/>
    <w:rsid w:val="00D801BD"/>
    <w:rsid w:val="00D80464"/>
    <w:rsid w:val="00D8046A"/>
    <w:rsid w:val="00D80855"/>
    <w:rsid w:val="00D808BE"/>
    <w:rsid w:val="00D80B1A"/>
    <w:rsid w:val="00D80BA8"/>
    <w:rsid w:val="00D80C06"/>
    <w:rsid w:val="00D80D3E"/>
    <w:rsid w:val="00D80E48"/>
    <w:rsid w:val="00D80ED5"/>
    <w:rsid w:val="00D80FCB"/>
    <w:rsid w:val="00D8111F"/>
    <w:rsid w:val="00D812C7"/>
    <w:rsid w:val="00D8154C"/>
    <w:rsid w:val="00D81616"/>
    <w:rsid w:val="00D817DB"/>
    <w:rsid w:val="00D81A49"/>
    <w:rsid w:val="00D81B18"/>
    <w:rsid w:val="00D81CA7"/>
    <w:rsid w:val="00D81CD1"/>
    <w:rsid w:val="00D81EFD"/>
    <w:rsid w:val="00D82253"/>
    <w:rsid w:val="00D822F1"/>
    <w:rsid w:val="00D8233C"/>
    <w:rsid w:val="00D82655"/>
    <w:rsid w:val="00D82666"/>
    <w:rsid w:val="00D82696"/>
    <w:rsid w:val="00D82791"/>
    <w:rsid w:val="00D827B7"/>
    <w:rsid w:val="00D831DB"/>
    <w:rsid w:val="00D8327F"/>
    <w:rsid w:val="00D8339A"/>
    <w:rsid w:val="00D834A1"/>
    <w:rsid w:val="00D83541"/>
    <w:rsid w:val="00D836EA"/>
    <w:rsid w:val="00D836F8"/>
    <w:rsid w:val="00D83768"/>
    <w:rsid w:val="00D83878"/>
    <w:rsid w:val="00D83A25"/>
    <w:rsid w:val="00D83B0F"/>
    <w:rsid w:val="00D83DB7"/>
    <w:rsid w:val="00D83FF1"/>
    <w:rsid w:val="00D8421D"/>
    <w:rsid w:val="00D84329"/>
    <w:rsid w:val="00D8435E"/>
    <w:rsid w:val="00D8441E"/>
    <w:rsid w:val="00D84641"/>
    <w:rsid w:val="00D8466B"/>
    <w:rsid w:val="00D84852"/>
    <w:rsid w:val="00D8487E"/>
    <w:rsid w:val="00D84B4D"/>
    <w:rsid w:val="00D84C0A"/>
    <w:rsid w:val="00D84D05"/>
    <w:rsid w:val="00D84F5F"/>
    <w:rsid w:val="00D8501A"/>
    <w:rsid w:val="00D8502E"/>
    <w:rsid w:val="00D85187"/>
    <w:rsid w:val="00D8530F"/>
    <w:rsid w:val="00D85496"/>
    <w:rsid w:val="00D8553E"/>
    <w:rsid w:val="00D8554F"/>
    <w:rsid w:val="00D85562"/>
    <w:rsid w:val="00D85648"/>
    <w:rsid w:val="00D856AF"/>
    <w:rsid w:val="00D85C3C"/>
    <w:rsid w:val="00D85CC9"/>
    <w:rsid w:val="00D85F1D"/>
    <w:rsid w:val="00D85FDB"/>
    <w:rsid w:val="00D86167"/>
    <w:rsid w:val="00D8626E"/>
    <w:rsid w:val="00D86281"/>
    <w:rsid w:val="00D862D9"/>
    <w:rsid w:val="00D86421"/>
    <w:rsid w:val="00D8645F"/>
    <w:rsid w:val="00D865F5"/>
    <w:rsid w:val="00D866A4"/>
    <w:rsid w:val="00D86757"/>
    <w:rsid w:val="00D86789"/>
    <w:rsid w:val="00D86959"/>
    <w:rsid w:val="00D86BED"/>
    <w:rsid w:val="00D86F43"/>
    <w:rsid w:val="00D86F9B"/>
    <w:rsid w:val="00D87008"/>
    <w:rsid w:val="00D870CA"/>
    <w:rsid w:val="00D87252"/>
    <w:rsid w:val="00D873A6"/>
    <w:rsid w:val="00D873DC"/>
    <w:rsid w:val="00D87453"/>
    <w:rsid w:val="00D8794E"/>
    <w:rsid w:val="00D87BD3"/>
    <w:rsid w:val="00D87C14"/>
    <w:rsid w:val="00D87C98"/>
    <w:rsid w:val="00D87D5B"/>
    <w:rsid w:val="00D87F98"/>
    <w:rsid w:val="00D9006D"/>
    <w:rsid w:val="00D9013D"/>
    <w:rsid w:val="00D90162"/>
    <w:rsid w:val="00D901AD"/>
    <w:rsid w:val="00D90297"/>
    <w:rsid w:val="00D903DE"/>
    <w:rsid w:val="00D90572"/>
    <w:rsid w:val="00D906D9"/>
    <w:rsid w:val="00D907DC"/>
    <w:rsid w:val="00D9083D"/>
    <w:rsid w:val="00D90875"/>
    <w:rsid w:val="00D90937"/>
    <w:rsid w:val="00D90BAC"/>
    <w:rsid w:val="00D90BC7"/>
    <w:rsid w:val="00D90ED4"/>
    <w:rsid w:val="00D91043"/>
    <w:rsid w:val="00D9115E"/>
    <w:rsid w:val="00D912E6"/>
    <w:rsid w:val="00D91390"/>
    <w:rsid w:val="00D91540"/>
    <w:rsid w:val="00D91957"/>
    <w:rsid w:val="00D919C3"/>
    <w:rsid w:val="00D91B3E"/>
    <w:rsid w:val="00D91CF2"/>
    <w:rsid w:val="00D91DF7"/>
    <w:rsid w:val="00D91F6E"/>
    <w:rsid w:val="00D92148"/>
    <w:rsid w:val="00D9223B"/>
    <w:rsid w:val="00D9225C"/>
    <w:rsid w:val="00D922E4"/>
    <w:rsid w:val="00D92603"/>
    <w:rsid w:val="00D92669"/>
    <w:rsid w:val="00D926BE"/>
    <w:rsid w:val="00D92745"/>
    <w:rsid w:val="00D927AC"/>
    <w:rsid w:val="00D92832"/>
    <w:rsid w:val="00D9287D"/>
    <w:rsid w:val="00D92955"/>
    <w:rsid w:val="00D92A3A"/>
    <w:rsid w:val="00D92A5A"/>
    <w:rsid w:val="00D92AB4"/>
    <w:rsid w:val="00D92F61"/>
    <w:rsid w:val="00D93029"/>
    <w:rsid w:val="00D931B3"/>
    <w:rsid w:val="00D933F5"/>
    <w:rsid w:val="00D9340D"/>
    <w:rsid w:val="00D9343B"/>
    <w:rsid w:val="00D9355C"/>
    <w:rsid w:val="00D939A2"/>
    <w:rsid w:val="00D93A16"/>
    <w:rsid w:val="00D93A74"/>
    <w:rsid w:val="00D93AB0"/>
    <w:rsid w:val="00D93B28"/>
    <w:rsid w:val="00D93B70"/>
    <w:rsid w:val="00D93B89"/>
    <w:rsid w:val="00D93C1B"/>
    <w:rsid w:val="00D93CD5"/>
    <w:rsid w:val="00D93D55"/>
    <w:rsid w:val="00D93E19"/>
    <w:rsid w:val="00D94187"/>
    <w:rsid w:val="00D942B9"/>
    <w:rsid w:val="00D9448A"/>
    <w:rsid w:val="00D944F7"/>
    <w:rsid w:val="00D945AB"/>
    <w:rsid w:val="00D94849"/>
    <w:rsid w:val="00D9496D"/>
    <w:rsid w:val="00D949AA"/>
    <w:rsid w:val="00D94CA5"/>
    <w:rsid w:val="00D94DB1"/>
    <w:rsid w:val="00D94DC5"/>
    <w:rsid w:val="00D94DE8"/>
    <w:rsid w:val="00D94E49"/>
    <w:rsid w:val="00D9500A"/>
    <w:rsid w:val="00D950B1"/>
    <w:rsid w:val="00D9543F"/>
    <w:rsid w:val="00D95660"/>
    <w:rsid w:val="00D9567E"/>
    <w:rsid w:val="00D956F1"/>
    <w:rsid w:val="00D9570E"/>
    <w:rsid w:val="00D9574B"/>
    <w:rsid w:val="00D957E7"/>
    <w:rsid w:val="00D959BB"/>
    <w:rsid w:val="00D95B92"/>
    <w:rsid w:val="00D95BEE"/>
    <w:rsid w:val="00D95D59"/>
    <w:rsid w:val="00D95EEA"/>
    <w:rsid w:val="00D96096"/>
    <w:rsid w:val="00D96288"/>
    <w:rsid w:val="00D96294"/>
    <w:rsid w:val="00D96356"/>
    <w:rsid w:val="00D9646C"/>
    <w:rsid w:val="00D964F6"/>
    <w:rsid w:val="00D96699"/>
    <w:rsid w:val="00D9689A"/>
    <w:rsid w:val="00D96A2F"/>
    <w:rsid w:val="00D96DBC"/>
    <w:rsid w:val="00D96DCC"/>
    <w:rsid w:val="00D96E5F"/>
    <w:rsid w:val="00D96ED8"/>
    <w:rsid w:val="00D97252"/>
    <w:rsid w:val="00D975A2"/>
    <w:rsid w:val="00D975AB"/>
    <w:rsid w:val="00D976DD"/>
    <w:rsid w:val="00D977CA"/>
    <w:rsid w:val="00D97A3C"/>
    <w:rsid w:val="00D97BEF"/>
    <w:rsid w:val="00D97CAF"/>
    <w:rsid w:val="00D97F9A"/>
    <w:rsid w:val="00DA004C"/>
    <w:rsid w:val="00DA05D8"/>
    <w:rsid w:val="00DA0768"/>
    <w:rsid w:val="00DA076C"/>
    <w:rsid w:val="00DA07DD"/>
    <w:rsid w:val="00DA0958"/>
    <w:rsid w:val="00DA0C9C"/>
    <w:rsid w:val="00DA0E91"/>
    <w:rsid w:val="00DA0F8E"/>
    <w:rsid w:val="00DA11DF"/>
    <w:rsid w:val="00DA123E"/>
    <w:rsid w:val="00DA12E6"/>
    <w:rsid w:val="00DA12F9"/>
    <w:rsid w:val="00DA1345"/>
    <w:rsid w:val="00DA14B1"/>
    <w:rsid w:val="00DA15C8"/>
    <w:rsid w:val="00DA161A"/>
    <w:rsid w:val="00DA17DC"/>
    <w:rsid w:val="00DA19BD"/>
    <w:rsid w:val="00DA1AE5"/>
    <w:rsid w:val="00DA1CCB"/>
    <w:rsid w:val="00DA1CD0"/>
    <w:rsid w:val="00DA20A3"/>
    <w:rsid w:val="00DA210E"/>
    <w:rsid w:val="00DA2220"/>
    <w:rsid w:val="00DA246A"/>
    <w:rsid w:val="00DA26C2"/>
    <w:rsid w:val="00DA2886"/>
    <w:rsid w:val="00DA28AD"/>
    <w:rsid w:val="00DA2C18"/>
    <w:rsid w:val="00DA3026"/>
    <w:rsid w:val="00DA32A5"/>
    <w:rsid w:val="00DA33E4"/>
    <w:rsid w:val="00DA3494"/>
    <w:rsid w:val="00DA35D8"/>
    <w:rsid w:val="00DA3633"/>
    <w:rsid w:val="00DA3654"/>
    <w:rsid w:val="00DA3767"/>
    <w:rsid w:val="00DA3987"/>
    <w:rsid w:val="00DA3A39"/>
    <w:rsid w:val="00DA3E2F"/>
    <w:rsid w:val="00DA3E9A"/>
    <w:rsid w:val="00DA3EA7"/>
    <w:rsid w:val="00DA3EA9"/>
    <w:rsid w:val="00DA3EEE"/>
    <w:rsid w:val="00DA4039"/>
    <w:rsid w:val="00DA410E"/>
    <w:rsid w:val="00DA41B6"/>
    <w:rsid w:val="00DA4258"/>
    <w:rsid w:val="00DA425A"/>
    <w:rsid w:val="00DA430F"/>
    <w:rsid w:val="00DA43A0"/>
    <w:rsid w:val="00DA44B3"/>
    <w:rsid w:val="00DA4585"/>
    <w:rsid w:val="00DA46CD"/>
    <w:rsid w:val="00DA475F"/>
    <w:rsid w:val="00DA4850"/>
    <w:rsid w:val="00DA4968"/>
    <w:rsid w:val="00DA4B2C"/>
    <w:rsid w:val="00DA4BB2"/>
    <w:rsid w:val="00DA4F7F"/>
    <w:rsid w:val="00DA53E6"/>
    <w:rsid w:val="00DA5A94"/>
    <w:rsid w:val="00DA6000"/>
    <w:rsid w:val="00DA6374"/>
    <w:rsid w:val="00DA63E8"/>
    <w:rsid w:val="00DA6428"/>
    <w:rsid w:val="00DA6514"/>
    <w:rsid w:val="00DA6824"/>
    <w:rsid w:val="00DA69D6"/>
    <w:rsid w:val="00DA6A04"/>
    <w:rsid w:val="00DA6ACF"/>
    <w:rsid w:val="00DA6C16"/>
    <w:rsid w:val="00DA702B"/>
    <w:rsid w:val="00DA707A"/>
    <w:rsid w:val="00DA7191"/>
    <w:rsid w:val="00DA72F3"/>
    <w:rsid w:val="00DA752A"/>
    <w:rsid w:val="00DA7597"/>
    <w:rsid w:val="00DA7634"/>
    <w:rsid w:val="00DA7669"/>
    <w:rsid w:val="00DA7727"/>
    <w:rsid w:val="00DA773C"/>
    <w:rsid w:val="00DA7863"/>
    <w:rsid w:val="00DA7953"/>
    <w:rsid w:val="00DA79A9"/>
    <w:rsid w:val="00DA7A46"/>
    <w:rsid w:val="00DA7A60"/>
    <w:rsid w:val="00DA7C81"/>
    <w:rsid w:val="00DA7EFD"/>
    <w:rsid w:val="00DA7F12"/>
    <w:rsid w:val="00DA7F1B"/>
    <w:rsid w:val="00DB012F"/>
    <w:rsid w:val="00DB031B"/>
    <w:rsid w:val="00DB0324"/>
    <w:rsid w:val="00DB0387"/>
    <w:rsid w:val="00DB05B7"/>
    <w:rsid w:val="00DB05BD"/>
    <w:rsid w:val="00DB061A"/>
    <w:rsid w:val="00DB0867"/>
    <w:rsid w:val="00DB0FE2"/>
    <w:rsid w:val="00DB1044"/>
    <w:rsid w:val="00DB1144"/>
    <w:rsid w:val="00DB123D"/>
    <w:rsid w:val="00DB14EB"/>
    <w:rsid w:val="00DB154A"/>
    <w:rsid w:val="00DB194A"/>
    <w:rsid w:val="00DB1B4A"/>
    <w:rsid w:val="00DB1BF7"/>
    <w:rsid w:val="00DB1C28"/>
    <w:rsid w:val="00DB1C52"/>
    <w:rsid w:val="00DB1C67"/>
    <w:rsid w:val="00DB1C73"/>
    <w:rsid w:val="00DB1CD4"/>
    <w:rsid w:val="00DB1FCF"/>
    <w:rsid w:val="00DB2355"/>
    <w:rsid w:val="00DB2501"/>
    <w:rsid w:val="00DB28DC"/>
    <w:rsid w:val="00DB2914"/>
    <w:rsid w:val="00DB2961"/>
    <w:rsid w:val="00DB2CF9"/>
    <w:rsid w:val="00DB2E7C"/>
    <w:rsid w:val="00DB316D"/>
    <w:rsid w:val="00DB31A9"/>
    <w:rsid w:val="00DB333C"/>
    <w:rsid w:val="00DB33BE"/>
    <w:rsid w:val="00DB35FF"/>
    <w:rsid w:val="00DB38DC"/>
    <w:rsid w:val="00DB3A63"/>
    <w:rsid w:val="00DB3BB4"/>
    <w:rsid w:val="00DB3EA6"/>
    <w:rsid w:val="00DB3EF4"/>
    <w:rsid w:val="00DB3F63"/>
    <w:rsid w:val="00DB40E4"/>
    <w:rsid w:val="00DB4109"/>
    <w:rsid w:val="00DB4144"/>
    <w:rsid w:val="00DB43B7"/>
    <w:rsid w:val="00DB4403"/>
    <w:rsid w:val="00DB4529"/>
    <w:rsid w:val="00DB45AB"/>
    <w:rsid w:val="00DB4717"/>
    <w:rsid w:val="00DB4B96"/>
    <w:rsid w:val="00DB4CD7"/>
    <w:rsid w:val="00DB4D2E"/>
    <w:rsid w:val="00DB4D30"/>
    <w:rsid w:val="00DB5149"/>
    <w:rsid w:val="00DB5383"/>
    <w:rsid w:val="00DB5415"/>
    <w:rsid w:val="00DB541B"/>
    <w:rsid w:val="00DB55C5"/>
    <w:rsid w:val="00DB5620"/>
    <w:rsid w:val="00DB5632"/>
    <w:rsid w:val="00DB564D"/>
    <w:rsid w:val="00DB56B7"/>
    <w:rsid w:val="00DB56E5"/>
    <w:rsid w:val="00DB5777"/>
    <w:rsid w:val="00DB57C9"/>
    <w:rsid w:val="00DB5889"/>
    <w:rsid w:val="00DB5B8E"/>
    <w:rsid w:val="00DB5D40"/>
    <w:rsid w:val="00DB5E7E"/>
    <w:rsid w:val="00DB5E97"/>
    <w:rsid w:val="00DB5F6C"/>
    <w:rsid w:val="00DB6272"/>
    <w:rsid w:val="00DB62FF"/>
    <w:rsid w:val="00DB63BE"/>
    <w:rsid w:val="00DB6699"/>
    <w:rsid w:val="00DB6843"/>
    <w:rsid w:val="00DB6A0F"/>
    <w:rsid w:val="00DB6F15"/>
    <w:rsid w:val="00DB70B2"/>
    <w:rsid w:val="00DB7194"/>
    <w:rsid w:val="00DB7276"/>
    <w:rsid w:val="00DB74B3"/>
    <w:rsid w:val="00DB762B"/>
    <w:rsid w:val="00DB7778"/>
    <w:rsid w:val="00DB7920"/>
    <w:rsid w:val="00DB7A2E"/>
    <w:rsid w:val="00DB7CF1"/>
    <w:rsid w:val="00DB7FDD"/>
    <w:rsid w:val="00DC0015"/>
    <w:rsid w:val="00DC0133"/>
    <w:rsid w:val="00DC023A"/>
    <w:rsid w:val="00DC033F"/>
    <w:rsid w:val="00DC0420"/>
    <w:rsid w:val="00DC0775"/>
    <w:rsid w:val="00DC07A1"/>
    <w:rsid w:val="00DC081C"/>
    <w:rsid w:val="00DC0BFE"/>
    <w:rsid w:val="00DC0CB5"/>
    <w:rsid w:val="00DC0DB1"/>
    <w:rsid w:val="00DC0EF4"/>
    <w:rsid w:val="00DC0F02"/>
    <w:rsid w:val="00DC0F8D"/>
    <w:rsid w:val="00DC102E"/>
    <w:rsid w:val="00DC106B"/>
    <w:rsid w:val="00DC112C"/>
    <w:rsid w:val="00DC114A"/>
    <w:rsid w:val="00DC119B"/>
    <w:rsid w:val="00DC1276"/>
    <w:rsid w:val="00DC1325"/>
    <w:rsid w:val="00DC13FC"/>
    <w:rsid w:val="00DC146B"/>
    <w:rsid w:val="00DC15D0"/>
    <w:rsid w:val="00DC1816"/>
    <w:rsid w:val="00DC1A39"/>
    <w:rsid w:val="00DC1BDD"/>
    <w:rsid w:val="00DC1EAA"/>
    <w:rsid w:val="00DC1FBF"/>
    <w:rsid w:val="00DC211A"/>
    <w:rsid w:val="00DC2132"/>
    <w:rsid w:val="00DC2284"/>
    <w:rsid w:val="00DC2395"/>
    <w:rsid w:val="00DC2483"/>
    <w:rsid w:val="00DC24F1"/>
    <w:rsid w:val="00DC2723"/>
    <w:rsid w:val="00DC2956"/>
    <w:rsid w:val="00DC2ABF"/>
    <w:rsid w:val="00DC2BDD"/>
    <w:rsid w:val="00DC2D04"/>
    <w:rsid w:val="00DC2D52"/>
    <w:rsid w:val="00DC2DED"/>
    <w:rsid w:val="00DC2DFE"/>
    <w:rsid w:val="00DC2E98"/>
    <w:rsid w:val="00DC2EB4"/>
    <w:rsid w:val="00DC2F6F"/>
    <w:rsid w:val="00DC311D"/>
    <w:rsid w:val="00DC34F2"/>
    <w:rsid w:val="00DC35FA"/>
    <w:rsid w:val="00DC3718"/>
    <w:rsid w:val="00DC3855"/>
    <w:rsid w:val="00DC38AC"/>
    <w:rsid w:val="00DC38DA"/>
    <w:rsid w:val="00DC3CA4"/>
    <w:rsid w:val="00DC3D55"/>
    <w:rsid w:val="00DC3E76"/>
    <w:rsid w:val="00DC40D2"/>
    <w:rsid w:val="00DC410B"/>
    <w:rsid w:val="00DC420E"/>
    <w:rsid w:val="00DC4304"/>
    <w:rsid w:val="00DC4467"/>
    <w:rsid w:val="00DC452A"/>
    <w:rsid w:val="00DC45EA"/>
    <w:rsid w:val="00DC47CE"/>
    <w:rsid w:val="00DC49F5"/>
    <w:rsid w:val="00DC4A9C"/>
    <w:rsid w:val="00DC4FA9"/>
    <w:rsid w:val="00DC4FAF"/>
    <w:rsid w:val="00DC50CB"/>
    <w:rsid w:val="00DC5201"/>
    <w:rsid w:val="00DC5209"/>
    <w:rsid w:val="00DC53AD"/>
    <w:rsid w:val="00DC53B8"/>
    <w:rsid w:val="00DC556C"/>
    <w:rsid w:val="00DC55C4"/>
    <w:rsid w:val="00DC5687"/>
    <w:rsid w:val="00DC56F2"/>
    <w:rsid w:val="00DC5A84"/>
    <w:rsid w:val="00DC5AD1"/>
    <w:rsid w:val="00DC5B96"/>
    <w:rsid w:val="00DC5C0D"/>
    <w:rsid w:val="00DC5CD1"/>
    <w:rsid w:val="00DC5E89"/>
    <w:rsid w:val="00DC6158"/>
    <w:rsid w:val="00DC624B"/>
    <w:rsid w:val="00DC63D0"/>
    <w:rsid w:val="00DC6447"/>
    <w:rsid w:val="00DC64E5"/>
    <w:rsid w:val="00DC6769"/>
    <w:rsid w:val="00DC67A2"/>
    <w:rsid w:val="00DC67AF"/>
    <w:rsid w:val="00DC67C5"/>
    <w:rsid w:val="00DC6841"/>
    <w:rsid w:val="00DC6B49"/>
    <w:rsid w:val="00DC6DA2"/>
    <w:rsid w:val="00DC7032"/>
    <w:rsid w:val="00DC7221"/>
    <w:rsid w:val="00DC72A4"/>
    <w:rsid w:val="00DC72D1"/>
    <w:rsid w:val="00DC7435"/>
    <w:rsid w:val="00DC746E"/>
    <w:rsid w:val="00DC75EF"/>
    <w:rsid w:val="00DC75FD"/>
    <w:rsid w:val="00DC7665"/>
    <w:rsid w:val="00DC76DA"/>
    <w:rsid w:val="00DC76EE"/>
    <w:rsid w:val="00DC78C8"/>
    <w:rsid w:val="00DC7B0E"/>
    <w:rsid w:val="00DC7D95"/>
    <w:rsid w:val="00DC7DBB"/>
    <w:rsid w:val="00DC7DC4"/>
    <w:rsid w:val="00DC7EF4"/>
    <w:rsid w:val="00DD01CA"/>
    <w:rsid w:val="00DD02F4"/>
    <w:rsid w:val="00DD043A"/>
    <w:rsid w:val="00DD04EA"/>
    <w:rsid w:val="00DD069E"/>
    <w:rsid w:val="00DD0891"/>
    <w:rsid w:val="00DD0912"/>
    <w:rsid w:val="00DD1093"/>
    <w:rsid w:val="00DD1176"/>
    <w:rsid w:val="00DD11CD"/>
    <w:rsid w:val="00DD14DB"/>
    <w:rsid w:val="00DD1625"/>
    <w:rsid w:val="00DD18DD"/>
    <w:rsid w:val="00DD191F"/>
    <w:rsid w:val="00DD1A22"/>
    <w:rsid w:val="00DD1A7E"/>
    <w:rsid w:val="00DD1AB3"/>
    <w:rsid w:val="00DD1B4E"/>
    <w:rsid w:val="00DD2070"/>
    <w:rsid w:val="00DD214E"/>
    <w:rsid w:val="00DD216C"/>
    <w:rsid w:val="00DD245C"/>
    <w:rsid w:val="00DD2484"/>
    <w:rsid w:val="00DD25EB"/>
    <w:rsid w:val="00DD295D"/>
    <w:rsid w:val="00DD2BC9"/>
    <w:rsid w:val="00DD2E0D"/>
    <w:rsid w:val="00DD2E8F"/>
    <w:rsid w:val="00DD304A"/>
    <w:rsid w:val="00DD30B2"/>
    <w:rsid w:val="00DD30D8"/>
    <w:rsid w:val="00DD3428"/>
    <w:rsid w:val="00DD35DB"/>
    <w:rsid w:val="00DD361D"/>
    <w:rsid w:val="00DD399A"/>
    <w:rsid w:val="00DD3A13"/>
    <w:rsid w:val="00DD3B05"/>
    <w:rsid w:val="00DD3BDC"/>
    <w:rsid w:val="00DD3C54"/>
    <w:rsid w:val="00DD3CA5"/>
    <w:rsid w:val="00DD3F40"/>
    <w:rsid w:val="00DD40A3"/>
    <w:rsid w:val="00DD431E"/>
    <w:rsid w:val="00DD442B"/>
    <w:rsid w:val="00DD4486"/>
    <w:rsid w:val="00DD4761"/>
    <w:rsid w:val="00DD47B6"/>
    <w:rsid w:val="00DD4869"/>
    <w:rsid w:val="00DD494C"/>
    <w:rsid w:val="00DD4B79"/>
    <w:rsid w:val="00DD4D92"/>
    <w:rsid w:val="00DD51E8"/>
    <w:rsid w:val="00DD542A"/>
    <w:rsid w:val="00DD547B"/>
    <w:rsid w:val="00DD552F"/>
    <w:rsid w:val="00DD58A6"/>
    <w:rsid w:val="00DD5A48"/>
    <w:rsid w:val="00DD5A72"/>
    <w:rsid w:val="00DD5BF3"/>
    <w:rsid w:val="00DD5CB3"/>
    <w:rsid w:val="00DD61CD"/>
    <w:rsid w:val="00DD6621"/>
    <w:rsid w:val="00DD6705"/>
    <w:rsid w:val="00DD671F"/>
    <w:rsid w:val="00DD6979"/>
    <w:rsid w:val="00DD69BD"/>
    <w:rsid w:val="00DD6AC1"/>
    <w:rsid w:val="00DD6B1E"/>
    <w:rsid w:val="00DD6D1F"/>
    <w:rsid w:val="00DD6E9C"/>
    <w:rsid w:val="00DD6ED5"/>
    <w:rsid w:val="00DD70BA"/>
    <w:rsid w:val="00DD73A2"/>
    <w:rsid w:val="00DD73AE"/>
    <w:rsid w:val="00DD742C"/>
    <w:rsid w:val="00DD75C0"/>
    <w:rsid w:val="00DD75EF"/>
    <w:rsid w:val="00DD785F"/>
    <w:rsid w:val="00DD799C"/>
    <w:rsid w:val="00DD7AD5"/>
    <w:rsid w:val="00DD7BC5"/>
    <w:rsid w:val="00DD7CB3"/>
    <w:rsid w:val="00DE003D"/>
    <w:rsid w:val="00DE0208"/>
    <w:rsid w:val="00DE03A0"/>
    <w:rsid w:val="00DE05AC"/>
    <w:rsid w:val="00DE077F"/>
    <w:rsid w:val="00DE0B17"/>
    <w:rsid w:val="00DE0B20"/>
    <w:rsid w:val="00DE0C8C"/>
    <w:rsid w:val="00DE0E3B"/>
    <w:rsid w:val="00DE0EC8"/>
    <w:rsid w:val="00DE0EED"/>
    <w:rsid w:val="00DE1112"/>
    <w:rsid w:val="00DE1113"/>
    <w:rsid w:val="00DE1255"/>
    <w:rsid w:val="00DE1376"/>
    <w:rsid w:val="00DE14C5"/>
    <w:rsid w:val="00DE1929"/>
    <w:rsid w:val="00DE1C0E"/>
    <w:rsid w:val="00DE1CF4"/>
    <w:rsid w:val="00DE1EC7"/>
    <w:rsid w:val="00DE2193"/>
    <w:rsid w:val="00DE228D"/>
    <w:rsid w:val="00DE2293"/>
    <w:rsid w:val="00DE23B7"/>
    <w:rsid w:val="00DE2417"/>
    <w:rsid w:val="00DE242C"/>
    <w:rsid w:val="00DE246B"/>
    <w:rsid w:val="00DE24AA"/>
    <w:rsid w:val="00DE262B"/>
    <w:rsid w:val="00DE2806"/>
    <w:rsid w:val="00DE2953"/>
    <w:rsid w:val="00DE2B6C"/>
    <w:rsid w:val="00DE2C9C"/>
    <w:rsid w:val="00DE2D56"/>
    <w:rsid w:val="00DE2DB1"/>
    <w:rsid w:val="00DE2E9D"/>
    <w:rsid w:val="00DE2FFA"/>
    <w:rsid w:val="00DE308C"/>
    <w:rsid w:val="00DE3440"/>
    <w:rsid w:val="00DE3470"/>
    <w:rsid w:val="00DE34AA"/>
    <w:rsid w:val="00DE35AA"/>
    <w:rsid w:val="00DE36A9"/>
    <w:rsid w:val="00DE374E"/>
    <w:rsid w:val="00DE37BE"/>
    <w:rsid w:val="00DE38EC"/>
    <w:rsid w:val="00DE3CBE"/>
    <w:rsid w:val="00DE3D90"/>
    <w:rsid w:val="00DE4066"/>
    <w:rsid w:val="00DE4103"/>
    <w:rsid w:val="00DE4154"/>
    <w:rsid w:val="00DE4210"/>
    <w:rsid w:val="00DE42F6"/>
    <w:rsid w:val="00DE4578"/>
    <w:rsid w:val="00DE4744"/>
    <w:rsid w:val="00DE4812"/>
    <w:rsid w:val="00DE4862"/>
    <w:rsid w:val="00DE48C1"/>
    <w:rsid w:val="00DE48FF"/>
    <w:rsid w:val="00DE49B2"/>
    <w:rsid w:val="00DE4C5E"/>
    <w:rsid w:val="00DE4CD1"/>
    <w:rsid w:val="00DE4D81"/>
    <w:rsid w:val="00DE4DA8"/>
    <w:rsid w:val="00DE4E5C"/>
    <w:rsid w:val="00DE4F77"/>
    <w:rsid w:val="00DE51B4"/>
    <w:rsid w:val="00DE5403"/>
    <w:rsid w:val="00DE5423"/>
    <w:rsid w:val="00DE55CB"/>
    <w:rsid w:val="00DE57C5"/>
    <w:rsid w:val="00DE58E6"/>
    <w:rsid w:val="00DE591A"/>
    <w:rsid w:val="00DE59F4"/>
    <w:rsid w:val="00DE5BC7"/>
    <w:rsid w:val="00DE5C18"/>
    <w:rsid w:val="00DE5C4A"/>
    <w:rsid w:val="00DE5E6A"/>
    <w:rsid w:val="00DE5F7E"/>
    <w:rsid w:val="00DE65A2"/>
    <w:rsid w:val="00DE698C"/>
    <w:rsid w:val="00DE6A31"/>
    <w:rsid w:val="00DE6A61"/>
    <w:rsid w:val="00DE6AE5"/>
    <w:rsid w:val="00DE6C35"/>
    <w:rsid w:val="00DE6EE5"/>
    <w:rsid w:val="00DE70FC"/>
    <w:rsid w:val="00DE7292"/>
    <w:rsid w:val="00DE7446"/>
    <w:rsid w:val="00DE79BA"/>
    <w:rsid w:val="00DE7B41"/>
    <w:rsid w:val="00DE7B63"/>
    <w:rsid w:val="00DE7BE9"/>
    <w:rsid w:val="00DE7C4F"/>
    <w:rsid w:val="00DE7CC2"/>
    <w:rsid w:val="00DE7D57"/>
    <w:rsid w:val="00DE7F3B"/>
    <w:rsid w:val="00DF005A"/>
    <w:rsid w:val="00DF010F"/>
    <w:rsid w:val="00DF012F"/>
    <w:rsid w:val="00DF0155"/>
    <w:rsid w:val="00DF01D2"/>
    <w:rsid w:val="00DF03F8"/>
    <w:rsid w:val="00DF04EE"/>
    <w:rsid w:val="00DF057B"/>
    <w:rsid w:val="00DF05E9"/>
    <w:rsid w:val="00DF08AE"/>
    <w:rsid w:val="00DF0938"/>
    <w:rsid w:val="00DF0D8B"/>
    <w:rsid w:val="00DF1152"/>
    <w:rsid w:val="00DF12D5"/>
    <w:rsid w:val="00DF1365"/>
    <w:rsid w:val="00DF1545"/>
    <w:rsid w:val="00DF1672"/>
    <w:rsid w:val="00DF1879"/>
    <w:rsid w:val="00DF18F3"/>
    <w:rsid w:val="00DF198F"/>
    <w:rsid w:val="00DF1A68"/>
    <w:rsid w:val="00DF1E48"/>
    <w:rsid w:val="00DF1E58"/>
    <w:rsid w:val="00DF1E89"/>
    <w:rsid w:val="00DF1F1E"/>
    <w:rsid w:val="00DF1FF0"/>
    <w:rsid w:val="00DF2090"/>
    <w:rsid w:val="00DF21AC"/>
    <w:rsid w:val="00DF23E7"/>
    <w:rsid w:val="00DF2549"/>
    <w:rsid w:val="00DF266D"/>
    <w:rsid w:val="00DF26FF"/>
    <w:rsid w:val="00DF2741"/>
    <w:rsid w:val="00DF2AFA"/>
    <w:rsid w:val="00DF2BD1"/>
    <w:rsid w:val="00DF2C99"/>
    <w:rsid w:val="00DF2EB0"/>
    <w:rsid w:val="00DF3038"/>
    <w:rsid w:val="00DF3231"/>
    <w:rsid w:val="00DF32E7"/>
    <w:rsid w:val="00DF33DD"/>
    <w:rsid w:val="00DF3467"/>
    <w:rsid w:val="00DF34EF"/>
    <w:rsid w:val="00DF3743"/>
    <w:rsid w:val="00DF3757"/>
    <w:rsid w:val="00DF384D"/>
    <w:rsid w:val="00DF386A"/>
    <w:rsid w:val="00DF3D33"/>
    <w:rsid w:val="00DF3DBC"/>
    <w:rsid w:val="00DF3E02"/>
    <w:rsid w:val="00DF3E35"/>
    <w:rsid w:val="00DF3E85"/>
    <w:rsid w:val="00DF40FE"/>
    <w:rsid w:val="00DF41D8"/>
    <w:rsid w:val="00DF423F"/>
    <w:rsid w:val="00DF42E0"/>
    <w:rsid w:val="00DF441A"/>
    <w:rsid w:val="00DF45E9"/>
    <w:rsid w:val="00DF4742"/>
    <w:rsid w:val="00DF5113"/>
    <w:rsid w:val="00DF529D"/>
    <w:rsid w:val="00DF53A0"/>
    <w:rsid w:val="00DF552E"/>
    <w:rsid w:val="00DF5573"/>
    <w:rsid w:val="00DF55E7"/>
    <w:rsid w:val="00DF5941"/>
    <w:rsid w:val="00DF5B05"/>
    <w:rsid w:val="00DF5B56"/>
    <w:rsid w:val="00DF6076"/>
    <w:rsid w:val="00DF611C"/>
    <w:rsid w:val="00DF620E"/>
    <w:rsid w:val="00DF6326"/>
    <w:rsid w:val="00DF66AE"/>
    <w:rsid w:val="00DF66E4"/>
    <w:rsid w:val="00DF684B"/>
    <w:rsid w:val="00DF6A73"/>
    <w:rsid w:val="00DF6AD5"/>
    <w:rsid w:val="00DF6B7E"/>
    <w:rsid w:val="00DF6BD4"/>
    <w:rsid w:val="00DF6EB4"/>
    <w:rsid w:val="00DF70BB"/>
    <w:rsid w:val="00DF70C8"/>
    <w:rsid w:val="00DF7119"/>
    <w:rsid w:val="00DF718E"/>
    <w:rsid w:val="00DF71C0"/>
    <w:rsid w:val="00DF7249"/>
    <w:rsid w:val="00DF724E"/>
    <w:rsid w:val="00DF7516"/>
    <w:rsid w:val="00DF7597"/>
    <w:rsid w:val="00DF75B3"/>
    <w:rsid w:val="00DF76EC"/>
    <w:rsid w:val="00DF78B7"/>
    <w:rsid w:val="00DF7A46"/>
    <w:rsid w:val="00DF7C12"/>
    <w:rsid w:val="00DF7D21"/>
    <w:rsid w:val="00DF7D84"/>
    <w:rsid w:val="00DF7FC3"/>
    <w:rsid w:val="00E0011A"/>
    <w:rsid w:val="00E0027B"/>
    <w:rsid w:val="00E00460"/>
    <w:rsid w:val="00E004BA"/>
    <w:rsid w:val="00E006E9"/>
    <w:rsid w:val="00E00844"/>
    <w:rsid w:val="00E00C71"/>
    <w:rsid w:val="00E00CC1"/>
    <w:rsid w:val="00E00D0E"/>
    <w:rsid w:val="00E00EAA"/>
    <w:rsid w:val="00E00F12"/>
    <w:rsid w:val="00E00F84"/>
    <w:rsid w:val="00E00FB1"/>
    <w:rsid w:val="00E01034"/>
    <w:rsid w:val="00E0103C"/>
    <w:rsid w:val="00E014CE"/>
    <w:rsid w:val="00E01551"/>
    <w:rsid w:val="00E016C2"/>
    <w:rsid w:val="00E016F3"/>
    <w:rsid w:val="00E018AB"/>
    <w:rsid w:val="00E018D0"/>
    <w:rsid w:val="00E01934"/>
    <w:rsid w:val="00E01A0D"/>
    <w:rsid w:val="00E01BCD"/>
    <w:rsid w:val="00E01E1C"/>
    <w:rsid w:val="00E01ECD"/>
    <w:rsid w:val="00E01F9B"/>
    <w:rsid w:val="00E0205F"/>
    <w:rsid w:val="00E0220F"/>
    <w:rsid w:val="00E02399"/>
    <w:rsid w:val="00E0240A"/>
    <w:rsid w:val="00E0274F"/>
    <w:rsid w:val="00E02814"/>
    <w:rsid w:val="00E02A7B"/>
    <w:rsid w:val="00E02D16"/>
    <w:rsid w:val="00E02D97"/>
    <w:rsid w:val="00E02ED3"/>
    <w:rsid w:val="00E02FD4"/>
    <w:rsid w:val="00E03124"/>
    <w:rsid w:val="00E0338D"/>
    <w:rsid w:val="00E0339C"/>
    <w:rsid w:val="00E03452"/>
    <w:rsid w:val="00E034E3"/>
    <w:rsid w:val="00E034F8"/>
    <w:rsid w:val="00E03585"/>
    <w:rsid w:val="00E0383F"/>
    <w:rsid w:val="00E038DC"/>
    <w:rsid w:val="00E039A8"/>
    <w:rsid w:val="00E03A36"/>
    <w:rsid w:val="00E03B4B"/>
    <w:rsid w:val="00E03BC1"/>
    <w:rsid w:val="00E03C4B"/>
    <w:rsid w:val="00E03ED5"/>
    <w:rsid w:val="00E03F68"/>
    <w:rsid w:val="00E04119"/>
    <w:rsid w:val="00E0443B"/>
    <w:rsid w:val="00E0446A"/>
    <w:rsid w:val="00E04491"/>
    <w:rsid w:val="00E044AB"/>
    <w:rsid w:val="00E047D0"/>
    <w:rsid w:val="00E047E5"/>
    <w:rsid w:val="00E04983"/>
    <w:rsid w:val="00E049D0"/>
    <w:rsid w:val="00E04AE7"/>
    <w:rsid w:val="00E04C97"/>
    <w:rsid w:val="00E05136"/>
    <w:rsid w:val="00E05160"/>
    <w:rsid w:val="00E0529A"/>
    <w:rsid w:val="00E05508"/>
    <w:rsid w:val="00E056F9"/>
    <w:rsid w:val="00E05A10"/>
    <w:rsid w:val="00E05A3E"/>
    <w:rsid w:val="00E05E9B"/>
    <w:rsid w:val="00E06166"/>
    <w:rsid w:val="00E0623D"/>
    <w:rsid w:val="00E06243"/>
    <w:rsid w:val="00E062B6"/>
    <w:rsid w:val="00E0632A"/>
    <w:rsid w:val="00E06476"/>
    <w:rsid w:val="00E064E3"/>
    <w:rsid w:val="00E06513"/>
    <w:rsid w:val="00E065DF"/>
    <w:rsid w:val="00E0667D"/>
    <w:rsid w:val="00E06853"/>
    <w:rsid w:val="00E068D6"/>
    <w:rsid w:val="00E068ED"/>
    <w:rsid w:val="00E069E8"/>
    <w:rsid w:val="00E06A06"/>
    <w:rsid w:val="00E06AEF"/>
    <w:rsid w:val="00E06E25"/>
    <w:rsid w:val="00E06E3E"/>
    <w:rsid w:val="00E07169"/>
    <w:rsid w:val="00E07175"/>
    <w:rsid w:val="00E071D5"/>
    <w:rsid w:val="00E0722D"/>
    <w:rsid w:val="00E07358"/>
    <w:rsid w:val="00E075D6"/>
    <w:rsid w:val="00E07632"/>
    <w:rsid w:val="00E07828"/>
    <w:rsid w:val="00E0783F"/>
    <w:rsid w:val="00E0789E"/>
    <w:rsid w:val="00E07958"/>
    <w:rsid w:val="00E079C2"/>
    <w:rsid w:val="00E07ABA"/>
    <w:rsid w:val="00E07B04"/>
    <w:rsid w:val="00E07BAD"/>
    <w:rsid w:val="00E07BEC"/>
    <w:rsid w:val="00E07CF7"/>
    <w:rsid w:val="00E07F80"/>
    <w:rsid w:val="00E100FA"/>
    <w:rsid w:val="00E10378"/>
    <w:rsid w:val="00E10528"/>
    <w:rsid w:val="00E10607"/>
    <w:rsid w:val="00E1096A"/>
    <w:rsid w:val="00E109BB"/>
    <w:rsid w:val="00E109BC"/>
    <w:rsid w:val="00E109C1"/>
    <w:rsid w:val="00E10A5D"/>
    <w:rsid w:val="00E10AE1"/>
    <w:rsid w:val="00E10E18"/>
    <w:rsid w:val="00E10E47"/>
    <w:rsid w:val="00E10F9C"/>
    <w:rsid w:val="00E1114D"/>
    <w:rsid w:val="00E11277"/>
    <w:rsid w:val="00E11282"/>
    <w:rsid w:val="00E11300"/>
    <w:rsid w:val="00E11376"/>
    <w:rsid w:val="00E11419"/>
    <w:rsid w:val="00E1144B"/>
    <w:rsid w:val="00E117D6"/>
    <w:rsid w:val="00E11807"/>
    <w:rsid w:val="00E11815"/>
    <w:rsid w:val="00E1184F"/>
    <w:rsid w:val="00E11863"/>
    <w:rsid w:val="00E11970"/>
    <w:rsid w:val="00E11ACD"/>
    <w:rsid w:val="00E11BA4"/>
    <w:rsid w:val="00E11C43"/>
    <w:rsid w:val="00E11D0F"/>
    <w:rsid w:val="00E11D19"/>
    <w:rsid w:val="00E11DC5"/>
    <w:rsid w:val="00E11DF4"/>
    <w:rsid w:val="00E12169"/>
    <w:rsid w:val="00E12185"/>
    <w:rsid w:val="00E12297"/>
    <w:rsid w:val="00E12378"/>
    <w:rsid w:val="00E124AF"/>
    <w:rsid w:val="00E12630"/>
    <w:rsid w:val="00E12698"/>
    <w:rsid w:val="00E128B1"/>
    <w:rsid w:val="00E128FF"/>
    <w:rsid w:val="00E12A1F"/>
    <w:rsid w:val="00E12B01"/>
    <w:rsid w:val="00E12F0C"/>
    <w:rsid w:val="00E12F83"/>
    <w:rsid w:val="00E130AD"/>
    <w:rsid w:val="00E132F7"/>
    <w:rsid w:val="00E135D9"/>
    <w:rsid w:val="00E13601"/>
    <w:rsid w:val="00E136BF"/>
    <w:rsid w:val="00E138F0"/>
    <w:rsid w:val="00E13C52"/>
    <w:rsid w:val="00E13FCA"/>
    <w:rsid w:val="00E14053"/>
    <w:rsid w:val="00E14055"/>
    <w:rsid w:val="00E141A8"/>
    <w:rsid w:val="00E14325"/>
    <w:rsid w:val="00E1435B"/>
    <w:rsid w:val="00E143D6"/>
    <w:rsid w:val="00E14446"/>
    <w:rsid w:val="00E146B8"/>
    <w:rsid w:val="00E1474C"/>
    <w:rsid w:val="00E14B51"/>
    <w:rsid w:val="00E14BA1"/>
    <w:rsid w:val="00E14E5A"/>
    <w:rsid w:val="00E14E5F"/>
    <w:rsid w:val="00E15017"/>
    <w:rsid w:val="00E15026"/>
    <w:rsid w:val="00E15725"/>
    <w:rsid w:val="00E157D3"/>
    <w:rsid w:val="00E15949"/>
    <w:rsid w:val="00E15A4F"/>
    <w:rsid w:val="00E15C13"/>
    <w:rsid w:val="00E15D54"/>
    <w:rsid w:val="00E15E55"/>
    <w:rsid w:val="00E15E7A"/>
    <w:rsid w:val="00E15FCB"/>
    <w:rsid w:val="00E15FE5"/>
    <w:rsid w:val="00E162A4"/>
    <w:rsid w:val="00E162D7"/>
    <w:rsid w:val="00E163BA"/>
    <w:rsid w:val="00E1643B"/>
    <w:rsid w:val="00E16523"/>
    <w:rsid w:val="00E16569"/>
    <w:rsid w:val="00E16582"/>
    <w:rsid w:val="00E16716"/>
    <w:rsid w:val="00E16717"/>
    <w:rsid w:val="00E167FC"/>
    <w:rsid w:val="00E16869"/>
    <w:rsid w:val="00E16888"/>
    <w:rsid w:val="00E1688C"/>
    <w:rsid w:val="00E168D4"/>
    <w:rsid w:val="00E168DA"/>
    <w:rsid w:val="00E16CF5"/>
    <w:rsid w:val="00E16E1F"/>
    <w:rsid w:val="00E17041"/>
    <w:rsid w:val="00E1725C"/>
    <w:rsid w:val="00E17277"/>
    <w:rsid w:val="00E172C5"/>
    <w:rsid w:val="00E17317"/>
    <w:rsid w:val="00E1749E"/>
    <w:rsid w:val="00E17A84"/>
    <w:rsid w:val="00E17CE1"/>
    <w:rsid w:val="00E17CFF"/>
    <w:rsid w:val="00E17E5E"/>
    <w:rsid w:val="00E17E8E"/>
    <w:rsid w:val="00E2006F"/>
    <w:rsid w:val="00E20199"/>
    <w:rsid w:val="00E2022B"/>
    <w:rsid w:val="00E20299"/>
    <w:rsid w:val="00E2046D"/>
    <w:rsid w:val="00E2061D"/>
    <w:rsid w:val="00E2072D"/>
    <w:rsid w:val="00E2082B"/>
    <w:rsid w:val="00E20955"/>
    <w:rsid w:val="00E20995"/>
    <w:rsid w:val="00E20A13"/>
    <w:rsid w:val="00E20B97"/>
    <w:rsid w:val="00E20C9C"/>
    <w:rsid w:val="00E20D96"/>
    <w:rsid w:val="00E20DCA"/>
    <w:rsid w:val="00E20E33"/>
    <w:rsid w:val="00E20E8C"/>
    <w:rsid w:val="00E2130B"/>
    <w:rsid w:val="00E214ED"/>
    <w:rsid w:val="00E215F0"/>
    <w:rsid w:val="00E21828"/>
    <w:rsid w:val="00E21877"/>
    <w:rsid w:val="00E219B4"/>
    <w:rsid w:val="00E21AD0"/>
    <w:rsid w:val="00E21ADB"/>
    <w:rsid w:val="00E21E3F"/>
    <w:rsid w:val="00E21E4C"/>
    <w:rsid w:val="00E22007"/>
    <w:rsid w:val="00E220C6"/>
    <w:rsid w:val="00E22123"/>
    <w:rsid w:val="00E2217A"/>
    <w:rsid w:val="00E22209"/>
    <w:rsid w:val="00E22391"/>
    <w:rsid w:val="00E22665"/>
    <w:rsid w:val="00E2267C"/>
    <w:rsid w:val="00E2268B"/>
    <w:rsid w:val="00E227AE"/>
    <w:rsid w:val="00E227AF"/>
    <w:rsid w:val="00E229A8"/>
    <w:rsid w:val="00E229D2"/>
    <w:rsid w:val="00E22ACC"/>
    <w:rsid w:val="00E22C99"/>
    <w:rsid w:val="00E22D4C"/>
    <w:rsid w:val="00E22DB4"/>
    <w:rsid w:val="00E22E10"/>
    <w:rsid w:val="00E2307F"/>
    <w:rsid w:val="00E23090"/>
    <w:rsid w:val="00E23185"/>
    <w:rsid w:val="00E2323B"/>
    <w:rsid w:val="00E232C3"/>
    <w:rsid w:val="00E233E7"/>
    <w:rsid w:val="00E23526"/>
    <w:rsid w:val="00E23631"/>
    <w:rsid w:val="00E236E2"/>
    <w:rsid w:val="00E23B0E"/>
    <w:rsid w:val="00E23D56"/>
    <w:rsid w:val="00E23D8B"/>
    <w:rsid w:val="00E23F4E"/>
    <w:rsid w:val="00E23FEB"/>
    <w:rsid w:val="00E24244"/>
    <w:rsid w:val="00E24353"/>
    <w:rsid w:val="00E24469"/>
    <w:rsid w:val="00E24799"/>
    <w:rsid w:val="00E2482D"/>
    <w:rsid w:val="00E2486C"/>
    <w:rsid w:val="00E24906"/>
    <w:rsid w:val="00E24A10"/>
    <w:rsid w:val="00E24A60"/>
    <w:rsid w:val="00E24AF0"/>
    <w:rsid w:val="00E24AF1"/>
    <w:rsid w:val="00E24B28"/>
    <w:rsid w:val="00E24C10"/>
    <w:rsid w:val="00E24C6A"/>
    <w:rsid w:val="00E24FB5"/>
    <w:rsid w:val="00E2501D"/>
    <w:rsid w:val="00E2513D"/>
    <w:rsid w:val="00E25365"/>
    <w:rsid w:val="00E2539E"/>
    <w:rsid w:val="00E25422"/>
    <w:rsid w:val="00E256E5"/>
    <w:rsid w:val="00E25CF2"/>
    <w:rsid w:val="00E25E05"/>
    <w:rsid w:val="00E260EE"/>
    <w:rsid w:val="00E263D8"/>
    <w:rsid w:val="00E26416"/>
    <w:rsid w:val="00E2642A"/>
    <w:rsid w:val="00E26637"/>
    <w:rsid w:val="00E266E6"/>
    <w:rsid w:val="00E26810"/>
    <w:rsid w:val="00E2682C"/>
    <w:rsid w:val="00E26963"/>
    <w:rsid w:val="00E269D9"/>
    <w:rsid w:val="00E26C2C"/>
    <w:rsid w:val="00E272A0"/>
    <w:rsid w:val="00E27345"/>
    <w:rsid w:val="00E2751F"/>
    <w:rsid w:val="00E276A9"/>
    <w:rsid w:val="00E276DC"/>
    <w:rsid w:val="00E2773B"/>
    <w:rsid w:val="00E27782"/>
    <w:rsid w:val="00E27B8F"/>
    <w:rsid w:val="00E30029"/>
    <w:rsid w:val="00E30037"/>
    <w:rsid w:val="00E300A7"/>
    <w:rsid w:val="00E30499"/>
    <w:rsid w:val="00E306C5"/>
    <w:rsid w:val="00E30711"/>
    <w:rsid w:val="00E309DD"/>
    <w:rsid w:val="00E30A29"/>
    <w:rsid w:val="00E30A46"/>
    <w:rsid w:val="00E30B51"/>
    <w:rsid w:val="00E30B8E"/>
    <w:rsid w:val="00E30C0F"/>
    <w:rsid w:val="00E30E72"/>
    <w:rsid w:val="00E3102A"/>
    <w:rsid w:val="00E31116"/>
    <w:rsid w:val="00E31290"/>
    <w:rsid w:val="00E31293"/>
    <w:rsid w:val="00E313EE"/>
    <w:rsid w:val="00E314F2"/>
    <w:rsid w:val="00E31767"/>
    <w:rsid w:val="00E318EB"/>
    <w:rsid w:val="00E31985"/>
    <w:rsid w:val="00E31AEC"/>
    <w:rsid w:val="00E31E90"/>
    <w:rsid w:val="00E32128"/>
    <w:rsid w:val="00E324BB"/>
    <w:rsid w:val="00E3252C"/>
    <w:rsid w:val="00E3269A"/>
    <w:rsid w:val="00E326F8"/>
    <w:rsid w:val="00E32725"/>
    <w:rsid w:val="00E32A7A"/>
    <w:rsid w:val="00E32A89"/>
    <w:rsid w:val="00E32CF4"/>
    <w:rsid w:val="00E32D23"/>
    <w:rsid w:val="00E32ECD"/>
    <w:rsid w:val="00E32FAC"/>
    <w:rsid w:val="00E33139"/>
    <w:rsid w:val="00E331A2"/>
    <w:rsid w:val="00E33203"/>
    <w:rsid w:val="00E33358"/>
    <w:rsid w:val="00E33475"/>
    <w:rsid w:val="00E3352C"/>
    <w:rsid w:val="00E33752"/>
    <w:rsid w:val="00E338C4"/>
    <w:rsid w:val="00E339F0"/>
    <w:rsid w:val="00E33A6C"/>
    <w:rsid w:val="00E33E0C"/>
    <w:rsid w:val="00E33EE9"/>
    <w:rsid w:val="00E33F8F"/>
    <w:rsid w:val="00E341F5"/>
    <w:rsid w:val="00E34287"/>
    <w:rsid w:val="00E34324"/>
    <w:rsid w:val="00E3432F"/>
    <w:rsid w:val="00E343CB"/>
    <w:rsid w:val="00E344CB"/>
    <w:rsid w:val="00E345EC"/>
    <w:rsid w:val="00E34768"/>
    <w:rsid w:val="00E34796"/>
    <w:rsid w:val="00E347A0"/>
    <w:rsid w:val="00E34884"/>
    <w:rsid w:val="00E34B1D"/>
    <w:rsid w:val="00E34CEF"/>
    <w:rsid w:val="00E34D8C"/>
    <w:rsid w:val="00E34FB2"/>
    <w:rsid w:val="00E35048"/>
    <w:rsid w:val="00E350F5"/>
    <w:rsid w:val="00E35392"/>
    <w:rsid w:val="00E35416"/>
    <w:rsid w:val="00E35427"/>
    <w:rsid w:val="00E35500"/>
    <w:rsid w:val="00E35513"/>
    <w:rsid w:val="00E3551D"/>
    <w:rsid w:val="00E35718"/>
    <w:rsid w:val="00E35798"/>
    <w:rsid w:val="00E357B5"/>
    <w:rsid w:val="00E3582E"/>
    <w:rsid w:val="00E35C64"/>
    <w:rsid w:val="00E35E8B"/>
    <w:rsid w:val="00E362B9"/>
    <w:rsid w:val="00E362CE"/>
    <w:rsid w:val="00E36492"/>
    <w:rsid w:val="00E36512"/>
    <w:rsid w:val="00E36C7A"/>
    <w:rsid w:val="00E36CE6"/>
    <w:rsid w:val="00E36D23"/>
    <w:rsid w:val="00E36E77"/>
    <w:rsid w:val="00E36EB7"/>
    <w:rsid w:val="00E37017"/>
    <w:rsid w:val="00E37263"/>
    <w:rsid w:val="00E37373"/>
    <w:rsid w:val="00E373AC"/>
    <w:rsid w:val="00E373C2"/>
    <w:rsid w:val="00E37424"/>
    <w:rsid w:val="00E374E1"/>
    <w:rsid w:val="00E375C1"/>
    <w:rsid w:val="00E377E8"/>
    <w:rsid w:val="00E37821"/>
    <w:rsid w:val="00E37841"/>
    <w:rsid w:val="00E37970"/>
    <w:rsid w:val="00E379E2"/>
    <w:rsid w:val="00E37A3F"/>
    <w:rsid w:val="00E37B7F"/>
    <w:rsid w:val="00E37C98"/>
    <w:rsid w:val="00E37D7E"/>
    <w:rsid w:val="00E37E42"/>
    <w:rsid w:val="00E37E88"/>
    <w:rsid w:val="00E37FA7"/>
    <w:rsid w:val="00E40283"/>
    <w:rsid w:val="00E402F5"/>
    <w:rsid w:val="00E403FB"/>
    <w:rsid w:val="00E40444"/>
    <w:rsid w:val="00E406D7"/>
    <w:rsid w:val="00E40815"/>
    <w:rsid w:val="00E40951"/>
    <w:rsid w:val="00E40986"/>
    <w:rsid w:val="00E40F22"/>
    <w:rsid w:val="00E41281"/>
    <w:rsid w:val="00E41318"/>
    <w:rsid w:val="00E414F1"/>
    <w:rsid w:val="00E415B1"/>
    <w:rsid w:val="00E416FC"/>
    <w:rsid w:val="00E41711"/>
    <w:rsid w:val="00E41C77"/>
    <w:rsid w:val="00E41CA3"/>
    <w:rsid w:val="00E41D44"/>
    <w:rsid w:val="00E41D7D"/>
    <w:rsid w:val="00E41E0A"/>
    <w:rsid w:val="00E41FA0"/>
    <w:rsid w:val="00E41FA8"/>
    <w:rsid w:val="00E41FB9"/>
    <w:rsid w:val="00E42262"/>
    <w:rsid w:val="00E42306"/>
    <w:rsid w:val="00E42445"/>
    <w:rsid w:val="00E4246F"/>
    <w:rsid w:val="00E425D7"/>
    <w:rsid w:val="00E42659"/>
    <w:rsid w:val="00E427F0"/>
    <w:rsid w:val="00E42813"/>
    <w:rsid w:val="00E4281D"/>
    <w:rsid w:val="00E42885"/>
    <w:rsid w:val="00E428EF"/>
    <w:rsid w:val="00E42918"/>
    <w:rsid w:val="00E42BE9"/>
    <w:rsid w:val="00E42C72"/>
    <w:rsid w:val="00E42E21"/>
    <w:rsid w:val="00E42EB4"/>
    <w:rsid w:val="00E42EDF"/>
    <w:rsid w:val="00E42F97"/>
    <w:rsid w:val="00E43055"/>
    <w:rsid w:val="00E430B3"/>
    <w:rsid w:val="00E430DE"/>
    <w:rsid w:val="00E431B3"/>
    <w:rsid w:val="00E43306"/>
    <w:rsid w:val="00E4340D"/>
    <w:rsid w:val="00E43464"/>
    <w:rsid w:val="00E4351C"/>
    <w:rsid w:val="00E43542"/>
    <w:rsid w:val="00E43641"/>
    <w:rsid w:val="00E438A7"/>
    <w:rsid w:val="00E4394A"/>
    <w:rsid w:val="00E439B6"/>
    <w:rsid w:val="00E43A9B"/>
    <w:rsid w:val="00E43AED"/>
    <w:rsid w:val="00E43C11"/>
    <w:rsid w:val="00E43D44"/>
    <w:rsid w:val="00E43DBD"/>
    <w:rsid w:val="00E44270"/>
    <w:rsid w:val="00E44353"/>
    <w:rsid w:val="00E44414"/>
    <w:rsid w:val="00E44415"/>
    <w:rsid w:val="00E44472"/>
    <w:rsid w:val="00E44511"/>
    <w:rsid w:val="00E44763"/>
    <w:rsid w:val="00E449A8"/>
    <w:rsid w:val="00E44AD2"/>
    <w:rsid w:val="00E44D87"/>
    <w:rsid w:val="00E45020"/>
    <w:rsid w:val="00E450B3"/>
    <w:rsid w:val="00E451BE"/>
    <w:rsid w:val="00E451D7"/>
    <w:rsid w:val="00E455B6"/>
    <w:rsid w:val="00E455E2"/>
    <w:rsid w:val="00E4564D"/>
    <w:rsid w:val="00E456B4"/>
    <w:rsid w:val="00E458A2"/>
    <w:rsid w:val="00E45D50"/>
    <w:rsid w:val="00E45D80"/>
    <w:rsid w:val="00E45DFB"/>
    <w:rsid w:val="00E45EF9"/>
    <w:rsid w:val="00E45F81"/>
    <w:rsid w:val="00E46181"/>
    <w:rsid w:val="00E464F0"/>
    <w:rsid w:val="00E467F8"/>
    <w:rsid w:val="00E46A87"/>
    <w:rsid w:val="00E46C2F"/>
    <w:rsid w:val="00E46C61"/>
    <w:rsid w:val="00E46DBA"/>
    <w:rsid w:val="00E46DEA"/>
    <w:rsid w:val="00E46DEC"/>
    <w:rsid w:val="00E46EE0"/>
    <w:rsid w:val="00E47182"/>
    <w:rsid w:val="00E471D4"/>
    <w:rsid w:val="00E47672"/>
    <w:rsid w:val="00E4767B"/>
    <w:rsid w:val="00E477EE"/>
    <w:rsid w:val="00E477F3"/>
    <w:rsid w:val="00E478D0"/>
    <w:rsid w:val="00E47A69"/>
    <w:rsid w:val="00E47BE8"/>
    <w:rsid w:val="00E47C85"/>
    <w:rsid w:val="00E501F9"/>
    <w:rsid w:val="00E502F3"/>
    <w:rsid w:val="00E503B6"/>
    <w:rsid w:val="00E503BB"/>
    <w:rsid w:val="00E504A2"/>
    <w:rsid w:val="00E504C0"/>
    <w:rsid w:val="00E50554"/>
    <w:rsid w:val="00E50A0F"/>
    <w:rsid w:val="00E50A52"/>
    <w:rsid w:val="00E50B87"/>
    <w:rsid w:val="00E50C35"/>
    <w:rsid w:val="00E50D88"/>
    <w:rsid w:val="00E510A9"/>
    <w:rsid w:val="00E51472"/>
    <w:rsid w:val="00E514DE"/>
    <w:rsid w:val="00E517D1"/>
    <w:rsid w:val="00E518D2"/>
    <w:rsid w:val="00E51919"/>
    <w:rsid w:val="00E51AB6"/>
    <w:rsid w:val="00E51B1E"/>
    <w:rsid w:val="00E51C16"/>
    <w:rsid w:val="00E51E3A"/>
    <w:rsid w:val="00E51EAD"/>
    <w:rsid w:val="00E51EDA"/>
    <w:rsid w:val="00E521A6"/>
    <w:rsid w:val="00E5222D"/>
    <w:rsid w:val="00E523E2"/>
    <w:rsid w:val="00E52681"/>
    <w:rsid w:val="00E52999"/>
    <w:rsid w:val="00E52A70"/>
    <w:rsid w:val="00E52B09"/>
    <w:rsid w:val="00E52CF0"/>
    <w:rsid w:val="00E52D7F"/>
    <w:rsid w:val="00E52EB9"/>
    <w:rsid w:val="00E530BD"/>
    <w:rsid w:val="00E5311A"/>
    <w:rsid w:val="00E531A8"/>
    <w:rsid w:val="00E532C7"/>
    <w:rsid w:val="00E5330C"/>
    <w:rsid w:val="00E534C6"/>
    <w:rsid w:val="00E534FB"/>
    <w:rsid w:val="00E5369D"/>
    <w:rsid w:val="00E536CA"/>
    <w:rsid w:val="00E53967"/>
    <w:rsid w:val="00E53A5C"/>
    <w:rsid w:val="00E53BB4"/>
    <w:rsid w:val="00E53F73"/>
    <w:rsid w:val="00E53FA8"/>
    <w:rsid w:val="00E54168"/>
    <w:rsid w:val="00E54213"/>
    <w:rsid w:val="00E543ED"/>
    <w:rsid w:val="00E544B4"/>
    <w:rsid w:val="00E5454C"/>
    <w:rsid w:val="00E54687"/>
    <w:rsid w:val="00E546DA"/>
    <w:rsid w:val="00E54A25"/>
    <w:rsid w:val="00E54C59"/>
    <w:rsid w:val="00E55009"/>
    <w:rsid w:val="00E552CE"/>
    <w:rsid w:val="00E5545A"/>
    <w:rsid w:val="00E554EB"/>
    <w:rsid w:val="00E55696"/>
    <w:rsid w:val="00E556F7"/>
    <w:rsid w:val="00E5574C"/>
    <w:rsid w:val="00E5578F"/>
    <w:rsid w:val="00E55933"/>
    <w:rsid w:val="00E55A6E"/>
    <w:rsid w:val="00E55B36"/>
    <w:rsid w:val="00E55D5A"/>
    <w:rsid w:val="00E560ED"/>
    <w:rsid w:val="00E560FA"/>
    <w:rsid w:val="00E5610E"/>
    <w:rsid w:val="00E561CC"/>
    <w:rsid w:val="00E561DE"/>
    <w:rsid w:val="00E562EA"/>
    <w:rsid w:val="00E56347"/>
    <w:rsid w:val="00E56352"/>
    <w:rsid w:val="00E56410"/>
    <w:rsid w:val="00E564DD"/>
    <w:rsid w:val="00E5650C"/>
    <w:rsid w:val="00E567D6"/>
    <w:rsid w:val="00E56818"/>
    <w:rsid w:val="00E56C64"/>
    <w:rsid w:val="00E56DAC"/>
    <w:rsid w:val="00E56E37"/>
    <w:rsid w:val="00E56E74"/>
    <w:rsid w:val="00E571BB"/>
    <w:rsid w:val="00E575AD"/>
    <w:rsid w:val="00E576DB"/>
    <w:rsid w:val="00E576DF"/>
    <w:rsid w:val="00E577C9"/>
    <w:rsid w:val="00E578C8"/>
    <w:rsid w:val="00E57C5B"/>
    <w:rsid w:val="00E57C9A"/>
    <w:rsid w:val="00E57EE4"/>
    <w:rsid w:val="00E60147"/>
    <w:rsid w:val="00E603B9"/>
    <w:rsid w:val="00E60430"/>
    <w:rsid w:val="00E60744"/>
    <w:rsid w:val="00E60774"/>
    <w:rsid w:val="00E60809"/>
    <w:rsid w:val="00E6082F"/>
    <w:rsid w:val="00E6086D"/>
    <w:rsid w:val="00E6092E"/>
    <w:rsid w:val="00E60A84"/>
    <w:rsid w:val="00E60B92"/>
    <w:rsid w:val="00E60D57"/>
    <w:rsid w:val="00E60E6C"/>
    <w:rsid w:val="00E61032"/>
    <w:rsid w:val="00E611B9"/>
    <w:rsid w:val="00E6139A"/>
    <w:rsid w:val="00E61404"/>
    <w:rsid w:val="00E61494"/>
    <w:rsid w:val="00E61512"/>
    <w:rsid w:val="00E615CB"/>
    <w:rsid w:val="00E6169D"/>
    <w:rsid w:val="00E6173C"/>
    <w:rsid w:val="00E61990"/>
    <w:rsid w:val="00E61F08"/>
    <w:rsid w:val="00E6208C"/>
    <w:rsid w:val="00E620F9"/>
    <w:rsid w:val="00E62298"/>
    <w:rsid w:val="00E625DE"/>
    <w:rsid w:val="00E62637"/>
    <w:rsid w:val="00E62740"/>
    <w:rsid w:val="00E628AE"/>
    <w:rsid w:val="00E629CE"/>
    <w:rsid w:val="00E62C15"/>
    <w:rsid w:val="00E62DFB"/>
    <w:rsid w:val="00E62F06"/>
    <w:rsid w:val="00E62FF2"/>
    <w:rsid w:val="00E631A1"/>
    <w:rsid w:val="00E631AB"/>
    <w:rsid w:val="00E63361"/>
    <w:rsid w:val="00E63447"/>
    <w:rsid w:val="00E63760"/>
    <w:rsid w:val="00E637D7"/>
    <w:rsid w:val="00E6383D"/>
    <w:rsid w:val="00E63847"/>
    <w:rsid w:val="00E638A3"/>
    <w:rsid w:val="00E638E8"/>
    <w:rsid w:val="00E63A28"/>
    <w:rsid w:val="00E63E1B"/>
    <w:rsid w:val="00E63E86"/>
    <w:rsid w:val="00E64022"/>
    <w:rsid w:val="00E6416D"/>
    <w:rsid w:val="00E6435E"/>
    <w:rsid w:val="00E643C6"/>
    <w:rsid w:val="00E644DE"/>
    <w:rsid w:val="00E644ED"/>
    <w:rsid w:val="00E6462C"/>
    <w:rsid w:val="00E6472E"/>
    <w:rsid w:val="00E649E4"/>
    <w:rsid w:val="00E649FF"/>
    <w:rsid w:val="00E64B24"/>
    <w:rsid w:val="00E64D19"/>
    <w:rsid w:val="00E64DF4"/>
    <w:rsid w:val="00E64EB7"/>
    <w:rsid w:val="00E65145"/>
    <w:rsid w:val="00E652D3"/>
    <w:rsid w:val="00E65370"/>
    <w:rsid w:val="00E65397"/>
    <w:rsid w:val="00E655E8"/>
    <w:rsid w:val="00E6586E"/>
    <w:rsid w:val="00E65893"/>
    <w:rsid w:val="00E66510"/>
    <w:rsid w:val="00E6657E"/>
    <w:rsid w:val="00E665F9"/>
    <w:rsid w:val="00E66693"/>
    <w:rsid w:val="00E666B9"/>
    <w:rsid w:val="00E66842"/>
    <w:rsid w:val="00E66974"/>
    <w:rsid w:val="00E6697E"/>
    <w:rsid w:val="00E66F79"/>
    <w:rsid w:val="00E670C0"/>
    <w:rsid w:val="00E67128"/>
    <w:rsid w:val="00E67232"/>
    <w:rsid w:val="00E673BA"/>
    <w:rsid w:val="00E67545"/>
    <w:rsid w:val="00E6754F"/>
    <w:rsid w:val="00E6758D"/>
    <w:rsid w:val="00E675E0"/>
    <w:rsid w:val="00E6791B"/>
    <w:rsid w:val="00E67A21"/>
    <w:rsid w:val="00E67AE3"/>
    <w:rsid w:val="00E67BF6"/>
    <w:rsid w:val="00E67E4E"/>
    <w:rsid w:val="00E70613"/>
    <w:rsid w:val="00E706CF"/>
    <w:rsid w:val="00E7091D"/>
    <w:rsid w:val="00E70957"/>
    <w:rsid w:val="00E70B38"/>
    <w:rsid w:val="00E70BF2"/>
    <w:rsid w:val="00E70C0F"/>
    <w:rsid w:val="00E70D95"/>
    <w:rsid w:val="00E70DB5"/>
    <w:rsid w:val="00E70E0D"/>
    <w:rsid w:val="00E711BA"/>
    <w:rsid w:val="00E711D1"/>
    <w:rsid w:val="00E7132C"/>
    <w:rsid w:val="00E71371"/>
    <w:rsid w:val="00E7142A"/>
    <w:rsid w:val="00E715A3"/>
    <w:rsid w:val="00E717BA"/>
    <w:rsid w:val="00E71C50"/>
    <w:rsid w:val="00E71D34"/>
    <w:rsid w:val="00E71DDF"/>
    <w:rsid w:val="00E7229E"/>
    <w:rsid w:val="00E72408"/>
    <w:rsid w:val="00E72509"/>
    <w:rsid w:val="00E7255B"/>
    <w:rsid w:val="00E72835"/>
    <w:rsid w:val="00E729AB"/>
    <w:rsid w:val="00E72A82"/>
    <w:rsid w:val="00E72CE0"/>
    <w:rsid w:val="00E72DDD"/>
    <w:rsid w:val="00E72F3E"/>
    <w:rsid w:val="00E72F6C"/>
    <w:rsid w:val="00E730B8"/>
    <w:rsid w:val="00E730DD"/>
    <w:rsid w:val="00E730DE"/>
    <w:rsid w:val="00E73137"/>
    <w:rsid w:val="00E731BD"/>
    <w:rsid w:val="00E73434"/>
    <w:rsid w:val="00E735FD"/>
    <w:rsid w:val="00E73944"/>
    <w:rsid w:val="00E73B44"/>
    <w:rsid w:val="00E73BE1"/>
    <w:rsid w:val="00E73DAF"/>
    <w:rsid w:val="00E73E19"/>
    <w:rsid w:val="00E73FCA"/>
    <w:rsid w:val="00E73FD6"/>
    <w:rsid w:val="00E741D9"/>
    <w:rsid w:val="00E742D4"/>
    <w:rsid w:val="00E742F5"/>
    <w:rsid w:val="00E74435"/>
    <w:rsid w:val="00E7444B"/>
    <w:rsid w:val="00E74792"/>
    <w:rsid w:val="00E74856"/>
    <w:rsid w:val="00E74860"/>
    <w:rsid w:val="00E74A0E"/>
    <w:rsid w:val="00E74B5D"/>
    <w:rsid w:val="00E74C8D"/>
    <w:rsid w:val="00E74CB7"/>
    <w:rsid w:val="00E74E72"/>
    <w:rsid w:val="00E74F46"/>
    <w:rsid w:val="00E74F92"/>
    <w:rsid w:val="00E75236"/>
    <w:rsid w:val="00E75266"/>
    <w:rsid w:val="00E752D8"/>
    <w:rsid w:val="00E754AE"/>
    <w:rsid w:val="00E7566E"/>
    <w:rsid w:val="00E75796"/>
    <w:rsid w:val="00E75866"/>
    <w:rsid w:val="00E758AD"/>
    <w:rsid w:val="00E759F7"/>
    <w:rsid w:val="00E75AB5"/>
    <w:rsid w:val="00E75E82"/>
    <w:rsid w:val="00E75F53"/>
    <w:rsid w:val="00E7605F"/>
    <w:rsid w:val="00E7608F"/>
    <w:rsid w:val="00E76430"/>
    <w:rsid w:val="00E766BD"/>
    <w:rsid w:val="00E7672B"/>
    <w:rsid w:val="00E76731"/>
    <w:rsid w:val="00E7691E"/>
    <w:rsid w:val="00E76A57"/>
    <w:rsid w:val="00E76A86"/>
    <w:rsid w:val="00E76DAC"/>
    <w:rsid w:val="00E76E17"/>
    <w:rsid w:val="00E770AB"/>
    <w:rsid w:val="00E770D1"/>
    <w:rsid w:val="00E774A2"/>
    <w:rsid w:val="00E774EF"/>
    <w:rsid w:val="00E775CD"/>
    <w:rsid w:val="00E779E7"/>
    <w:rsid w:val="00E77A79"/>
    <w:rsid w:val="00E77A8A"/>
    <w:rsid w:val="00E77D4E"/>
    <w:rsid w:val="00E77D97"/>
    <w:rsid w:val="00E77FA5"/>
    <w:rsid w:val="00E80020"/>
    <w:rsid w:val="00E800E8"/>
    <w:rsid w:val="00E800F7"/>
    <w:rsid w:val="00E8010C"/>
    <w:rsid w:val="00E8019E"/>
    <w:rsid w:val="00E801BC"/>
    <w:rsid w:val="00E80337"/>
    <w:rsid w:val="00E8037B"/>
    <w:rsid w:val="00E80764"/>
    <w:rsid w:val="00E807DA"/>
    <w:rsid w:val="00E80898"/>
    <w:rsid w:val="00E808F2"/>
    <w:rsid w:val="00E808FA"/>
    <w:rsid w:val="00E80A93"/>
    <w:rsid w:val="00E80AF8"/>
    <w:rsid w:val="00E80D26"/>
    <w:rsid w:val="00E80D97"/>
    <w:rsid w:val="00E80E60"/>
    <w:rsid w:val="00E80F0A"/>
    <w:rsid w:val="00E80F13"/>
    <w:rsid w:val="00E81004"/>
    <w:rsid w:val="00E81119"/>
    <w:rsid w:val="00E813A6"/>
    <w:rsid w:val="00E8163B"/>
    <w:rsid w:val="00E816B3"/>
    <w:rsid w:val="00E817E4"/>
    <w:rsid w:val="00E819F2"/>
    <w:rsid w:val="00E81B1A"/>
    <w:rsid w:val="00E81D2B"/>
    <w:rsid w:val="00E82158"/>
    <w:rsid w:val="00E82169"/>
    <w:rsid w:val="00E82361"/>
    <w:rsid w:val="00E82796"/>
    <w:rsid w:val="00E82880"/>
    <w:rsid w:val="00E82958"/>
    <w:rsid w:val="00E829CA"/>
    <w:rsid w:val="00E82B73"/>
    <w:rsid w:val="00E82E19"/>
    <w:rsid w:val="00E82F1D"/>
    <w:rsid w:val="00E82FD9"/>
    <w:rsid w:val="00E83033"/>
    <w:rsid w:val="00E83035"/>
    <w:rsid w:val="00E83054"/>
    <w:rsid w:val="00E831E5"/>
    <w:rsid w:val="00E83650"/>
    <w:rsid w:val="00E837A9"/>
    <w:rsid w:val="00E837E6"/>
    <w:rsid w:val="00E83969"/>
    <w:rsid w:val="00E83BA3"/>
    <w:rsid w:val="00E83BA4"/>
    <w:rsid w:val="00E83CC4"/>
    <w:rsid w:val="00E83FBB"/>
    <w:rsid w:val="00E84019"/>
    <w:rsid w:val="00E8411B"/>
    <w:rsid w:val="00E84419"/>
    <w:rsid w:val="00E8447F"/>
    <w:rsid w:val="00E844DD"/>
    <w:rsid w:val="00E845E2"/>
    <w:rsid w:val="00E848C5"/>
    <w:rsid w:val="00E84991"/>
    <w:rsid w:val="00E84A36"/>
    <w:rsid w:val="00E84B9A"/>
    <w:rsid w:val="00E84D9F"/>
    <w:rsid w:val="00E84E1D"/>
    <w:rsid w:val="00E84E40"/>
    <w:rsid w:val="00E8509A"/>
    <w:rsid w:val="00E8529E"/>
    <w:rsid w:val="00E8535A"/>
    <w:rsid w:val="00E85573"/>
    <w:rsid w:val="00E858EE"/>
    <w:rsid w:val="00E85A2B"/>
    <w:rsid w:val="00E85A5D"/>
    <w:rsid w:val="00E85C31"/>
    <w:rsid w:val="00E85DF0"/>
    <w:rsid w:val="00E85EF5"/>
    <w:rsid w:val="00E85F01"/>
    <w:rsid w:val="00E85F7C"/>
    <w:rsid w:val="00E860BF"/>
    <w:rsid w:val="00E86211"/>
    <w:rsid w:val="00E86246"/>
    <w:rsid w:val="00E864A7"/>
    <w:rsid w:val="00E86765"/>
    <w:rsid w:val="00E867BB"/>
    <w:rsid w:val="00E86896"/>
    <w:rsid w:val="00E8689E"/>
    <w:rsid w:val="00E869F4"/>
    <w:rsid w:val="00E86B7B"/>
    <w:rsid w:val="00E870DE"/>
    <w:rsid w:val="00E872E2"/>
    <w:rsid w:val="00E8747D"/>
    <w:rsid w:val="00E874B0"/>
    <w:rsid w:val="00E874FA"/>
    <w:rsid w:val="00E87908"/>
    <w:rsid w:val="00E87A7C"/>
    <w:rsid w:val="00E87BB9"/>
    <w:rsid w:val="00E87F2C"/>
    <w:rsid w:val="00E900F1"/>
    <w:rsid w:val="00E9042A"/>
    <w:rsid w:val="00E90457"/>
    <w:rsid w:val="00E90483"/>
    <w:rsid w:val="00E904D0"/>
    <w:rsid w:val="00E90533"/>
    <w:rsid w:val="00E90685"/>
    <w:rsid w:val="00E90845"/>
    <w:rsid w:val="00E90853"/>
    <w:rsid w:val="00E909E0"/>
    <w:rsid w:val="00E90A01"/>
    <w:rsid w:val="00E90B49"/>
    <w:rsid w:val="00E90B9C"/>
    <w:rsid w:val="00E90D4C"/>
    <w:rsid w:val="00E91112"/>
    <w:rsid w:val="00E9143C"/>
    <w:rsid w:val="00E9151E"/>
    <w:rsid w:val="00E9162B"/>
    <w:rsid w:val="00E91860"/>
    <w:rsid w:val="00E91BE9"/>
    <w:rsid w:val="00E91C12"/>
    <w:rsid w:val="00E91E5B"/>
    <w:rsid w:val="00E91F71"/>
    <w:rsid w:val="00E91FF5"/>
    <w:rsid w:val="00E92395"/>
    <w:rsid w:val="00E9256D"/>
    <w:rsid w:val="00E9263D"/>
    <w:rsid w:val="00E926B6"/>
    <w:rsid w:val="00E92713"/>
    <w:rsid w:val="00E9283C"/>
    <w:rsid w:val="00E92986"/>
    <w:rsid w:val="00E92AC9"/>
    <w:rsid w:val="00E92B67"/>
    <w:rsid w:val="00E92BDA"/>
    <w:rsid w:val="00E92C15"/>
    <w:rsid w:val="00E92CFE"/>
    <w:rsid w:val="00E92D14"/>
    <w:rsid w:val="00E92E41"/>
    <w:rsid w:val="00E92F46"/>
    <w:rsid w:val="00E92FA1"/>
    <w:rsid w:val="00E9317E"/>
    <w:rsid w:val="00E931EE"/>
    <w:rsid w:val="00E932AE"/>
    <w:rsid w:val="00E936F6"/>
    <w:rsid w:val="00E93795"/>
    <w:rsid w:val="00E937DD"/>
    <w:rsid w:val="00E93834"/>
    <w:rsid w:val="00E93A96"/>
    <w:rsid w:val="00E93C5E"/>
    <w:rsid w:val="00E93D55"/>
    <w:rsid w:val="00E9402F"/>
    <w:rsid w:val="00E9408E"/>
    <w:rsid w:val="00E9431A"/>
    <w:rsid w:val="00E94501"/>
    <w:rsid w:val="00E9460B"/>
    <w:rsid w:val="00E946F9"/>
    <w:rsid w:val="00E948B7"/>
    <w:rsid w:val="00E948BA"/>
    <w:rsid w:val="00E948BC"/>
    <w:rsid w:val="00E9498C"/>
    <w:rsid w:val="00E949BF"/>
    <w:rsid w:val="00E94BA7"/>
    <w:rsid w:val="00E94C59"/>
    <w:rsid w:val="00E94DB3"/>
    <w:rsid w:val="00E94F93"/>
    <w:rsid w:val="00E95053"/>
    <w:rsid w:val="00E9505D"/>
    <w:rsid w:val="00E95133"/>
    <w:rsid w:val="00E9533B"/>
    <w:rsid w:val="00E95493"/>
    <w:rsid w:val="00E954B7"/>
    <w:rsid w:val="00E955AF"/>
    <w:rsid w:val="00E955B1"/>
    <w:rsid w:val="00E955FC"/>
    <w:rsid w:val="00E95666"/>
    <w:rsid w:val="00E95785"/>
    <w:rsid w:val="00E95906"/>
    <w:rsid w:val="00E95B29"/>
    <w:rsid w:val="00E95CEB"/>
    <w:rsid w:val="00E96054"/>
    <w:rsid w:val="00E960DB"/>
    <w:rsid w:val="00E96157"/>
    <w:rsid w:val="00E961BD"/>
    <w:rsid w:val="00E96202"/>
    <w:rsid w:val="00E9627C"/>
    <w:rsid w:val="00E962A4"/>
    <w:rsid w:val="00E96357"/>
    <w:rsid w:val="00E96768"/>
    <w:rsid w:val="00E96909"/>
    <w:rsid w:val="00E9691B"/>
    <w:rsid w:val="00E96CCA"/>
    <w:rsid w:val="00E96D00"/>
    <w:rsid w:val="00E96E58"/>
    <w:rsid w:val="00E96FDB"/>
    <w:rsid w:val="00E970BA"/>
    <w:rsid w:val="00E976AC"/>
    <w:rsid w:val="00E9794E"/>
    <w:rsid w:val="00E97C3D"/>
    <w:rsid w:val="00E97CF8"/>
    <w:rsid w:val="00E97E43"/>
    <w:rsid w:val="00E97F41"/>
    <w:rsid w:val="00E97F69"/>
    <w:rsid w:val="00EA0075"/>
    <w:rsid w:val="00EA00F9"/>
    <w:rsid w:val="00EA031F"/>
    <w:rsid w:val="00EA032A"/>
    <w:rsid w:val="00EA0482"/>
    <w:rsid w:val="00EA0491"/>
    <w:rsid w:val="00EA059C"/>
    <w:rsid w:val="00EA071E"/>
    <w:rsid w:val="00EA074A"/>
    <w:rsid w:val="00EA075F"/>
    <w:rsid w:val="00EA0801"/>
    <w:rsid w:val="00EA0889"/>
    <w:rsid w:val="00EA0AAE"/>
    <w:rsid w:val="00EA0CE7"/>
    <w:rsid w:val="00EA0D29"/>
    <w:rsid w:val="00EA0DBE"/>
    <w:rsid w:val="00EA0F02"/>
    <w:rsid w:val="00EA107B"/>
    <w:rsid w:val="00EA108B"/>
    <w:rsid w:val="00EA10B6"/>
    <w:rsid w:val="00EA1186"/>
    <w:rsid w:val="00EA1403"/>
    <w:rsid w:val="00EA1539"/>
    <w:rsid w:val="00EA155A"/>
    <w:rsid w:val="00EA16DC"/>
    <w:rsid w:val="00EA19F6"/>
    <w:rsid w:val="00EA1A2D"/>
    <w:rsid w:val="00EA1C7F"/>
    <w:rsid w:val="00EA1C83"/>
    <w:rsid w:val="00EA1E9D"/>
    <w:rsid w:val="00EA1FE7"/>
    <w:rsid w:val="00EA20AF"/>
    <w:rsid w:val="00EA2328"/>
    <w:rsid w:val="00EA23F6"/>
    <w:rsid w:val="00EA25FB"/>
    <w:rsid w:val="00EA2974"/>
    <w:rsid w:val="00EA2A96"/>
    <w:rsid w:val="00EA2E80"/>
    <w:rsid w:val="00EA3137"/>
    <w:rsid w:val="00EA31A8"/>
    <w:rsid w:val="00EA322C"/>
    <w:rsid w:val="00EA34D0"/>
    <w:rsid w:val="00EA3575"/>
    <w:rsid w:val="00EA3920"/>
    <w:rsid w:val="00EA3A37"/>
    <w:rsid w:val="00EA3B77"/>
    <w:rsid w:val="00EA3BB8"/>
    <w:rsid w:val="00EA3CF7"/>
    <w:rsid w:val="00EA3E97"/>
    <w:rsid w:val="00EA3ED8"/>
    <w:rsid w:val="00EA40A6"/>
    <w:rsid w:val="00EA421F"/>
    <w:rsid w:val="00EA4232"/>
    <w:rsid w:val="00EA43AA"/>
    <w:rsid w:val="00EA43EE"/>
    <w:rsid w:val="00EA44D4"/>
    <w:rsid w:val="00EA44E9"/>
    <w:rsid w:val="00EA4515"/>
    <w:rsid w:val="00EA4645"/>
    <w:rsid w:val="00EA478E"/>
    <w:rsid w:val="00EA47C2"/>
    <w:rsid w:val="00EA4922"/>
    <w:rsid w:val="00EA4A04"/>
    <w:rsid w:val="00EA4AF6"/>
    <w:rsid w:val="00EA4C5E"/>
    <w:rsid w:val="00EA4D40"/>
    <w:rsid w:val="00EA4DB0"/>
    <w:rsid w:val="00EA5207"/>
    <w:rsid w:val="00EA543D"/>
    <w:rsid w:val="00EA547F"/>
    <w:rsid w:val="00EA54CB"/>
    <w:rsid w:val="00EA55A7"/>
    <w:rsid w:val="00EA55F5"/>
    <w:rsid w:val="00EA59C6"/>
    <w:rsid w:val="00EA5E02"/>
    <w:rsid w:val="00EA5E1B"/>
    <w:rsid w:val="00EA5E9B"/>
    <w:rsid w:val="00EA5F4D"/>
    <w:rsid w:val="00EA5F7A"/>
    <w:rsid w:val="00EA6225"/>
    <w:rsid w:val="00EA625E"/>
    <w:rsid w:val="00EA62CC"/>
    <w:rsid w:val="00EA63C3"/>
    <w:rsid w:val="00EA63CC"/>
    <w:rsid w:val="00EA64A8"/>
    <w:rsid w:val="00EA6A62"/>
    <w:rsid w:val="00EA6AE2"/>
    <w:rsid w:val="00EA6BA8"/>
    <w:rsid w:val="00EA6D5A"/>
    <w:rsid w:val="00EA6D62"/>
    <w:rsid w:val="00EA6D99"/>
    <w:rsid w:val="00EA7202"/>
    <w:rsid w:val="00EA7467"/>
    <w:rsid w:val="00EA7575"/>
    <w:rsid w:val="00EA75E0"/>
    <w:rsid w:val="00EA76B7"/>
    <w:rsid w:val="00EA76EE"/>
    <w:rsid w:val="00EA7930"/>
    <w:rsid w:val="00EA79F7"/>
    <w:rsid w:val="00EA7A58"/>
    <w:rsid w:val="00EA7AEE"/>
    <w:rsid w:val="00EA7C45"/>
    <w:rsid w:val="00EA7E70"/>
    <w:rsid w:val="00EA7F09"/>
    <w:rsid w:val="00EB0123"/>
    <w:rsid w:val="00EB01B8"/>
    <w:rsid w:val="00EB022A"/>
    <w:rsid w:val="00EB02A5"/>
    <w:rsid w:val="00EB02AF"/>
    <w:rsid w:val="00EB02CB"/>
    <w:rsid w:val="00EB054E"/>
    <w:rsid w:val="00EB0869"/>
    <w:rsid w:val="00EB0A16"/>
    <w:rsid w:val="00EB0BE2"/>
    <w:rsid w:val="00EB0DA4"/>
    <w:rsid w:val="00EB0DB9"/>
    <w:rsid w:val="00EB0E30"/>
    <w:rsid w:val="00EB0E5A"/>
    <w:rsid w:val="00EB1029"/>
    <w:rsid w:val="00EB1098"/>
    <w:rsid w:val="00EB10AC"/>
    <w:rsid w:val="00EB1246"/>
    <w:rsid w:val="00EB134D"/>
    <w:rsid w:val="00EB13C7"/>
    <w:rsid w:val="00EB13D5"/>
    <w:rsid w:val="00EB142A"/>
    <w:rsid w:val="00EB14FD"/>
    <w:rsid w:val="00EB176A"/>
    <w:rsid w:val="00EB190A"/>
    <w:rsid w:val="00EB196D"/>
    <w:rsid w:val="00EB196F"/>
    <w:rsid w:val="00EB1B8F"/>
    <w:rsid w:val="00EB1BDD"/>
    <w:rsid w:val="00EB1F49"/>
    <w:rsid w:val="00EB2100"/>
    <w:rsid w:val="00EB210C"/>
    <w:rsid w:val="00EB2221"/>
    <w:rsid w:val="00EB22A7"/>
    <w:rsid w:val="00EB22A8"/>
    <w:rsid w:val="00EB28A3"/>
    <w:rsid w:val="00EB298B"/>
    <w:rsid w:val="00EB29EA"/>
    <w:rsid w:val="00EB2AEF"/>
    <w:rsid w:val="00EB2C0E"/>
    <w:rsid w:val="00EB2D21"/>
    <w:rsid w:val="00EB3295"/>
    <w:rsid w:val="00EB32F7"/>
    <w:rsid w:val="00EB356D"/>
    <w:rsid w:val="00EB38BE"/>
    <w:rsid w:val="00EB3CE5"/>
    <w:rsid w:val="00EB3D1B"/>
    <w:rsid w:val="00EB3D5C"/>
    <w:rsid w:val="00EB3F40"/>
    <w:rsid w:val="00EB4125"/>
    <w:rsid w:val="00EB443C"/>
    <w:rsid w:val="00EB44F7"/>
    <w:rsid w:val="00EB46AC"/>
    <w:rsid w:val="00EB47C0"/>
    <w:rsid w:val="00EB48EB"/>
    <w:rsid w:val="00EB4A21"/>
    <w:rsid w:val="00EB4A49"/>
    <w:rsid w:val="00EB4A93"/>
    <w:rsid w:val="00EB4C29"/>
    <w:rsid w:val="00EB4F58"/>
    <w:rsid w:val="00EB506B"/>
    <w:rsid w:val="00EB50A1"/>
    <w:rsid w:val="00EB50D0"/>
    <w:rsid w:val="00EB5788"/>
    <w:rsid w:val="00EB599C"/>
    <w:rsid w:val="00EB59E9"/>
    <w:rsid w:val="00EB5A97"/>
    <w:rsid w:val="00EB5AB9"/>
    <w:rsid w:val="00EB5C8A"/>
    <w:rsid w:val="00EB5E97"/>
    <w:rsid w:val="00EB5EAF"/>
    <w:rsid w:val="00EB5ED2"/>
    <w:rsid w:val="00EB5F9E"/>
    <w:rsid w:val="00EB641F"/>
    <w:rsid w:val="00EB6432"/>
    <w:rsid w:val="00EB650F"/>
    <w:rsid w:val="00EB6750"/>
    <w:rsid w:val="00EB6780"/>
    <w:rsid w:val="00EB67A9"/>
    <w:rsid w:val="00EB6889"/>
    <w:rsid w:val="00EB69A1"/>
    <w:rsid w:val="00EB69DD"/>
    <w:rsid w:val="00EB6AB9"/>
    <w:rsid w:val="00EB6D31"/>
    <w:rsid w:val="00EB6D82"/>
    <w:rsid w:val="00EB6F8A"/>
    <w:rsid w:val="00EB73D3"/>
    <w:rsid w:val="00EB7420"/>
    <w:rsid w:val="00EB742B"/>
    <w:rsid w:val="00EB745E"/>
    <w:rsid w:val="00EB784E"/>
    <w:rsid w:val="00EB787B"/>
    <w:rsid w:val="00EB78E5"/>
    <w:rsid w:val="00EB7986"/>
    <w:rsid w:val="00EB79DE"/>
    <w:rsid w:val="00EB7A93"/>
    <w:rsid w:val="00EB7D5C"/>
    <w:rsid w:val="00EB7E6C"/>
    <w:rsid w:val="00EB7EE7"/>
    <w:rsid w:val="00EB7F30"/>
    <w:rsid w:val="00EC00A1"/>
    <w:rsid w:val="00EC00C1"/>
    <w:rsid w:val="00EC025A"/>
    <w:rsid w:val="00EC06CC"/>
    <w:rsid w:val="00EC0DFD"/>
    <w:rsid w:val="00EC0F1E"/>
    <w:rsid w:val="00EC109E"/>
    <w:rsid w:val="00EC10A0"/>
    <w:rsid w:val="00EC1195"/>
    <w:rsid w:val="00EC121C"/>
    <w:rsid w:val="00EC1383"/>
    <w:rsid w:val="00EC13D0"/>
    <w:rsid w:val="00EC14FE"/>
    <w:rsid w:val="00EC1545"/>
    <w:rsid w:val="00EC1591"/>
    <w:rsid w:val="00EC16BE"/>
    <w:rsid w:val="00EC16C6"/>
    <w:rsid w:val="00EC16F1"/>
    <w:rsid w:val="00EC1C26"/>
    <w:rsid w:val="00EC1C8A"/>
    <w:rsid w:val="00EC1CFA"/>
    <w:rsid w:val="00EC1DFD"/>
    <w:rsid w:val="00EC202E"/>
    <w:rsid w:val="00EC2055"/>
    <w:rsid w:val="00EC20D8"/>
    <w:rsid w:val="00EC24C6"/>
    <w:rsid w:val="00EC26F8"/>
    <w:rsid w:val="00EC2729"/>
    <w:rsid w:val="00EC27A3"/>
    <w:rsid w:val="00EC2822"/>
    <w:rsid w:val="00EC282D"/>
    <w:rsid w:val="00EC2840"/>
    <w:rsid w:val="00EC2B0A"/>
    <w:rsid w:val="00EC2B0D"/>
    <w:rsid w:val="00EC2BD6"/>
    <w:rsid w:val="00EC2C4E"/>
    <w:rsid w:val="00EC32D8"/>
    <w:rsid w:val="00EC3566"/>
    <w:rsid w:val="00EC3573"/>
    <w:rsid w:val="00EC357E"/>
    <w:rsid w:val="00EC35DE"/>
    <w:rsid w:val="00EC3849"/>
    <w:rsid w:val="00EC3D87"/>
    <w:rsid w:val="00EC410A"/>
    <w:rsid w:val="00EC419F"/>
    <w:rsid w:val="00EC47F4"/>
    <w:rsid w:val="00EC4840"/>
    <w:rsid w:val="00EC49E6"/>
    <w:rsid w:val="00EC50A2"/>
    <w:rsid w:val="00EC50A3"/>
    <w:rsid w:val="00EC518D"/>
    <w:rsid w:val="00EC51D0"/>
    <w:rsid w:val="00EC52B8"/>
    <w:rsid w:val="00EC53F9"/>
    <w:rsid w:val="00EC545A"/>
    <w:rsid w:val="00EC54F8"/>
    <w:rsid w:val="00EC5791"/>
    <w:rsid w:val="00EC57C6"/>
    <w:rsid w:val="00EC57F9"/>
    <w:rsid w:val="00EC59AD"/>
    <w:rsid w:val="00EC5A1F"/>
    <w:rsid w:val="00EC5AAD"/>
    <w:rsid w:val="00EC5B4E"/>
    <w:rsid w:val="00EC5C24"/>
    <w:rsid w:val="00EC5D24"/>
    <w:rsid w:val="00EC5D88"/>
    <w:rsid w:val="00EC5FB8"/>
    <w:rsid w:val="00EC5FFF"/>
    <w:rsid w:val="00EC628D"/>
    <w:rsid w:val="00EC6554"/>
    <w:rsid w:val="00EC659D"/>
    <w:rsid w:val="00EC65AE"/>
    <w:rsid w:val="00EC65FE"/>
    <w:rsid w:val="00EC665A"/>
    <w:rsid w:val="00EC6763"/>
    <w:rsid w:val="00EC6B62"/>
    <w:rsid w:val="00EC6C28"/>
    <w:rsid w:val="00EC6D0E"/>
    <w:rsid w:val="00EC6DFD"/>
    <w:rsid w:val="00EC6E08"/>
    <w:rsid w:val="00EC6EF3"/>
    <w:rsid w:val="00EC6F52"/>
    <w:rsid w:val="00EC6FE9"/>
    <w:rsid w:val="00EC7048"/>
    <w:rsid w:val="00EC704F"/>
    <w:rsid w:val="00EC71CB"/>
    <w:rsid w:val="00EC71D1"/>
    <w:rsid w:val="00EC722E"/>
    <w:rsid w:val="00EC75CA"/>
    <w:rsid w:val="00EC769C"/>
    <w:rsid w:val="00EC76F3"/>
    <w:rsid w:val="00EC7797"/>
    <w:rsid w:val="00EC77AF"/>
    <w:rsid w:val="00EC78BC"/>
    <w:rsid w:val="00EC7D3A"/>
    <w:rsid w:val="00EC7D4C"/>
    <w:rsid w:val="00EC7D87"/>
    <w:rsid w:val="00EC7E17"/>
    <w:rsid w:val="00EC7F37"/>
    <w:rsid w:val="00ED0247"/>
    <w:rsid w:val="00ED0514"/>
    <w:rsid w:val="00ED05D6"/>
    <w:rsid w:val="00ED060E"/>
    <w:rsid w:val="00ED065B"/>
    <w:rsid w:val="00ED0AE3"/>
    <w:rsid w:val="00ED0C6F"/>
    <w:rsid w:val="00ED0D88"/>
    <w:rsid w:val="00ED0E4D"/>
    <w:rsid w:val="00ED102F"/>
    <w:rsid w:val="00ED10A5"/>
    <w:rsid w:val="00ED10AA"/>
    <w:rsid w:val="00ED1169"/>
    <w:rsid w:val="00ED13D1"/>
    <w:rsid w:val="00ED147F"/>
    <w:rsid w:val="00ED17CF"/>
    <w:rsid w:val="00ED19C1"/>
    <w:rsid w:val="00ED1AA8"/>
    <w:rsid w:val="00ED1C07"/>
    <w:rsid w:val="00ED2244"/>
    <w:rsid w:val="00ED22AB"/>
    <w:rsid w:val="00ED233E"/>
    <w:rsid w:val="00ED24E5"/>
    <w:rsid w:val="00ED280E"/>
    <w:rsid w:val="00ED2915"/>
    <w:rsid w:val="00ED29F2"/>
    <w:rsid w:val="00ED2AE1"/>
    <w:rsid w:val="00ED2C4C"/>
    <w:rsid w:val="00ED2CB3"/>
    <w:rsid w:val="00ED2D3B"/>
    <w:rsid w:val="00ED2F20"/>
    <w:rsid w:val="00ED2FCC"/>
    <w:rsid w:val="00ED2FEB"/>
    <w:rsid w:val="00ED2FF2"/>
    <w:rsid w:val="00ED3011"/>
    <w:rsid w:val="00ED3028"/>
    <w:rsid w:val="00ED304D"/>
    <w:rsid w:val="00ED306F"/>
    <w:rsid w:val="00ED34CA"/>
    <w:rsid w:val="00ED36F2"/>
    <w:rsid w:val="00ED3A81"/>
    <w:rsid w:val="00ED3C41"/>
    <w:rsid w:val="00ED3F32"/>
    <w:rsid w:val="00ED4084"/>
    <w:rsid w:val="00ED4402"/>
    <w:rsid w:val="00ED4452"/>
    <w:rsid w:val="00ED4662"/>
    <w:rsid w:val="00ED4663"/>
    <w:rsid w:val="00ED4965"/>
    <w:rsid w:val="00ED4967"/>
    <w:rsid w:val="00ED4AED"/>
    <w:rsid w:val="00ED4AEE"/>
    <w:rsid w:val="00ED4B51"/>
    <w:rsid w:val="00ED4C12"/>
    <w:rsid w:val="00ED4D5E"/>
    <w:rsid w:val="00ED4E12"/>
    <w:rsid w:val="00ED4FDF"/>
    <w:rsid w:val="00ED50D8"/>
    <w:rsid w:val="00ED5271"/>
    <w:rsid w:val="00ED53B0"/>
    <w:rsid w:val="00ED53CB"/>
    <w:rsid w:val="00ED5400"/>
    <w:rsid w:val="00ED5411"/>
    <w:rsid w:val="00ED54C3"/>
    <w:rsid w:val="00ED5646"/>
    <w:rsid w:val="00ED566C"/>
    <w:rsid w:val="00ED5850"/>
    <w:rsid w:val="00ED58F5"/>
    <w:rsid w:val="00ED60FB"/>
    <w:rsid w:val="00ED635F"/>
    <w:rsid w:val="00ED64D9"/>
    <w:rsid w:val="00ED676E"/>
    <w:rsid w:val="00ED67CE"/>
    <w:rsid w:val="00ED6998"/>
    <w:rsid w:val="00ED6B08"/>
    <w:rsid w:val="00ED6DEE"/>
    <w:rsid w:val="00ED6EDA"/>
    <w:rsid w:val="00ED6FC5"/>
    <w:rsid w:val="00ED712D"/>
    <w:rsid w:val="00ED717F"/>
    <w:rsid w:val="00ED71F0"/>
    <w:rsid w:val="00ED7559"/>
    <w:rsid w:val="00ED7637"/>
    <w:rsid w:val="00ED768A"/>
    <w:rsid w:val="00ED76AC"/>
    <w:rsid w:val="00ED78FE"/>
    <w:rsid w:val="00ED79AA"/>
    <w:rsid w:val="00ED7A84"/>
    <w:rsid w:val="00ED7F17"/>
    <w:rsid w:val="00EE0199"/>
    <w:rsid w:val="00EE0279"/>
    <w:rsid w:val="00EE0538"/>
    <w:rsid w:val="00EE05EC"/>
    <w:rsid w:val="00EE0625"/>
    <w:rsid w:val="00EE0A4C"/>
    <w:rsid w:val="00EE0B6E"/>
    <w:rsid w:val="00EE0F57"/>
    <w:rsid w:val="00EE0F97"/>
    <w:rsid w:val="00EE1046"/>
    <w:rsid w:val="00EE108A"/>
    <w:rsid w:val="00EE11AF"/>
    <w:rsid w:val="00EE12CA"/>
    <w:rsid w:val="00EE1399"/>
    <w:rsid w:val="00EE149F"/>
    <w:rsid w:val="00EE186E"/>
    <w:rsid w:val="00EE1B10"/>
    <w:rsid w:val="00EE1CFF"/>
    <w:rsid w:val="00EE1DF7"/>
    <w:rsid w:val="00EE1E47"/>
    <w:rsid w:val="00EE1F65"/>
    <w:rsid w:val="00EE1FF4"/>
    <w:rsid w:val="00EE20F4"/>
    <w:rsid w:val="00EE223B"/>
    <w:rsid w:val="00EE2371"/>
    <w:rsid w:val="00EE23D7"/>
    <w:rsid w:val="00EE28A4"/>
    <w:rsid w:val="00EE28CE"/>
    <w:rsid w:val="00EE28F4"/>
    <w:rsid w:val="00EE2A81"/>
    <w:rsid w:val="00EE2B3B"/>
    <w:rsid w:val="00EE2C14"/>
    <w:rsid w:val="00EE2D19"/>
    <w:rsid w:val="00EE2DBF"/>
    <w:rsid w:val="00EE3307"/>
    <w:rsid w:val="00EE34FD"/>
    <w:rsid w:val="00EE35AF"/>
    <w:rsid w:val="00EE3728"/>
    <w:rsid w:val="00EE3863"/>
    <w:rsid w:val="00EE38B6"/>
    <w:rsid w:val="00EE39C4"/>
    <w:rsid w:val="00EE3D2D"/>
    <w:rsid w:val="00EE3E7B"/>
    <w:rsid w:val="00EE3E83"/>
    <w:rsid w:val="00EE3F9E"/>
    <w:rsid w:val="00EE40E3"/>
    <w:rsid w:val="00EE4261"/>
    <w:rsid w:val="00EE43C9"/>
    <w:rsid w:val="00EE4493"/>
    <w:rsid w:val="00EE44A5"/>
    <w:rsid w:val="00EE45C5"/>
    <w:rsid w:val="00EE48EB"/>
    <w:rsid w:val="00EE4ADF"/>
    <w:rsid w:val="00EE4B3E"/>
    <w:rsid w:val="00EE4B94"/>
    <w:rsid w:val="00EE4CFB"/>
    <w:rsid w:val="00EE4E07"/>
    <w:rsid w:val="00EE4FBF"/>
    <w:rsid w:val="00EE4FD9"/>
    <w:rsid w:val="00EE508D"/>
    <w:rsid w:val="00EE596B"/>
    <w:rsid w:val="00EE5A6B"/>
    <w:rsid w:val="00EE5AF9"/>
    <w:rsid w:val="00EE5B3C"/>
    <w:rsid w:val="00EE5F75"/>
    <w:rsid w:val="00EE6310"/>
    <w:rsid w:val="00EE63BE"/>
    <w:rsid w:val="00EE6638"/>
    <w:rsid w:val="00EE68EE"/>
    <w:rsid w:val="00EE6972"/>
    <w:rsid w:val="00EE6A2B"/>
    <w:rsid w:val="00EE6A46"/>
    <w:rsid w:val="00EE6B04"/>
    <w:rsid w:val="00EE6B89"/>
    <w:rsid w:val="00EE6BA7"/>
    <w:rsid w:val="00EE6DBE"/>
    <w:rsid w:val="00EE7042"/>
    <w:rsid w:val="00EE712F"/>
    <w:rsid w:val="00EE71E2"/>
    <w:rsid w:val="00EE7220"/>
    <w:rsid w:val="00EE73B5"/>
    <w:rsid w:val="00EE761E"/>
    <w:rsid w:val="00EE7766"/>
    <w:rsid w:val="00EE7890"/>
    <w:rsid w:val="00EE7910"/>
    <w:rsid w:val="00EE7915"/>
    <w:rsid w:val="00EE79AF"/>
    <w:rsid w:val="00EE7CFD"/>
    <w:rsid w:val="00EE7E5A"/>
    <w:rsid w:val="00EF0024"/>
    <w:rsid w:val="00EF01A1"/>
    <w:rsid w:val="00EF03CE"/>
    <w:rsid w:val="00EF0799"/>
    <w:rsid w:val="00EF0812"/>
    <w:rsid w:val="00EF093E"/>
    <w:rsid w:val="00EF09CD"/>
    <w:rsid w:val="00EF0B14"/>
    <w:rsid w:val="00EF0B7C"/>
    <w:rsid w:val="00EF0FC5"/>
    <w:rsid w:val="00EF10CC"/>
    <w:rsid w:val="00EF1148"/>
    <w:rsid w:val="00EF11FF"/>
    <w:rsid w:val="00EF12C5"/>
    <w:rsid w:val="00EF1514"/>
    <w:rsid w:val="00EF15F5"/>
    <w:rsid w:val="00EF1747"/>
    <w:rsid w:val="00EF1807"/>
    <w:rsid w:val="00EF1862"/>
    <w:rsid w:val="00EF1903"/>
    <w:rsid w:val="00EF1913"/>
    <w:rsid w:val="00EF1C75"/>
    <w:rsid w:val="00EF1CF5"/>
    <w:rsid w:val="00EF1DE7"/>
    <w:rsid w:val="00EF1EB2"/>
    <w:rsid w:val="00EF2006"/>
    <w:rsid w:val="00EF21A9"/>
    <w:rsid w:val="00EF21AF"/>
    <w:rsid w:val="00EF21B2"/>
    <w:rsid w:val="00EF221B"/>
    <w:rsid w:val="00EF24CF"/>
    <w:rsid w:val="00EF24F7"/>
    <w:rsid w:val="00EF2596"/>
    <w:rsid w:val="00EF2671"/>
    <w:rsid w:val="00EF2722"/>
    <w:rsid w:val="00EF27A3"/>
    <w:rsid w:val="00EF2910"/>
    <w:rsid w:val="00EF2A19"/>
    <w:rsid w:val="00EF2A35"/>
    <w:rsid w:val="00EF2B93"/>
    <w:rsid w:val="00EF2C44"/>
    <w:rsid w:val="00EF2DB3"/>
    <w:rsid w:val="00EF300F"/>
    <w:rsid w:val="00EF3250"/>
    <w:rsid w:val="00EF3258"/>
    <w:rsid w:val="00EF32CE"/>
    <w:rsid w:val="00EF3433"/>
    <w:rsid w:val="00EF3440"/>
    <w:rsid w:val="00EF363D"/>
    <w:rsid w:val="00EF3850"/>
    <w:rsid w:val="00EF3B38"/>
    <w:rsid w:val="00EF3B63"/>
    <w:rsid w:val="00EF3C83"/>
    <w:rsid w:val="00EF3E73"/>
    <w:rsid w:val="00EF404D"/>
    <w:rsid w:val="00EF40A5"/>
    <w:rsid w:val="00EF40BE"/>
    <w:rsid w:val="00EF416B"/>
    <w:rsid w:val="00EF41D3"/>
    <w:rsid w:val="00EF43CF"/>
    <w:rsid w:val="00EF4447"/>
    <w:rsid w:val="00EF4469"/>
    <w:rsid w:val="00EF4A36"/>
    <w:rsid w:val="00EF4AE4"/>
    <w:rsid w:val="00EF4E56"/>
    <w:rsid w:val="00EF4F12"/>
    <w:rsid w:val="00EF4F8C"/>
    <w:rsid w:val="00EF5107"/>
    <w:rsid w:val="00EF51E7"/>
    <w:rsid w:val="00EF520D"/>
    <w:rsid w:val="00EF541D"/>
    <w:rsid w:val="00EF54BB"/>
    <w:rsid w:val="00EF5512"/>
    <w:rsid w:val="00EF5A29"/>
    <w:rsid w:val="00EF5B55"/>
    <w:rsid w:val="00EF5CE2"/>
    <w:rsid w:val="00EF5CE4"/>
    <w:rsid w:val="00EF5DFC"/>
    <w:rsid w:val="00EF5E9A"/>
    <w:rsid w:val="00EF5EEA"/>
    <w:rsid w:val="00EF5FF8"/>
    <w:rsid w:val="00EF60A2"/>
    <w:rsid w:val="00EF623C"/>
    <w:rsid w:val="00EF6282"/>
    <w:rsid w:val="00EF6294"/>
    <w:rsid w:val="00EF6601"/>
    <w:rsid w:val="00EF6710"/>
    <w:rsid w:val="00EF6805"/>
    <w:rsid w:val="00EF68E2"/>
    <w:rsid w:val="00EF6963"/>
    <w:rsid w:val="00EF696D"/>
    <w:rsid w:val="00EF6D24"/>
    <w:rsid w:val="00EF6D9B"/>
    <w:rsid w:val="00EF6EAE"/>
    <w:rsid w:val="00EF6F12"/>
    <w:rsid w:val="00EF6F73"/>
    <w:rsid w:val="00EF7070"/>
    <w:rsid w:val="00EF711F"/>
    <w:rsid w:val="00EF730B"/>
    <w:rsid w:val="00EF7393"/>
    <w:rsid w:val="00EF7660"/>
    <w:rsid w:val="00EF766C"/>
    <w:rsid w:val="00EF768F"/>
    <w:rsid w:val="00EF7708"/>
    <w:rsid w:val="00EF780A"/>
    <w:rsid w:val="00EF7856"/>
    <w:rsid w:val="00EF78A0"/>
    <w:rsid w:val="00EF797B"/>
    <w:rsid w:val="00EF79E2"/>
    <w:rsid w:val="00EF7BF1"/>
    <w:rsid w:val="00EF7CF2"/>
    <w:rsid w:val="00EF7D5F"/>
    <w:rsid w:val="00EF7D85"/>
    <w:rsid w:val="00EF7F31"/>
    <w:rsid w:val="00F00283"/>
    <w:rsid w:val="00F00325"/>
    <w:rsid w:val="00F00508"/>
    <w:rsid w:val="00F0060F"/>
    <w:rsid w:val="00F00734"/>
    <w:rsid w:val="00F00819"/>
    <w:rsid w:val="00F008D1"/>
    <w:rsid w:val="00F00ACC"/>
    <w:rsid w:val="00F00B2E"/>
    <w:rsid w:val="00F00D7A"/>
    <w:rsid w:val="00F00FC4"/>
    <w:rsid w:val="00F01490"/>
    <w:rsid w:val="00F015CF"/>
    <w:rsid w:val="00F01696"/>
    <w:rsid w:val="00F01820"/>
    <w:rsid w:val="00F01890"/>
    <w:rsid w:val="00F0193F"/>
    <w:rsid w:val="00F01988"/>
    <w:rsid w:val="00F01A41"/>
    <w:rsid w:val="00F01B01"/>
    <w:rsid w:val="00F01B6A"/>
    <w:rsid w:val="00F01C5B"/>
    <w:rsid w:val="00F01C9B"/>
    <w:rsid w:val="00F01DDB"/>
    <w:rsid w:val="00F01E52"/>
    <w:rsid w:val="00F022A8"/>
    <w:rsid w:val="00F02473"/>
    <w:rsid w:val="00F0256E"/>
    <w:rsid w:val="00F025C1"/>
    <w:rsid w:val="00F026A0"/>
    <w:rsid w:val="00F02737"/>
    <w:rsid w:val="00F02B75"/>
    <w:rsid w:val="00F02BB4"/>
    <w:rsid w:val="00F02CC9"/>
    <w:rsid w:val="00F02DCB"/>
    <w:rsid w:val="00F02EAF"/>
    <w:rsid w:val="00F02F13"/>
    <w:rsid w:val="00F02FB1"/>
    <w:rsid w:val="00F03112"/>
    <w:rsid w:val="00F0319D"/>
    <w:rsid w:val="00F03414"/>
    <w:rsid w:val="00F0351D"/>
    <w:rsid w:val="00F0368A"/>
    <w:rsid w:val="00F03825"/>
    <w:rsid w:val="00F0389E"/>
    <w:rsid w:val="00F03BCD"/>
    <w:rsid w:val="00F03C2B"/>
    <w:rsid w:val="00F03E18"/>
    <w:rsid w:val="00F04286"/>
    <w:rsid w:val="00F042DC"/>
    <w:rsid w:val="00F04309"/>
    <w:rsid w:val="00F04397"/>
    <w:rsid w:val="00F0448B"/>
    <w:rsid w:val="00F0450D"/>
    <w:rsid w:val="00F0463B"/>
    <w:rsid w:val="00F046BD"/>
    <w:rsid w:val="00F04A1A"/>
    <w:rsid w:val="00F04D63"/>
    <w:rsid w:val="00F04E16"/>
    <w:rsid w:val="00F04E40"/>
    <w:rsid w:val="00F04E72"/>
    <w:rsid w:val="00F0526B"/>
    <w:rsid w:val="00F0576E"/>
    <w:rsid w:val="00F057C2"/>
    <w:rsid w:val="00F0584D"/>
    <w:rsid w:val="00F05999"/>
    <w:rsid w:val="00F059AB"/>
    <w:rsid w:val="00F05A83"/>
    <w:rsid w:val="00F05ADF"/>
    <w:rsid w:val="00F05B05"/>
    <w:rsid w:val="00F05C78"/>
    <w:rsid w:val="00F05D6E"/>
    <w:rsid w:val="00F0620F"/>
    <w:rsid w:val="00F06322"/>
    <w:rsid w:val="00F0661F"/>
    <w:rsid w:val="00F06641"/>
    <w:rsid w:val="00F06661"/>
    <w:rsid w:val="00F06678"/>
    <w:rsid w:val="00F06894"/>
    <w:rsid w:val="00F068AA"/>
    <w:rsid w:val="00F06906"/>
    <w:rsid w:val="00F06C35"/>
    <w:rsid w:val="00F06D24"/>
    <w:rsid w:val="00F06DDD"/>
    <w:rsid w:val="00F06E23"/>
    <w:rsid w:val="00F06EE9"/>
    <w:rsid w:val="00F06F55"/>
    <w:rsid w:val="00F07099"/>
    <w:rsid w:val="00F074FA"/>
    <w:rsid w:val="00F0757E"/>
    <w:rsid w:val="00F077B5"/>
    <w:rsid w:val="00F077D6"/>
    <w:rsid w:val="00F07A90"/>
    <w:rsid w:val="00F07B33"/>
    <w:rsid w:val="00F07B75"/>
    <w:rsid w:val="00F07E06"/>
    <w:rsid w:val="00F101FC"/>
    <w:rsid w:val="00F102A7"/>
    <w:rsid w:val="00F105EA"/>
    <w:rsid w:val="00F10666"/>
    <w:rsid w:val="00F107E1"/>
    <w:rsid w:val="00F10848"/>
    <w:rsid w:val="00F10960"/>
    <w:rsid w:val="00F109D5"/>
    <w:rsid w:val="00F10B8A"/>
    <w:rsid w:val="00F10DC3"/>
    <w:rsid w:val="00F10F10"/>
    <w:rsid w:val="00F1106A"/>
    <w:rsid w:val="00F1109A"/>
    <w:rsid w:val="00F11117"/>
    <w:rsid w:val="00F111B8"/>
    <w:rsid w:val="00F112B0"/>
    <w:rsid w:val="00F112FA"/>
    <w:rsid w:val="00F11304"/>
    <w:rsid w:val="00F1141E"/>
    <w:rsid w:val="00F114CE"/>
    <w:rsid w:val="00F116B9"/>
    <w:rsid w:val="00F11768"/>
    <w:rsid w:val="00F11B87"/>
    <w:rsid w:val="00F11D55"/>
    <w:rsid w:val="00F11DC7"/>
    <w:rsid w:val="00F11E94"/>
    <w:rsid w:val="00F11FA7"/>
    <w:rsid w:val="00F120D9"/>
    <w:rsid w:val="00F121DF"/>
    <w:rsid w:val="00F12541"/>
    <w:rsid w:val="00F125A7"/>
    <w:rsid w:val="00F12764"/>
    <w:rsid w:val="00F12888"/>
    <w:rsid w:val="00F128DB"/>
    <w:rsid w:val="00F12ABC"/>
    <w:rsid w:val="00F12E11"/>
    <w:rsid w:val="00F12E64"/>
    <w:rsid w:val="00F12FBF"/>
    <w:rsid w:val="00F13094"/>
    <w:rsid w:val="00F1340B"/>
    <w:rsid w:val="00F13461"/>
    <w:rsid w:val="00F13580"/>
    <w:rsid w:val="00F13586"/>
    <w:rsid w:val="00F13633"/>
    <w:rsid w:val="00F136E6"/>
    <w:rsid w:val="00F13962"/>
    <w:rsid w:val="00F13E45"/>
    <w:rsid w:val="00F14059"/>
    <w:rsid w:val="00F1406C"/>
    <w:rsid w:val="00F141B1"/>
    <w:rsid w:val="00F1421A"/>
    <w:rsid w:val="00F14304"/>
    <w:rsid w:val="00F143EA"/>
    <w:rsid w:val="00F143EE"/>
    <w:rsid w:val="00F14435"/>
    <w:rsid w:val="00F14443"/>
    <w:rsid w:val="00F144D6"/>
    <w:rsid w:val="00F1477E"/>
    <w:rsid w:val="00F148FB"/>
    <w:rsid w:val="00F14995"/>
    <w:rsid w:val="00F14B20"/>
    <w:rsid w:val="00F14C45"/>
    <w:rsid w:val="00F14F5A"/>
    <w:rsid w:val="00F15016"/>
    <w:rsid w:val="00F15033"/>
    <w:rsid w:val="00F1510D"/>
    <w:rsid w:val="00F15177"/>
    <w:rsid w:val="00F15233"/>
    <w:rsid w:val="00F15618"/>
    <w:rsid w:val="00F1594B"/>
    <w:rsid w:val="00F15A6E"/>
    <w:rsid w:val="00F15AB2"/>
    <w:rsid w:val="00F15DFB"/>
    <w:rsid w:val="00F15E05"/>
    <w:rsid w:val="00F15E91"/>
    <w:rsid w:val="00F16087"/>
    <w:rsid w:val="00F16123"/>
    <w:rsid w:val="00F164D2"/>
    <w:rsid w:val="00F165C5"/>
    <w:rsid w:val="00F16919"/>
    <w:rsid w:val="00F1698D"/>
    <w:rsid w:val="00F16B1C"/>
    <w:rsid w:val="00F16B91"/>
    <w:rsid w:val="00F16E17"/>
    <w:rsid w:val="00F16E2F"/>
    <w:rsid w:val="00F16E72"/>
    <w:rsid w:val="00F16F84"/>
    <w:rsid w:val="00F16F98"/>
    <w:rsid w:val="00F17122"/>
    <w:rsid w:val="00F1735C"/>
    <w:rsid w:val="00F17473"/>
    <w:rsid w:val="00F17499"/>
    <w:rsid w:val="00F175BB"/>
    <w:rsid w:val="00F178FF"/>
    <w:rsid w:val="00F1792A"/>
    <w:rsid w:val="00F17B77"/>
    <w:rsid w:val="00F17C77"/>
    <w:rsid w:val="00F17C97"/>
    <w:rsid w:val="00F17E68"/>
    <w:rsid w:val="00F17F14"/>
    <w:rsid w:val="00F17F93"/>
    <w:rsid w:val="00F20062"/>
    <w:rsid w:val="00F2016A"/>
    <w:rsid w:val="00F20210"/>
    <w:rsid w:val="00F20493"/>
    <w:rsid w:val="00F204C7"/>
    <w:rsid w:val="00F205E0"/>
    <w:rsid w:val="00F2064C"/>
    <w:rsid w:val="00F20B53"/>
    <w:rsid w:val="00F20B5F"/>
    <w:rsid w:val="00F20D8E"/>
    <w:rsid w:val="00F20E99"/>
    <w:rsid w:val="00F21056"/>
    <w:rsid w:val="00F213B9"/>
    <w:rsid w:val="00F213CC"/>
    <w:rsid w:val="00F21463"/>
    <w:rsid w:val="00F21721"/>
    <w:rsid w:val="00F21751"/>
    <w:rsid w:val="00F218CD"/>
    <w:rsid w:val="00F21961"/>
    <w:rsid w:val="00F219CD"/>
    <w:rsid w:val="00F219D3"/>
    <w:rsid w:val="00F21A42"/>
    <w:rsid w:val="00F21BA6"/>
    <w:rsid w:val="00F21C71"/>
    <w:rsid w:val="00F21D12"/>
    <w:rsid w:val="00F21DEE"/>
    <w:rsid w:val="00F21E22"/>
    <w:rsid w:val="00F21FB3"/>
    <w:rsid w:val="00F22035"/>
    <w:rsid w:val="00F220C5"/>
    <w:rsid w:val="00F223EA"/>
    <w:rsid w:val="00F224E8"/>
    <w:rsid w:val="00F225AC"/>
    <w:rsid w:val="00F228B5"/>
    <w:rsid w:val="00F2291C"/>
    <w:rsid w:val="00F229C2"/>
    <w:rsid w:val="00F22A18"/>
    <w:rsid w:val="00F22AFC"/>
    <w:rsid w:val="00F22B59"/>
    <w:rsid w:val="00F22B8C"/>
    <w:rsid w:val="00F22C19"/>
    <w:rsid w:val="00F22D18"/>
    <w:rsid w:val="00F22FD6"/>
    <w:rsid w:val="00F2300F"/>
    <w:rsid w:val="00F23028"/>
    <w:rsid w:val="00F230AC"/>
    <w:rsid w:val="00F23243"/>
    <w:rsid w:val="00F23350"/>
    <w:rsid w:val="00F23434"/>
    <w:rsid w:val="00F235FB"/>
    <w:rsid w:val="00F23664"/>
    <w:rsid w:val="00F2367A"/>
    <w:rsid w:val="00F23690"/>
    <w:rsid w:val="00F23880"/>
    <w:rsid w:val="00F23910"/>
    <w:rsid w:val="00F2399E"/>
    <w:rsid w:val="00F23CE3"/>
    <w:rsid w:val="00F23E4E"/>
    <w:rsid w:val="00F23F3C"/>
    <w:rsid w:val="00F240A1"/>
    <w:rsid w:val="00F2410A"/>
    <w:rsid w:val="00F24450"/>
    <w:rsid w:val="00F24B44"/>
    <w:rsid w:val="00F24CC2"/>
    <w:rsid w:val="00F2504B"/>
    <w:rsid w:val="00F2521E"/>
    <w:rsid w:val="00F253D3"/>
    <w:rsid w:val="00F2540F"/>
    <w:rsid w:val="00F256E3"/>
    <w:rsid w:val="00F25757"/>
    <w:rsid w:val="00F257E6"/>
    <w:rsid w:val="00F258E1"/>
    <w:rsid w:val="00F25AEA"/>
    <w:rsid w:val="00F25B33"/>
    <w:rsid w:val="00F25B50"/>
    <w:rsid w:val="00F25D28"/>
    <w:rsid w:val="00F25ED2"/>
    <w:rsid w:val="00F26073"/>
    <w:rsid w:val="00F26137"/>
    <w:rsid w:val="00F2617D"/>
    <w:rsid w:val="00F261A0"/>
    <w:rsid w:val="00F26235"/>
    <w:rsid w:val="00F26270"/>
    <w:rsid w:val="00F26361"/>
    <w:rsid w:val="00F26385"/>
    <w:rsid w:val="00F263E9"/>
    <w:rsid w:val="00F2678A"/>
    <w:rsid w:val="00F267AE"/>
    <w:rsid w:val="00F268A7"/>
    <w:rsid w:val="00F26940"/>
    <w:rsid w:val="00F26965"/>
    <w:rsid w:val="00F26AA8"/>
    <w:rsid w:val="00F26AF2"/>
    <w:rsid w:val="00F26B07"/>
    <w:rsid w:val="00F26B6B"/>
    <w:rsid w:val="00F26DAE"/>
    <w:rsid w:val="00F27182"/>
    <w:rsid w:val="00F27198"/>
    <w:rsid w:val="00F2727D"/>
    <w:rsid w:val="00F27744"/>
    <w:rsid w:val="00F27CF0"/>
    <w:rsid w:val="00F27D48"/>
    <w:rsid w:val="00F30221"/>
    <w:rsid w:val="00F3026A"/>
    <w:rsid w:val="00F3039A"/>
    <w:rsid w:val="00F30579"/>
    <w:rsid w:val="00F30749"/>
    <w:rsid w:val="00F307B3"/>
    <w:rsid w:val="00F307EE"/>
    <w:rsid w:val="00F30A58"/>
    <w:rsid w:val="00F30A91"/>
    <w:rsid w:val="00F30BB4"/>
    <w:rsid w:val="00F30EA8"/>
    <w:rsid w:val="00F30F8A"/>
    <w:rsid w:val="00F312B5"/>
    <w:rsid w:val="00F312F2"/>
    <w:rsid w:val="00F313C9"/>
    <w:rsid w:val="00F3174C"/>
    <w:rsid w:val="00F317E5"/>
    <w:rsid w:val="00F31837"/>
    <w:rsid w:val="00F318E5"/>
    <w:rsid w:val="00F31A8A"/>
    <w:rsid w:val="00F31B57"/>
    <w:rsid w:val="00F31CD0"/>
    <w:rsid w:val="00F31D15"/>
    <w:rsid w:val="00F31DD9"/>
    <w:rsid w:val="00F31E7F"/>
    <w:rsid w:val="00F31E8F"/>
    <w:rsid w:val="00F31EC4"/>
    <w:rsid w:val="00F3218C"/>
    <w:rsid w:val="00F326E8"/>
    <w:rsid w:val="00F327CC"/>
    <w:rsid w:val="00F3292C"/>
    <w:rsid w:val="00F32A89"/>
    <w:rsid w:val="00F32B7F"/>
    <w:rsid w:val="00F32BE7"/>
    <w:rsid w:val="00F32CEE"/>
    <w:rsid w:val="00F32E78"/>
    <w:rsid w:val="00F32EDE"/>
    <w:rsid w:val="00F32F13"/>
    <w:rsid w:val="00F3307B"/>
    <w:rsid w:val="00F33351"/>
    <w:rsid w:val="00F33715"/>
    <w:rsid w:val="00F33789"/>
    <w:rsid w:val="00F33A4A"/>
    <w:rsid w:val="00F33CC6"/>
    <w:rsid w:val="00F33D53"/>
    <w:rsid w:val="00F33F9F"/>
    <w:rsid w:val="00F34042"/>
    <w:rsid w:val="00F349B5"/>
    <w:rsid w:val="00F349C9"/>
    <w:rsid w:val="00F34C1C"/>
    <w:rsid w:val="00F34D29"/>
    <w:rsid w:val="00F34FC3"/>
    <w:rsid w:val="00F351E0"/>
    <w:rsid w:val="00F35281"/>
    <w:rsid w:val="00F35613"/>
    <w:rsid w:val="00F35643"/>
    <w:rsid w:val="00F35775"/>
    <w:rsid w:val="00F357BC"/>
    <w:rsid w:val="00F357CD"/>
    <w:rsid w:val="00F357F4"/>
    <w:rsid w:val="00F358FD"/>
    <w:rsid w:val="00F35974"/>
    <w:rsid w:val="00F35C42"/>
    <w:rsid w:val="00F35C47"/>
    <w:rsid w:val="00F35D85"/>
    <w:rsid w:val="00F35E2D"/>
    <w:rsid w:val="00F361D0"/>
    <w:rsid w:val="00F364FA"/>
    <w:rsid w:val="00F36516"/>
    <w:rsid w:val="00F36757"/>
    <w:rsid w:val="00F368E6"/>
    <w:rsid w:val="00F369C2"/>
    <w:rsid w:val="00F36ACF"/>
    <w:rsid w:val="00F36BDA"/>
    <w:rsid w:val="00F36BE2"/>
    <w:rsid w:val="00F36C87"/>
    <w:rsid w:val="00F36CD3"/>
    <w:rsid w:val="00F36CFF"/>
    <w:rsid w:val="00F36D70"/>
    <w:rsid w:val="00F36DB7"/>
    <w:rsid w:val="00F36E5C"/>
    <w:rsid w:val="00F37207"/>
    <w:rsid w:val="00F3724B"/>
    <w:rsid w:val="00F373BF"/>
    <w:rsid w:val="00F37465"/>
    <w:rsid w:val="00F376E4"/>
    <w:rsid w:val="00F376F4"/>
    <w:rsid w:val="00F377A0"/>
    <w:rsid w:val="00F377A2"/>
    <w:rsid w:val="00F37AAC"/>
    <w:rsid w:val="00F37C04"/>
    <w:rsid w:val="00F37CD8"/>
    <w:rsid w:val="00F37D6F"/>
    <w:rsid w:val="00F37E31"/>
    <w:rsid w:val="00F40059"/>
    <w:rsid w:val="00F400CA"/>
    <w:rsid w:val="00F40460"/>
    <w:rsid w:val="00F40485"/>
    <w:rsid w:val="00F4069E"/>
    <w:rsid w:val="00F406F1"/>
    <w:rsid w:val="00F40910"/>
    <w:rsid w:val="00F40931"/>
    <w:rsid w:val="00F40C1B"/>
    <w:rsid w:val="00F40E1A"/>
    <w:rsid w:val="00F40F37"/>
    <w:rsid w:val="00F41151"/>
    <w:rsid w:val="00F41271"/>
    <w:rsid w:val="00F41541"/>
    <w:rsid w:val="00F4156B"/>
    <w:rsid w:val="00F415BB"/>
    <w:rsid w:val="00F4165C"/>
    <w:rsid w:val="00F41869"/>
    <w:rsid w:val="00F41A52"/>
    <w:rsid w:val="00F41E2A"/>
    <w:rsid w:val="00F41F75"/>
    <w:rsid w:val="00F42041"/>
    <w:rsid w:val="00F420C8"/>
    <w:rsid w:val="00F4211E"/>
    <w:rsid w:val="00F422CD"/>
    <w:rsid w:val="00F42392"/>
    <w:rsid w:val="00F424FE"/>
    <w:rsid w:val="00F4256F"/>
    <w:rsid w:val="00F42617"/>
    <w:rsid w:val="00F427EA"/>
    <w:rsid w:val="00F427F0"/>
    <w:rsid w:val="00F42BF4"/>
    <w:rsid w:val="00F42C4B"/>
    <w:rsid w:val="00F4325B"/>
    <w:rsid w:val="00F4325C"/>
    <w:rsid w:val="00F4348E"/>
    <w:rsid w:val="00F4367D"/>
    <w:rsid w:val="00F43772"/>
    <w:rsid w:val="00F437BE"/>
    <w:rsid w:val="00F439C9"/>
    <w:rsid w:val="00F43AC4"/>
    <w:rsid w:val="00F43DE0"/>
    <w:rsid w:val="00F43E2C"/>
    <w:rsid w:val="00F43E6A"/>
    <w:rsid w:val="00F4403C"/>
    <w:rsid w:val="00F44094"/>
    <w:rsid w:val="00F441A5"/>
    <w:rsid w:val="00F44339"/>
    <w:rsid w:val="00F4433B"/>
    <w:rsid w:val="00F4450E"/>
    <w:rsid w:val="00F44689"/>
    <w:rsid w:val="00F4492C"/>
    <w:rsid w:val="00F44A07"/>
    <w:rsid w:val="00F44BDC"/>
    <w:rsid w:val="00F44C48"/>
    <w:rsid w:val="00F44CB4"/>
    <w:rsid w:val="00F44DFE"/>
    <w:rsid w:val="00F44EC9"/>
    <w:rsid w:val="00F44FEC"/>
    <w:rsid w:val="00F45218"/>
    <w:rsid w:val="00F45240"/>
    <w:rsid w:val="00F452BB"/>
    <w:rsid w:val="00F452C1"/>
    <w:rsid w:val="00F4532A"/>
    <w:rsid w:val="00F45425"/>
    <w:rsid w:val="00F45465"/>
    <w:rsid w:val="00F4597B"/>
    <w:rsid w:val="00F45A7F"/>
    <w:rsid w:val="00F45B5A"/>
    <w:rsid w:val="00F45CA8"/>
    <w:rsid w:val="00F45D9A"/>
    <w:rsid w:val="00F462BF"/>
    <w:rsid w:val="00F464BC"/>
    <w:rsid w:val="00F46750"/>
    <w:rsid w:val="00F468D3"/>
    <w:rsid w:val="00F46927"/>
    <w:rsid w:val="00F47062"/>
    <w:rsid w:val="00F4720F"/>
    <w:rsid w:val="00F4745B"/>
    <w:rsid w:val="00F4771A"/>
    <w:rsid w:val="00F47A67"/>
    <w:rsid w:val="00F47A6B"/>
    <w:rsid w:val="00F47ABE"/>
    <w:rsid w:val="00F47B6A"/>
    <w:rsid w:val="00F47D89"/>
    <w:rsid w:val="00F47F9E"/>
    <w:rsid w:val="00F50085"/>
    <w:rsid w:val="00F5019F"/>
    <w:rsid w:val="00F504F3"/>
    <w:rsid w:val="00F50621"/>
    <w:rsid w:val="00F50999"/>
    <w:rsid w:val="00F51129"/>
    <w:rsid w:val="00F51292"/>
    <w:rsid w:val="00F51302"/>
    <w:rsid w:val="00F51396"/>
    <w:rsid w:val="00F5150F"/>
    <w:rsid w:val="00F51614"/>
    <w:rsid w:val="00F516DA"/>
    <w:rsid w:val="00F518DA"/>
    <w:rsid w:val="00F51965"/>
    <w:rsid w:val="00F51AA5"/>
    <w:rsid w:val="00F51C6A"/>
    <w:rsid w:val="00F51C6F"/>
    <w:rsid w:val="00F51C8A"/>
    <w:rsid w:val="00F51C95"/>
    <w:rsid w:val="00F51D11"/>
    <w:rsid w:val="00F51D13"/>
    <w:rsid w:val="00F51F24"/>
    <w:rsid w:val="00F520FF"/>
    <w:rsid w:val="00F52246"/>
    <w:rsid w:val="00F52255"/>
    <w:rsid w:val="00F522F0"/>
    <w:rsid w:val="00F52406"/>
    <w:rsid w:val="00F52493"/>
    <w:rsid w:val="00F524F0"/>
    <w:rsid w:val="00F5254F"/>
    <w:rsid w:val="00F525D2"/>
    <w:rsid w:val="00F5266D"/>
    <w:rsid w:val="00F5282B"/>
    <w:rsid w:val="00F5285C"/>
    <w:rsid w:val="00F5290D"/>
    <w:rsid w:val="00F52B54"/>
    <w:rsid w:val="00F52F08"/>
    <w:rsid w:val="00F530B9"/>
    <w:rsid w:val="00F5316A"/>
    <w:rsid w:val="00F53237"/>
    <w:rsid w:val="00F5352E"/>
    <w:rsid w:val="00F5385F"/>
    <w:rsid w:val="00F538BE"/>
    <w:rsid w:val="00F538E9"/>
    <w:rsid w:val="00F539AF"/>
    <w:rsid w:val="00F53BD8"/>
    <w:rsid w:val="00F53C99"/>
    <w:rsid w:val="00F53CC4"/>
    <w:rsid w:val="00F53E7A"/>
    <w:rsid w:val="00F541A2"/>
    <w:rsid w:val="00F541B4"/>
    <w:rsid w:val="00F541D0"/>
    <w:rsid w:val="00F543CC"/>
    <w:rsid w:val="00F54498"/>
    <w:rsid w:val="00F5466A"/>
    <w:rsid w:val="00F54776"/>
    <w:rsid w:val="00F5493B"/>
    <w:rsid w:val="00F55097"/>
    <w:rsid w:val="00F55273"/>
    <w:rsid w:val="00F557C6"/>
    <w:rsid w:val="00F55854"/>
    <w:rsid w:val="00F55A50"/>
    <w:rsid w:val="00F55A77"/>
    <w:rsid w:val="00F55A97"/>
    <w:rsid w:val="00F55CEC"/>
    <w:rsid w:val="00F55D6F"/>
    <w:rsid w:val="00F55FFD"/>
    <w:rsid w:val="00F5609A"/>
    <w:rsid w:val="00F56194"/>
    <w:rsid w:val="00F561D0"/>
    <w:rsid w:val="00F561F9"/>
    <w:rsid w:val="00F562C3"/>
    <w:rsid w:val="00F5634E"/>
    <w:rsid w:val="00F5639C"/>
    <w:rsid w:val="00F564D9"/>
    <w:rsid w:val="00F5662D"/>
    <w:rsid w:val="00F56715"/>
    <w:rsid w:val="00F56716"/>
    <w:rsid w:val="00F56718"/>
    <w:rsid w:val="00F56813"/>
    <w:rsid w:val="00F5686F"/>
    <w:rsid w:val="00F56A83"/>
    <w:rsid w:val="00F56CD3"/>
    <w:rsid w:val="00F56D72"/>
    <w:rsid w:val="00F56E70"/>
    <w:rsid w:val="00F56EAE"/>
    <w:rsid w:val="00F56FAE"/>
    <w:rsid w:val="00F571CA"/>
    <w:rsid w:val="00F571E2"/>
    <w:rsid w:val="00F57364"/>
    <w:rsid w:val="00F574AB"/>
    <w:rsid w:val="00F575A9"/>
    <w:rsid w:val="00F575BF"/>
    <w:rsid w:val="00F577E4"/>
    <w:rsid w:val="00F577FB"/>
    <w:rsid w:val="00F578DC"/>
    <w:rsid w:val="00F579C1"/>
    <w:rsid w:val="00F579F2"/>
    <w:rsid w:val="00F57A9B"/>
    <w:rsid w:val="00F57AA1"/>
    <w:rsid w:val="00F57BEC"/>
    <w:rsid w:val="00F57DDC"/>
    <w:rsid w:val="00F57EF3"/>
    <w:rsid w:val="00F57F4B"/>
    <w:rsid w:val="00F60086"/>
    <w:rsid w:val="00F6009A"/>
    <w:rsid w:val="00F600BC"/>
    <w:rsid w:val="00F600DF"/>
    <w:rsid w:val="00F60257"/>
    <w:rsid w:val="00F602C8"/>
    <w:rsid w:val="00F60389"/>
    <w:rsid w:val="00F6040E"/>
    <w:rsid w:val="00F606C7"/>
    <w:rsid w:val="00F60998"/>
    <w:rsid w:val="00F60B8D"/>
    <w:rsid w:val="00F60CA1"/>
    <w:rsid w:val="00F60F15"/>
    <w:rsid w:val="00F610FC"/>
    <w:rsid w:val="00F61228"/>
    <w:rsid w:val="00F616F5"/>
    <w:rsid w:val="00F6177B"/>
    <w:rsid w:val="00F617BE"/>
    <w:rsid w:val="00F6180A"/>
    <w:rsid w:val="00F61868"/>
    <w:rsid w:val="00F61B6F"/>
    <w:rsid w:val="00F61B99"/>
    <w:rsid w:val="00F6271C"/>
    <w:rsid w:val="00F62783"/>
    <w:rsid w:val="00F627EF"/>
    <w:rsid w:val="00F62AA4"/>
    <w:rsid w:val="00F62AED"/>
    <w:rsid w:val="00F62B77"/>
    <w:rsid w:val="00F62D42"/>
    <w:rsid w:val="00F62DDB"/>
    <w:rsid w:val="00F62DF2"/>
    <w:rsid w:val="00F62EDF"/>
    <w:rsid w:val="00F62FD1"/>
    <w:rsid w:val="00F630B7"/>
    <w:rsid w:val="00F63515"/>
    <w:rsid w:val="00F63565"/>
    <w:rsid w:val="00F636AC"/>
    <w:rsid w:val="00F63704"/>
    <w:rsid w:val="00F6398F"/>
    <w:rsid w:val="00F63B3F"/>
    <w:rsid w:val="00F63B46"/>
    <w:rsid w:val="00F63B8F"/>
    <w:rsid w:val="00F63D3A"/>
    <w:rsid w:val="00F63DC4"/>
    <w:rsid w:val="00F63DC9"/>
    <w:rsid w:val="00F63F59"/>
    <w:rsid w:val="00F6422C"/>
    <w:rsid w:val="00F642B3"/>
    <w:rsid w:val="00F642E3"/>
    <w:rsid w:val="00F643DB"/>
    <w:rsid w:val="00F6440F"/>
    <w:rsid w:val="00F64487"/>
    <w:rsid w:val="00F64584"/>
    <w:rsid w:val="00F645BA"/>
    <w:rsid w:val="00F64715"/>
    <w:rsid w:val="00F64A79"/>
    <w:rsid w:val="00F64B3B"/>
    <w:rsid w:val="00F64C2C"/>
    <w:rsid w:val="00F64CC6"/>
    <w:rsid w:val="00F64D90"/>
    <w:rsid w:val="00F64DBE"/>
    <w:rsid w:val="00F64E77"/>
    <w:rsid w:val="00F64F1F"/>
    <w:rsid w:val="00F64FA9"/>
    <w:rsid w:val="00F651D6"/>
    <w:rsid w:val="00F652DF"/>
    <w:rsid w:val="00F6534F"/>
    <w:rsid w:val="00F65358"/>
    <w:rsid w:val="00F65413"/>
    <w:rsid w:val="00F656A6"/>
    <w:rsid w:val="00F656E3"/>
    <w:rsid w:val="00F65A32"/>
    <w:rsid w:val="00F65BE4"/>
    <w:rsid w:val="00F65CD9"/>
    <w:rsid w:val="00F65CFF"/>
    <w:rsid w:val="00F65FA3"/>
    <w:rsid w:val="00F6619E"/>
    <w:rsid w:val="00F66298"/>
    <w:rsid w:val="00F663EB"/>
    <w:rsid w:val="00F664F3"/>
    <w:rsid w:val="00F665BD"/>
    <w:rsid w:val="00F66600"/>
    <w:rsid w:val="00F66617"/>
    <w:rsid w:val="00F66701"/>
    <w:rsid w:val="00F66972"/>
    <w:rsid w:val="00F66A57"/>
    <w:rsid w:val="00F66AC2"/>
    <w:rsid w:val="00F66E0C"/>
    <w:rsid w:val="00F66FCA"/>
    <w:rsid w:val="00F67053"/>
    <w:rsid w:val="00F6719A"/>
    <w:rsid w:val="00F672B0"/>
    <w:rsid w:val="00F674B9"/>
    <w:rsid w:val="00F679AF"/>
    <w:rsid w:val="00F67F6B"/>
    <w:rsid w:val="00F70110"/>
    <w:rsid w:val="00F7011F"/>
    <w:rsid w:val="00F701A0"/>
    <w:rsid w:val="00F703A1"/>
    <w:rsid w:val="00F707C2"/>
    <w:rsid w:val="00F70811"/>
    <w:rsid w:val="00F70830"/>
    <w:rsid w:val="00F709B7"/>
    <w:rsid w:val="00F70B08"/>
    <w:rsid w:val="00F70BEE"/>
    <w:rsid w:val="00F70D3D"/>
    <w:rsid w:val="00F70F44"/>
    <w:rsid w:val="00F711DA"/>
    <w:rsid w:val="00F7123F"/>
    <w:rsid w:val="00F7126B"/>
    <w:rsid w:val="00F7160C"/>
    <w:rsid w:val="00F718A1"/>
    <w:rsid w:val="00F71961"/>
    <w:rsid w:val="00F71A2D"/>
    <w:rsid w:val="00F71B5A"/>
    <w:rsid w:val="00F71B9E"/>
    <w:rsid w:val="00F71DFF"/>
    <w:rsid w:val="00F71E9A"/>
    <w:rsid w:val="00F72100"/>
    <w:rsid w:val="00F72190"/>
    <w:rsid w:val="00F721A0"/>
    <w:rsid w:val="00F72340"/>
    <w:rsid w:val="00F724D5"/>
    <w:rsid w:val="00F72587"/>
    <w:rsid w:val="00F72945"/>
    <w:rsid w:val="00F72A80"/>
    <w:rsid w:val="00F72B2A"/>
    <w:rsid w:val="00F72C52"/>
    <w:rsid w:val="00F72C93"/>
    <w:rsid w:val="00F731F4"/>
    <w:rsid w:val="00F7322F"/>
    <w:rsid w:val="00F732F8"/>
    <w:rsid w:val="00F733A6"/>
    <w:rsid w:val="00F733EB"/>
    <w:rsid w:val="00F73548"/>
    <w:rsid w:val="00F735BA"/>
    <w:rsid w:val="00F73671"/>
    <w:rsid w:val="00F736C8"/>
    <w:rsid w:val="00F736F7"/>
    <w:rsid w:val="00F73A3B"/>
    <w:rsid w:val="00F73A41"/>
    <w:rsid w:val="00F73AAB"/>
    <w:rsid w:val="00F73E5A"/>
    <w:rsid w:val="00F73F7C"/>
    <w:rsid w:val="00F741E7"/>
    <w:rsid w:val="00F74288"/>
    <w:rsid w:val="00F746B3"/>
    <w:rsid w:val="00F74A58"/>
    <w:rsid w:val="00F74B15"/>
    <w:rsid w:val="00F74B4B"/>
    <w:rsid w:val="00F74C57"/>
    <w:rsid w:val="00F74CB4"/>
    <w:rsid w:val="00F751B0"/>
    <w:rsid w:val="00F753FB"/>
    <w:rsid w:val="00F754C2"/>
    <w:rsid w:val="00F75509"/>
    <w:rsid w:val="00F75843"/>
    <w:rsid w:val="00F75A5A"/>
    <w:rsid w:val="00F75AF8"/>
    <w:rsid w:val="00F75BB0"/>
    <w:rsid w:val="00F75C83"/>
    <w:rsid w:val="00F75D78"/>
    <w:rsid w:val="00F75F1E"/>
    <w:rsid w:val="00F76076"/>
    <w:rsid w:val="00F76670"/>
    <w:rsid w:val="00F7671A"/>
    <w:rsid w:val="00F7673C"/>
    <w:rsid w:val="00F76A87"/>
    <w:rsid w:val="00F76DD7"/>
    <w:rsid w:val="00F76EA2"/>
    <w:rsid w:val="00F77201"/>
    <w:rsid w:val="00F7725E"/>
    <w:rsid w:val="00F77260"/>
    <w:rsid w:val="00F77498"/>
    <w:rsid w:val="00F77501"/>
    <w:rsid w:val="00F777AD"/>
    <w:rsid w:val="00F777BE"/>
    <w:rsid w:val="00F777F9"/>
    <w:rsid w:val="00F778D3"/>
    <w:rsid w:val="00F77A00"/>
    <w:rsid w:val="00F77ACC"/>
    <w:rsid w:val="00F77E65"/>
    <w:rsid w:val="00F800B7"/>
    <w:rsid w:val="00F800B8"/>
    <w:rsid w:val="00F80131"/>
    <w:rsid w:val="00F8018E"/>
    <w:rsid w:val="00F802D4"/>
    <w:rsid w:val="00F8031E"/>
    <w:rsid w:val="00F803A9"/>
    <w:rsid w:val="00F80496"/>
    <w:rsid w:val="00F80662"/>
    <w:rsid w:val="00F806B6"/>
    <w:rsid w:val="00F80866"/>
    <w:rsid w:val="00F80898"/>
    <w:rsid w:val="00F80A7B"/>
    <w:rsid w:val="00F80A88"/>
    <w:rsid w:val="00F80B4E"/>
    <w:rsid w:val="00F80C0B"/>
    <w:rsid w:val="00F80D2B"/>
    <w:rsid w:val="00F80E74"/>
    <w:rsid w:val="00F80F5A"/>
    <w:rsid w:val="00F80F6B"/>
    <w:rsid w:val="00F8124F"/>
    <w:rsid w:val="00F81498"/>
    <w:rsid w:val="00F8163C"/>
    <w:rsid w:val="00F8182C"/>
    <w:rsid w:val="00F81858"/>
    <w:rsid w:val="00F81889"/>
    <w:rsid w:val="00F81AA7"/>
    <w:rsid w:val="00F81C9F"/>
    <w:rsid w:val="00F81D58"/>
    <w:rsid w:val="00F81DCC"/>
    <w:rsid w:val="00F81E6D"/>
    <w:rsid w:val="00F81F72"/>
    <w:rsid w:val="00F82017"/>
    <w:rsid w:val="00F823F5"/>
    <w:rsid w:val="00F82404"/>
    <w:rsid w:val="00F824BE"/>
    <w:rsid w:val="00F826A2"/>
    <w:rsid w:val="00F82B28"/>
    <w:rsid w:val="00F82B9D"/>
    <w:rsid w:val="00F82C54"/>
    <w:rsid w:val="00F82C99"/>
    <w:rsid w:val="00F82D98"/>
    <w:rsid w:val="00F82EE9"/>
    <w:rsid w:val="00F82FEE"/>
    <w:rsid w:val="00F8319E"/>
    <w:rsid w:val="00F83668"/>
    <w:rsid w:val="00F8375A"/>
    <w:rsid w:val="00F837A3"/>
    <w:rsid w:val="00F8382C"/>
    <w:rsid w:val="00F8386F"/>
    <w:rsid w:val="00F8398E"/>
    <w:rsid w:val="00F8399B"/>
    <w:rsid w:val="00F83A7F"/>
    <w:rsid w:val="00F83A81"/>
    <w:rsid w:val="00F83B2A"/>
    <w:rsid w:val="00F83C3F"/>
    <w:rsid w:val="00F83D29"/>
    <w:rsid w:val="00F83D8C"/>
    <w:rsid w:val="00F83D92"/>
    <w:rsid w:val="00F83EB1"/>
    <w:rsid w:val="00F83FF2"/>
    <w:rsid w:val="00F840E9"/>
    <w:rsid w:val="00F84207"/>
    <w:rsid w:val="00F842CC"/>
    <w:rsid w:val="00F843A3"/>
    <w:rsid w:val="00F84583"/>
    <w:rsid w:val="00F848F9"/>
    <w:rsid w:val="00F84B5E"/>
    <w:rsid w:val="00F84D1C"/>
    <w:rsid w:val="00F84FBD"/>
    <w:rsid w:val="00F8504E"/>
    <w:rsid w:val="00F851C3"/>
    <w:rsid w:val="00F851F3"/>
    <w:rsid w:val="00F85667"/>
    <w:rsid w:val="00F8566B"/>
    <w:rsid w:val="00F85721"/>
    <w:rsid w:val="00F8575D"/>
    <w:rsid w:val="00F85793"/>
    <w:rsid w:val="00F857E6"/>
    <w:rsid w:val="00F85AE8"/>
    <w:rsid w:val="00F85B1B"/>
    <w:rsid w:val="00F85D75"/>
    <w:rsid w:val="00F85EB7"/>
    <w:rsid w:val="00F85F5C"/>
    <w:rsid w:val="00F85F71"/>
    <w:rsid w:val="00F86028"/>
    <w:rsid w:val="00F860DC"/>
    <w:rsid w:val="00F8626D"/>
    <w:rsid w:val="00F863A8"/>
    <w:rsid w:val="00F8646A"/>
    <w:rsid w:val="00F86519"/>
    <w:rsid w:val="00F866FA"/>
    <w:rsid w:val="00F86799"/>
    <w:rsid w:val="00F86903"/>
    <w:rsid w:val="00F86AC9"/>
    <w:rsid w:val="00F86B66"/>
    <w:rsid w:val="00F86EB8"/>
    <w:rsid w:val="00F86F78"/>
    <w:rsid w:val="00F870E6"/>
    <w:rsid w:val="00F875D1"/>
    <w:rsid w:val="00F87729"/>
    <w:rsid w:val="00F87776"/>
    <w:rsid w:val="00F877FF"/>
    <w:rsid w:val="00F87850"/>
    <w:rsid w:val="00F87976"/>
    <w:rsid w:val="00F879DA"/>
    <w:rsid w:val="00F87CCC"/>
    <w:rsid w:val="00F87F71"/>
    <w:rsid w:val="00F90013"/>
    <w:rsid w:val="00F902DB"/>
    <w:rsid w:val="00F90311"/>
    <w:rsid w:val="00F908C3"/>
    <w:rsid w:val="00F90A9A"/>
    <w:rsid w:val="00F90B05"/>
    <w:rsid w:val="00F90B16"/>
    <w:rsid w:val="00F90D25"/>
    <w:rsid w:val="00F90E89"/>
    <w:rsid w:val="00F91011"/>
    <w:rsid w:val="00F911CD"/>
    <w:rsid w:val="00F9126F"/>
    <w:rsid w:val="00F914DB"/>
    <w:rsid w:val="00F91656"/>
    <w:rsid w:val="00F9170D"/>
    <w:rsid w:val="00F91898"/>
    <w:rsid w:val="00F91AA4"/>
    <w:rsid w:val="00F91AD1"/>
    <w:rsid w:val="00F91CF3"/>
    <w:rsid w:val="00F91D16"/>
    <w:rsid w:val="00F91E33"/>
    <w:rsid w:val="00F91EC9"/>
    <w:rsid w:val="00F920C9"/>
    <w:rsid w:val="00F92471"/>
    <w:rsid w:val="00F926B0"/>
    <w:rsid w:val="00F926D9"/>
    <w:rsid w:val="00F926E2"/>
    <w:rsid w:val="00F92734"/>
    <w:rsid w:val="00F92A21"/>
    <w:rsid w:val="00F932D3"/>
    <w:rsid w:val="00F935A7"/>
    <w:rsid w:val="00F936A6"/>
    <w:rsid w:val="00F93754"/>
    <w:rsid w:val="00F93824"/>
    <w:rsid w:val="00F938DB"/>
    <w:rsid w:val="00F93B52"/>
    <w:rsid w:val="00F93BFB"/>
    <w:rsid w:val="00F93D18"/>
    <w:rsid w:val="00F93D8D"/>
    <w:rsid w:val="00F93F47"/>
    <w:rsid w:val="00F942D3"/>
    <w:rsid w:val="00F94368"/>
    <w:rsid w:val="00F94423"/>
    <w:rsid w:val="00F945EB"/>
    <w:rsid w:val="00F9472E"/>
    <w:rsid w:val="00F947EC"/>
    <w:rsid w:val="00F9494C"/>
    <w:rsid w:val="00F94A0E"/>
    <w:rsid w:val="00F94C8B"/>
    <w:rsid w:val="00F94EC4"/>
    <w:rsid w:val="00F9516B"/>
    <w:rsid w:val="00F9517E"/>
    <w:rsid w:val="00F958D7"/>
    <w:rsid w:val="00F9596B"/>
    <w:rsid w:val="00F959BA"/>
    <w:rsid w:val="00F95A03"/>
    <w:rsid w:val="00F95D7D"/>
    <w:rsid w:val="00F96094"/>
    <w:rsid w:val="00F961C0"/>
    <w:rsid w:val="00F962C0"/>
    <w:rsid w:val="00F965D3"/>
    <w:rsid w:val="00F96620"/>
    <w:rsid w:val="00F96746"/>
    <w:rsid w:val="00F96782"/>
    <w:rsid w:val="00F96ACC"/>
    <w:rsid w:val="00F96B43"/>
    <w:rsid w:val="00F96CDC"/>
    <w:rsid w:val="00F96DF1"/>
    <w:rsid w:val="00F96E0F"/>
    <w:rsid w:val="00F96E45"/>
    <w:rsid w:val="00F96E89"/>
    <w:rsid w:val="00F96EA7"/>
    <w:rsid w:val="00F970BD"/>
    <w:rsid w:val="00F971B0"/>
    <w:rsid w:val="00F97287"/>
    <w:rsid w:val="00F9733D"/>
    <w:rsid w:val="00F973BB"/>
    <w:rsid w:val="00F9751D"/>
    <w:rsid w:val="00F97691"/>
    <w:rsid w:val="00F977FF"/>
    <w:rsid w:val="00F97A46"/>
    <w:rsid w:val="00F97A61"/>
    <w:rsid w:val="00F97A74"/>
    <w:rsid w:val="00F97CB8"/>
    <w:rsid w:val="00FA011A"/>
    <w:rsid w:val="00FA0128"/>
    <w:rsid w:val="00FA02BC"/>
    <w:rsid w:val="00FA0597"/>
    <w:rsid w:val="00FA06F5"/>
    <w:rsid w:val="00FA07A1"/>
    <w:rsid w:val="00FA0840"/>
    <w:rsid w:val="00FA0856"/>
    <w:rsid w:val="00FA09DA"/>
    <w:rsid w:val="00FA0A46"/>
    <w:rsid w:val="00FA0A92"/>
    <w:rsid w:val="00FA0BA2"/>
    <w:rsid w:val="00FA0CAB"/>
    <w:rsid w:val="00FA11EE"/>
    <w:rsid w:val="00FA15B4"/>
    <w:rsid w:val="00FA15C8"/>
    <w:rsid w:val="00FA1631"/>
    <w:rsid w:val="00FA1640"/>
    <w:rsid w:val="00FA1D88"/>
    <w:rsid w:val="00FA1DB1"/>
    <w:rsid w:val="00FA2045"/>
    <w:rsid w:val="00FA2084"/>
    <w:rsid w:val="00FA208A"/>
    <w:rsid w:val="00FA20F9"/>
    <w:rsid w:val="00FA21D5"/>
    <w:rsid w:val="00FA2238"/>
    <w:rsid w:val="00FA227B"/>
    <w:rsid w:val="00FA2472"/>
    <w:rsid w:val="00FA25C6"/>
    <w:rsid w:val="00FA2C5D"/>
    <w:rsid w:val="00FA2D86"/>
    <w:rsid w:val="00FA2D9E"/>
    <w:rsid w:val="00FA2EA7"/>
    <w:rsid w:val="00FA31C7"/>
    <w:rsid w:val="00FA32C0"/>
    <w:rsid w:val="00FA3336"/>
    <w:rsid w:val="00FA348C"/>
    <w:rsid w:val="00FA34EB"/>
    <w:rsid w:val="00FA368B"/>
    <w:rsid w:val="00FA389E"/>
    <w:rsid w:val="00FA38B2"/>
    <w:rsid w:val="00FA38D3"/>
    <w:rsid w:val="00FA39D5"/>
    <w:rsid w:val="00FA3D87"/>
    <w:rsid w:val="00FA3DCF"/>
    <w:rsid w:val="00FA3EBD"/>
    <w:rsid w:val="00FA3F15"/>
    <w:rsid w:val="00FA4023"/>
    <w:rsid w:val="00FA414A"/>
    <w:rsid w:val="00FA430D"/>
    <w:rsid w:val="00FA43C4"/>
    <w:rsid w:val="00FA4545"/>
    <w:rsid w:val="00FA463F"/>
    <w:rsid w:val="00FA46D9"/>
    <w:rsid w:val="00FA47C3"/>
    <w:rsid w:val="00FA4849"/>
    <w:rsid w:val="00FA4A29"/>
    <w:rsid w:val="00FA4A48"/>
    <w:rsid w:val="00FA4AED"/>
    <w:rsid w:val="00FA4C57"/>
    <w:rsid w:val="00FA4F25"/>
    <w:rsid w:val="00FA4F4C"/>
    <w:rsid w:val="00FA515B"/>
    <w:rsid w:val="00FA53D8"/>
    <w:rsid w:val="00FA55BC"/>
    <w:rsid w:val="00FA5721"/>
    <w:rsid w:val="00FA586C"/>
    <w:rsid w:val="00FA5AAA"/>
    <w:rsid w:val="00FA5F7E"/>
    <w:rsid w:val="00FA60D4"/>
    <w:rsid w:val="00FA60F3"/>
    <w:rsid w:val="00FA6108"/>
    <w:rsid w:val="00FA6201"/>
    <w:rsid w:val="00FA638B"/>
    <w:rsid w:val="00FA645E"/>
    <w:rsid w:val="00FA6668"/>
    <w:rsid w:val="00FA6674"/>
    <w:rsid w:val="00FA6780"/>
    <w:rsid w:val="00FA6792"/>
    <w:rsid w:val="00FA679E"/>
    <w:rsid w:val="00FA68E0"/>
    <w:rsid w:val="00FA6961"/>
    <w:rsid w:val="00FA6978"/>
    <w:rsid w:val="00FA6A31"/>
    <w:rsid w:val="00FA6A7C"/>
    <w:rsid w:val="00FA6CCD"/>
    <w:rsid w:val="00FA6D36"/>
    <w:rsid w:val="00FA6D3A"/>
    <w:rsid w:val="00FA6D8E"/>
    <w:rsid w:val="00FA7106"/>
    <w:rsid w:val="00FA7207"/>
    <w:rsid w:val="00FA72C6"/>
    <w:rsid w:val="00FA75B2"/>
    <w:rsid w:val="00FA7A51"/>
    <w:rsid w:val="00FA7B91"/>
    <w:rsid w:val="00FA7D18"/>
    <w:rsid w:val="00FA7EB1"/>
    <w:rsid w:val="00FA7ED9"/>
    <w:rsid w:val="00FA7F63"/>
    <w:rsid w:val="00FB0185"/>
    <w:rsid w:val="00FB0228"/>
    <w:rsid w:val="00FB027A"/>
    <w:rsid w:val="00FB02F9"/>
    <w:rsid w:val="00FB031E"/>
    <w:rsid w:val="00FB045F"/>
    <w:rsid w:val="00FB059E"/>
    <w:rsid w:val="00FB075F"/>
    <w:rsid w:val="00FB087C"/>
    <w:rsid w:val="00FB093B"/>
    <w:rsid w:val="00FB0994"/>
    <w:rsid w:val="00FB0A28"/>
    <w:rsid w:val="00FB0A85"/>
    <w:rsid w:val="00FB0AD8"/>
    <w:rsid w:val="00FB0C38"/>
    <w:rsid w:val="00FB0E05"/>
    <w:rsid w:val="00FB11B1"/>
    <w:rsid w:val="00FB12DE"/>
    <w:rsid w:val="00FB1416"/>
    <w:rsid w:val="00FB1524"/>
    <w:rsid w:val="00FB162F"/>
    <w:rsid w:val="00FB16A9"/>
    <w:rsid w:val="00FB173A"/>
    <w:rsid w:val="00FB17BA"/>
    <w:rsid w:val="00FB1919"/>
    <w:rsid w:val="00FB1A3B"/>
    <w:rsid w:val="00FB1AA2"/>
    <w:rsid w:val="00FB1C5B"/>
    <w:rsid w:val="00FB1FA0"/>
    <w:rsid w:val="00FB2078"/>
    <w:rsid w:val="00FB20E7"/>
    <w:rsid w:val="00FB21BF"/>
    <w:rsid w:val="00FB235F"/>
    <w:rsid w:val="00FB249F"/>
    <w:rsid w:val="00FB2772"/>
    <w:rsid w:val="00FB2784"/>
    <w:rsid w:val="00FB298D"/>
    <w:rsid w:val="00FB2AC3"/>
    <w:rsid w:val="00FB2BAE"/>
    <w:rsid w:val="00FB2BDC"/>
    <w:rsid w:val="00FB2C78"/>
    <w:rsid w:val="00FB2E12"/>
    <w:rsid w:val="00FB2E17"/>
    <w:rsid w:val="00FB2E47"/>
    <w:rsid w:val="00FB2EAC"/>
    <w:rsid w:val="00FB30B3"/>
    <w:rsid w:val="00FB363C"/>
    <w:rsid w:val="00FB375E"/>
    <w:rsid w:val="00FB3802"/>
    <w:rsid w:val="00FB38A3"/>
    <w:rsid w:val="00FB39F1"/>
    <w:rsid w:val="00FB3D71"/>
    <w:rsid w:val="00FB3FF2"/>
    <w:rsid w:val="00FB4035"/>
    <w:rsid w:val="00FB404B"/>
    <w:rsid w:val="00FB4085"/>
    <w:rsid w:val="00FB45E7"/>
    <w:rsid w:val="00FB49C5"/>
    <w:rsid w:val="00FB4A29"/>
    <w:rsid w:val="00FB4B3B"/>
    <w:rsid w:val="00FB4B4B"/>
    <w:rsid w:val="00FB4B70"/>
    <w:rsid w:val="00FB4C1F"/>
    <w:rsid w:val="00FB4C99"/>
    <w:rsid w:val="00FB4CDC"/>
    <w:rsid w:val="00FB4D6C"/>
    <w:rsid w:val="00FB4DBB"/>
    <w:rsid w:val="00FB4ED0"/>
    <w:rsid w:val="00FB50F6"/>
    <w:rsid w:val="00FB5252"/>
    <w:rsid w:val="00FB5526"/>
    <w:rsid w:val="00FB552F"/>
    <w:rsid w:val="00FB5659"/>
    <w:rsid w:val="00FB5695"/>
    <w:rsid w:val="00FB5753"/>
    <w:rsid w:val="00FB58C0"/>
    <w:rsid w:val="00FB59C2"/>
    <w:rsid w:val="00FB5B96"/>
    <w:rsid w:val="00FB5C68"/>
    <w:rsid w:val="00FB5E1E"/>
    <w:rsid w:val="00FB5E3A"/>
    <w:rsid w:val="00FB5F63"/>
    <w:rsid w:val="00FB5F97"/>
    <w:rsid w:val="00FB5FF5"/>
    <w:rsid w:val="00FB6096"/>
    <w:rsid w:val="00FB60FD"/>
    <w:rsid w:val="00FB620B"/>
    <w:rsid w:val="00FB62E5"/>
    <w:rsid w:val="00FB644E"/>
    <w:rsid w:val="00FB64FC"/>
    <w:rsid w:val="00FB66B9"/>
    <w:rsid w:val="00FB66E4"/>
    <w:rsid w:val="00FB67A4"/>
    <w:rsid w:val="00FB6892"/>
    <w:rsid w:val="00FB6989"/>
    <w:rsid w:val="00FB6A16"/>
    <w:rsid w:val="00FB6C0A"/>
    <w:rsid w:val="00FB6C5B"/>
    <w:rsid w:val="00FB6E68"/>
    <w:rsid w:val="00FB706B"/>
    <w:rsid w:val="00FB7337"/>
    <w:rsid w:val="00FB735A"/>
    <w:rsid w:val="00FB7376"/>
    <w:rsid w:val="00FB748F"/>
    <w:rsid w:val="00FB74FD"/>
    <w:rsid w:val="00FB7516"/>
    <w:rsid w:val="00FB7622"/>
    <w:rsid w:val="00FB792A"/>
    <w:rsid w:val="00FB79D9"/>
    <w:rsid w:val="00FB7A57"/>
    <w:rsid w:val="00FB7B0F"/>
    <w:rsid w:val="00FB7B3F"/>
    <w:rsid w:val="00FB7BD1"/>
    <w:rsid w:val="00FB7CBB"/>
    <w:rsid w:val="00FB7D3F"/>
    <w:rsid w:val="00FB7F52"/>
    <w:rsid w:val="00FC0056"/>
    <w:rsid w:val="00FC0057"/>
    <w:rsid w:val="00FC0135"/>
    <w:rsid w:val="00FC021D"/>
    <w:rsid w:val="00FC023D"/>
    <w:rsid w:val="00FC0790"/>
    <w:rsid w:val="00FC0BFA"/>
    <w:rsid w:val="00FC11D1"/>
    <w:rsid w:val="00FC13AD"/>
    <w:rsid w:val="00FC13E5"/>
    <w:rsid w:val="00FC1510"/>
    <w:rsid w:val="00FC1717"/>
    <w:rsid w:val="00FC195C"/>
    <w:rsid w:val="00FC1A06"/>
    <w:rsid w:val="00FC1B86"/>
    <w:rsid w:val="00FC1B9D"/>
    <w:rsid w:val="00FC1BA3"/>
    <w:rsid w:val="00FC1D33"/>
    <w:rsid w:val="00FC1F6A"/>
    <w:rsid w:val="00FC1FCB"/>
    <w:rsid w:val="00FC1FFE"/>
    <w:rsid w:val="00FC2007"/>
    <w:rsid w:val="00FC2189"/>
    <w:rsid w:val="00FC21E3"/>
    <w:rsid w:val="00FC244B"/>
    <w:rsid w:val="00FC255C"/>
    <w:rsid w:val="00FC26F5"/>
    <w:rsid w:val="00FC28B1"/>
    <w:rsid w:val="00FC291D"/>
    <w:rsid w:val="00FC2974"/>
    <w:rsid w:val="00FC29D1"/>
    <w:rsid w:val="00FC2E42"/>
    <w:rsid w:val="00FC318A"/>
    <w:rsid w:val="00FC3446"/>
    <w:rsid w:val="00FC3557"/>
    <w:rsid w:val="00FC3609"/>
    <w:rsid w:val="00FC364E"/>
    <w:rsid w:val="00FC36EE"/>
    <w:rsid w:val="00FC373A"/>
    <w:rsid w:val="00FC383F"/>
    <w:rsid w:val="00FC39F3"/>
    <w:rsid w:val="00FC3A39"/>
    <w:rsid w:val="00FC3BED"/>
    <w:rsid w:val="00FC3FB5"/>
    <w:rsid w:val="00FC43D1"/>
    <w:rsid w:val="00FC442B"/>
    <w:rsid w:val="00FC45A5"/>
    <w:rsid w:val="00FC4685"/>
    <w:rsid w:val="00FC46CA"/>
    <w:rsid w:val="00FC4715"/>
    <w:rsid w:val="00FC47C5"/>
    <w:rsid w:val="00FC49D4"/>
    <w:rsid w:val="00FC4CF8"/>
    <w:rsid w:val="00FC4CFD"/>
    <w:rsid w:val="00FC50B8"/>
    <w:rsid w:val="00FC531B"/>
    <w:rsid w:val="00FC55AE"/>
    <w:rsid w:val="00FC56B8"/>
    <w:rsid w:val="00FC5701"/>
    <w:rsid w:val="00FC5757"/>
    <w:rsid w:val="00FC5922"/>
    <w:rsid w:val="00FC59AD"/>
    <w:rsid w:val="00FC5C97"/>
    <w:rsid w:val="00FC5D26"/>
    <w:rsid w:val="00FC6054"/>
    <w:rsid w:val="00FC608C"/>
    <w:rsid w:val="00FC631C"/>
    <w:rsid w:val="00FC6374"/>
    <w:rsid w:val="00FC63F9"/>
    <w:rsid w:val="00FC6717"/>
    <w:rsid w:val="00FC692C"/>
    <w:rsid w:val="00FC6A50"/>
    <w:rsid w:val="00FC6C03"/>
    <w:rsid w:val="00FC6C43"/>
    <w:rsid w:val="00FC71A7"/>
    <w:rsid w:val="00FC7206"/>
    <w:rsid w:val="00FC7740"/>
    <w:rsid w:val="00FC7BDB"/>
    <w:rsid w:val="00FC7D7A"/>
    <w:rsid w:val="00FC7DC8"/>
    <w:rsid w:val="00FC7ECF"/>
    <w:rsid w:val="00FC7EDB"/>
    <w:rsid w:val="00FD00AA"/>
    <w:rsid w:val="00FD00C9"/>
    <w:rsid w:val="00FD0147"/>
    <w:rsid w:val="00FD019D"/>
    <w:rsid w:val="00FD041C"/>
    <w:rsid w:val="00FD0423"/>
    <w:rsid w:val="00FD05BA"/>
    <w:rsid w:val="00FD08D4"/>
    <w:rsid w:val="00FD0A9D"/>
    <w:rsid w:val="00FD0C68"/>
    <w:rsid w:val="00FD1065"/>
    <w:rsid w:val="00FD10FE"/>
    <w:rsid w:val="00FD13C4"/>
    <w:rsid w:val="00FD1423"/>
    <w:rsid w:val="00FD1749"/>
    <w:rsid w:val="00FD17FC"/>
    <w:rsid w:val="00FD184E"/>
    <w:rsid w:val="00FD1954"/>
    <w:rsid w:val="00FD1C2B"/>
    <w:rsid w:val="00FD1E4A"/>
    <w:rsid w:val="00FD1E6B"/>
    <w:rsid w:val="00FD2009"/>
    <w:rsid w:val="00FD2050"/>
    <w:rsid w:val="00FD2108"/>
    <w:rsid w:val="00FD2114"/>
    <w:rsid w:val="00FD220C"/>
    <w:rsid w:val="00FD2393"/>
    <w:rsid w:val="00FD24DE"/>
    <w:rsid w:val="00FD260F"/>
    <w:rsid w:val="00FD2AFF"/>
    <w:rsid w:val="00FD2B1F"/>
    <w:rsid w:val="00FD2C7B"/>
    <w:rsid w:val="00FD2DA6"/>
    <w:rsid w:val="00FD2DE2"/>
    <w:rsid w:val="00FD301E"/>
    <w:rsid w:val="00FD386A"/>
    <w:rsid w:val="00FD43F1"/>
    <w:rsid w:val="00FD45BD"/>
    <w:rsid w:val="00FD4632"/>
    <w:rsid w:val="00FD4B06"/>
    <w:rsid w:val="00FD4B9F"/>
    <w:rsid w:val="00FD4FC1"/>
    <w:rsid w:val="00FD4FD8"/>
    <w:rsid w:val="00FD50FA"/>
    <w:rsid w:val="00FD51F3"/>
    <w:rsid w:val="00FD5267"/>
    <w:rsid w:val="00FD5472"/>
    <w:rsid w:val="00FD54A4"/>
    <w:rsid w:val="00FD55C5"/>
    <w:rsid w:val="00FD573B"/>
    <w:rsid w:val="00FD5907"/>
    <w:rsid w:val="00FD592E"/>
    <w:rsid w:val="00FD5D84"/>
    <w:rsid w:val="00FD5DB3"/>
    <w:rsid w:val="00FD5F37"/>
    <w:rsid w:val="00FD62CE"/>
    <w:rsid w:val="00FD647A"/>
    <w:rsid w:val="00FD64D5"/>
    <w:rsid w:val="00FD6570"/>
    <w:rsid w:val="00FD6696"/>
    <w:rsid w:val="00FD6775"/>
    <w:rsid w:val="00FD6AEB"/>
    <w:rsid w:val="00FD6B8A"/>
    <w:rsid w:val="00FD6C12"/>
    <w:rsid w:val="00FD6CBA"/>
    <w:rsid w:val="00FD6D2A"/>
    <w:rsid w:val="00FD717A"/>
    <w:rsid w:val="00FD71CC"/>
    <w:rsid w:val="00FD736E"/>
    <w:rsid w:val="00FD7374"/>
    <w:rsid w:val="00FD73D9"/>
    <w:rsid w:val="00FD74B9"/>
    <w:rsid w:val="00FD7546"/>
    <w:rsid w:val="00FD760C"/>
    <w:rsid w:val="00FD76F2"/>
    <w:rsid w:val="00FD7778"/>
    <w:rsid w:val="00FD7883"/>
    <w:rsid w:val="00FD7891"/>
    <w:rsid w:val="00FD78DA"/>
    <w:rsid w:val="00FD795A"/>
    <w:rsid w:val="00FD7970"/>
    <w:rsid w:val="00FD79E4"/>
    <w:rsid w:val="00FD7A73"/>
    <w:rsid w:val="00FD7ADF"/>
    <w:rsid w:val="00FD7BA2"/>
    <w:rsid w:val="00FD7DAB"/>
    <w:rsid w:val="00FD7F88"/>
    <w:rsid w:val="00FE01A5"/>
    <w:rsid w:val="00FE01CE"/>
    <w:rsid w:val="00FE0249"/>
    <w:rsid w:val="00FE030E"/>
    <w:rsid w:val="00FE032C"/>
    <w:rsid w:val="00FE040A"/>
    <w:rsid w:val="00FE0471"/>
    <w:rsid w:val="00FE054B"/>
    <w:rsid w:val="00FE0665"/>
    <w:rsid w:val="00FE071A"/>
    <w:rsid w:val="00FE096E"/>
    <w:rsid w:val="00FE0A84"/>
    <w:rsid w:val="00FE0AEA"/>
    <w:rsid w:val="00FE0C45"/>
    <w:rsid w:val="00FE0C87"/>
    <w:rsid w:val="00FE0D40"/>
    <w:rsid w:val="00FE0DAB"/>
    <w:rsid w:val="00FE0EA5"/>
    <w:rsid w:val="00FE1101"/>
    <w:rsid w:val="00FE1369"/>
    <w:rsid w:val="00FE136C"/>
    <w:rsid w:val="00FE1386"/>
    <w:rsid w:val="00FE1406"/>
    <w:rsid w:val="00FE1438"/>
    <w:rsid w:val="00FE1794"/>
    <w:rsid w:val="00FE1AC3"/>
    <w:rsid w:val="00FE1AE1"/>
    <w:rsid w:val="00FE1B4B"/>
    <w:rsid w:val="00FE1B5E"/>
    <w:rsid w:val="00FE1B66"/>
    <w:rsid w:val="00FE1CD4"/>
    <w:rsid w:val="00FE1D01"/>
    <w:rsid w:val="00FE1EB4"/>
    <w:rsid w:val="00FE1EC3"/>
    <w:rsid w:val="00FE1F4E"/>
    <w:rsid w:val="00FE1F53"/>
    <w:rsid w:val="00FE1F56"/>
    <w:rsid w:val="00FE21B4"/>
    <w:rsid w:val="00FE2280"/>
    <w:rsid w:val="00FE234E"/>
    <w:rsid w:val="00FE23DE"/>
    <w:rsid w:val="00FE23E4"/>
    <w:rsid w:val="00FE2459"/>
    <w:rsid w:val="00FE24FF"/>
    <w:rsid w:val="00FE253B"/>
    <w:rsid w:val="00FE254D"/>
    <w:rsid w:val="00FE2744"/>
    <w:rsid w:val="00FE2807"/>
    <w:rsid w:val="00FE28BB"/>
    <w:rsid w:val="00FE2A24"/>
    <w:rsid w:val="00FE2C17"/>
    <w:rsid w:val="00FE2E18"/>
    <w:rsid w:val="00FE3000"/>
    <w:rsid w:val="00FE3009"/>
    <w:rsid w:val="00FE306C"/>
    <w:rsid w:val="00FE3086"/>
    <w:rsid w:val="00FE323F"/>
    <w:rsid w:val="00FE3298"/>
    <w:rsid w:val="00FE331E"/>
    <w:rsid w:val="00FE333F"/>
    <w:rsid w:val="00FE3496"/>
    <w:rsid w:val="00FE34C1"/>
    <w:rsid w:val="00FE36F8"/>
    <w:rsid w:val="00FE371D"/>
    <w:rsid w:val="00FE39C8"/>
    <w:rsid w:val="00FE3E1E"/>
    <w:rsid w:val="00FE3E6C"/>
    <w:rsid w:val="00FE3F24"/>
    <w:rsid w:val="00FE407B"/>
    <w:rsid w:val="00FE4101"/>
    <w:rsid w:val="00FE4164"/>
    <w:rsid w:val="00FE41A9"/>
    <w:rsid w:val="00FE4208"/>
    <w:rsid w:val="00FE42A4"/>
    <w:rsid w:val="00FE434D"/>
    <w:rsid w:val="00FE473C"/>
    <w:rsid w:val="00FE47AE"/>
    <w:rsid w:val="00FE48E8"/>
    <w:rsid w:val="00FE4A94"/>
    <w:rsid w:val="00FE4B98"/>
    <w:rsid w:val="00FE4D0B"/>
    <w:rsid w:val="00FE4D5D"/>
    <w:rsid w:val="00FE4F91"/>
    <w:rsid w:val="00FE50D3"/>
    <w:rsid w:val="00FE5131"/>
    <w:rsid w:val="00FE518B"/>
    <w:rsid w:val="00FE51B2"/>
    <w:rsid w:val="00FE528E"/>
    <w:rsid w:val="00FE55F7"/>
    <w:rsid w:val="00FE5600"/>
    <w:rsid w:val="00FE56DE"/>
    <w:rsid w:val="00FE5770"/>
    <w:rsid w:val="00FE57A0"/>
    <w:rsid w:val="00FE5AC2"/>
    <w:rsid w:val="00FE5BA5"/>
    <w:rsid w:val="00FE5C60"/>
    <w:rsid w:val="00FE5E83"/>
    <w:rsid w:val="00FE6253"/>
    <w:rsid w:val="00FE636F"/>
    <w:rsid w:val="00FE64F8"/>
    <w:rsid w:val="00FE6566"/>
    <w:rsid w:val="00FE669E"/>
    <w:rsid w:val="00FE685B"/>
    <w:rsid w:val="00FE68C7"/>
    <w:rsid w:val="00FE699F"/>
    <w:rsid w:val="00FE69B9"/>
    <w:rsid w:val="00FE69D4"/>
    <w:rsid w:val="00FE6DFE"/>
    <w:rsid w:val="00FE6E88"/>
    <w:rsid w:val="00FE71C4"/>
    <w:rsid w:val="00FE71D5"/>
    <w:rsid w:val="00FE7247"/>
    <w:rsid w:val="00FE7306"/>
    <w:rsid w:val="00FE736A"/>
    <w:rsid w:val="00FE7446"/>
    <w:rsid w:val="00FE7B08"/>
    <w:rsid w:val="00FE7B50"/>
    <w:rsid w:val="00FE7C2E"/>
    <w:rsid w:val="00FE7E05"/>
    <w:rsid w:val="00FE7E4E"/>
    <w:rsid w:val="00FE7FAF"/>
    <w:rsid w:val="00FE7FD8"/>
    <w:rsid w:val="00FF0058"/>
    <w:rsid w:val="00FF01D7"/>
    <w:rsid w:val="00FF02CF"/>
    <w:rsid w:val="00FF0402"/>
    <w:rsid w:val="00FF0406"/>
    <w:rsid w:val="00FF047B"/>
    <w:rsid w:val="00FF050E"/>
    <w:rsid w:val="00FF06C4"/>
    <w:rsid w:val="00FF072F"/>
    <w:rsid w:val="00FF0841"/>
    <w:rsid w:val="00FF09C7"/>
    <w:rsid w:val="00FF0A81"/>
    <w:rsid w:val="00FF0AC3"/>
    <w:rsid w:val="00FF0B03"/>
    <w:rsid w:val="00FF0DA3"/>
    <w:rsid w:val="00FF0DF0"/>
    <w:rsid w:val="00FF0FB2"/>
    <w:rsid w:val="00FF0FE6"/>
    <w:rsid w:val="00FF1027"/>
    <w:rsid w:val="00FF1482"/>
    <w:rsid w:val="00FF1589"/>
    <w:rsid w:val="00FF159D"/>
    <w:rsid w:val="00FF15AE"/>
    <w:rsid w:val="00FF15B5"/>
    <w:rsid w:val="00FF1980"/>
    <w:rsid w:val="00FF1A4E"/>
    <w:rsid w:val="00FF1B08"/>
    <w:rsid w:val="00FF1B34"/>
    <w:rsid w:val="00FF1CBE"/>
    <w:rsid w:val="00FF1D48"/>
    <w:rsid w:val="00FF1D6A"/>
    <w:rsid w:val="00FF1D6B"/>
    <w:rsid w:val="00FF1D9E"/>
    <w:rsid w:val="00FF1DBA"/>
    <w:rsid w:val="00FF1F04"/>
    <w:rsid w:val="00FF1F43"/>
    <w:rsid w:val="00FF1FEA"/>
    <w:rsid w:val="00FF2011"/>
    <w:rsid w:val="00FF20D7"/>
    <w:rsid w:val="00FF22B4"/>
    <w:rsid w:val="00FF241B"/>
    <w:rsid w:val="00FF246E"/>
    <w:rsid w:val="00FF2890"/>
    <w:rsid w:val="00FF2A65"/>
    <w:rsid w:val="00FF2B14"/>
    <w:rsid w:val="00FF2D85"/>
    <w:rsid w:val="00FF2D9C"/>
    <w:rsid w:val="00FF2F6E"/>
    <w:rsid w:val="00FF336C"/>
    <w:rsid w:val="00FF3499"/>
    <w:rsid w:val="00FF35B8"/>
    <w:rsid w:val="00FF3733"/>
    <w:rsid w:val="00FF3B44"/>
    <w:rsid w:val="00FF3D20"/>
    <w:rsid w:val="00FF3ED1"/>
    <w:rsid w:val="00FF3FF2"/>
    <w:rsid w:val="00FF41D8"/>
    <w:rsid w:val="00FF41E9"/>
    <w:rsid w:val="00FF42A1"/>
    <w:rsid w:val="00FF43B9"/>
    <w:rsid w:val="00FF451E"/>
    <w:rsid w:val="00FF452D"/>
    <w:rsid w:val="00FF4613"/>
    <w:rsid w:val="00FF477B"/>
    <w:rsid w:val="00FF489E"/>
    <w:rsid w:val="00FF48E9"/>
    <w:rsid w:val="00FF4CA5"/>
    <w:rsid w:val="00FF5085"/>
    <w:rsid w:val="00FF528D"/>
    <w:rsid w:val="00FF52BE"/>
    <w:rsid w:val="00FF534A"/>
    <w:rsid w:val="00FF5373"/>
    <w:rsid w:val="00FF55B1"/>
    <w:rsid w:val="00FF5882"/>
    <w:rsid w:val="00FF5937"/>
    <w:rsid w:val="00FF596B"/>
    <w:rsid w:val="00FF599B"/>
    <w:rsid w:val="00FF5A22"/>
    <w:rsid w:val="00FF6658"/>
    <w:rsid w:val="00FF67EA"/>
    <w:rsid w:val="00FF681B"/>
    <w:rsid w:val="00FF6A65"/>
    <w:rsid w:val="00FF6A8D"/>
    <w:rsid w:val="00FF6AA4"/>
    <w:rsid w:val="00FF6C72"/>
    <w:rsid w:val="00FF6ECD"/>
    <w:rsid w:val="00FF7071"/>
    <w:rsid w:val="00FF7165"/>
    <w:rsid w:val="00FF7252"/>
    <w:rsid w:val="00FF7424"/>
    <w:rsid w:val="00FF7707"/>
    <w:rsid w:val="00FF77C6"/>
    <w:rsid w:val="00FF7857"/>
    <w:rsid w:val="00FF7B22"/>
    <w:rsid w:val="00FF7F1F"/>
    <w:rsid w:val="00FF7F6A"/>
    <w:rsid w:val="0148A7C0"/>
    <w:rsid w:val="02822C9D"/>
    <w:rsid w:val="02AC3CB1"/>
    <w:rsid w:val="02CF3FCF"/>
    <w:rsid w:val="02D996DF"/>
    <w:rsid w:val="0387EF7D"/>
    <w:rsid w:val="03AB36BD"/>
    <w:rsid w:val="03AE5EC8"/>
    <w:rsid w:val="0481DE35"/>
    <w:rsid w:val="049753EA"/>
    <w:rsid w:val="05528A38"/>
    <w:rsid w:val="0609B796"/>
    <w:rsid w:val="0679C1E2"/>
    <w:rsid w:val="067FEF2B"/>
    <w:rsid w:val="06A7260B"/>
    <w:rsid w:val="07A5E085"/>
    <w:rsid w:val="07E1D86A"/>
    <w:rsid w:val="07E5AF1E"/>
    <w:rsid w:val="0802296E"/>
    <w:rsid w:val="085BA001"/>
    <w:rsid w:val="090B0FB8"/>
    <w:rsid w:val="09B8C5CE"/>
    <w:rsid w:val="09D601C5"/>
    <w:rsid w:val="0A8B4DC2"/>
    <w:rsid w:val="0ABB79E3"/>
    <w:rsid w:val="0B9BA385"/>
    <w:rsid w:val="0C19EC73"/>
    <w:rsid w:val="0CA3AE72"/>
    <w:rsid w:val="0D0EE057"/>
    <w:rsid w:val="0D45DD8E"/>
    <w:rsid w:val="0E0974A9"/>
    <w:rsid w:val="0EA0F68F"/>
    <w:rsid w:val="102B8833"/>
    <w:rsid w:val="10A1E31E"/>
    <w:rsid w:val="10B37336"/>
    <w:rsid w:val="10B4A711"/>
    <w:rsid w:val="10E0324A"/>
    <w:rsid w:val="10E8913F"/>
    <w:rsid w:val="10EA7EA8"/>
    <w:rsid w:val="113DFF1D"/>
    <w:rsid w:val="114C00FC"/>
    <w:rsid w:val="1265D4CD"/>
    <w:rsid w:val="129093EC"/>
    <w:rsid w:val="1319D76C"/>
    <w:rsid w:val="132738EA"/>
    <w:rsid w:val="1361AFC2"/>
    <w:rsid w:val="13A29C0F"/>
    <w:rsid w:val="13D7BA42"/>
    <w:rsid w:val="145A345E"/>
    <w:rsid w:val="148E8DD2"/>
    <w:rsid w:val="1500F6B4"/>
    <w:rsid w:val="15852687"/>
    <w:rsid w:val="15EB3B0F"/>
    <w:rsid w:val="16654743"/>
    <w:rsid w:val="16EB135B"/>
    <w:rsid w:val="171FCA0A"/>
    <w:rsid w:val="173E4866"/>
    <w:rsid w:val="17887F70"/>
    <w:rsid w:val="17FB6432"/>
    <w:rsid w:val="189F5B9A"/>
    <w:rsid w:val="18E1B356"/>
    <w:rsid w:val="19376086"/>
    <w:rsid w:val="19E23678"/>
    <w:rsid w:val="19E59813"/>
    <w:rsid w:val="1A10DA79"/>
    <w:rsid w:val="1AABA284"/>
    <w:rsid w:val="1AEF4BAA"/>
    <w:rsid w:val="1B0C5A14"/>
    <w:rsid w:val="1B65C165"/>
    <w:rsid w:val="1BB44C57"/>
    <w:rsid w:val="1BEF17F5"/>
    <w:rsid w:val="1CF05E4F"/>
    <w:rsid w:val="1D1CB1E9"/>
    <w:rsid w:val="1DBDA258"/>
    <w:rsid w:val="1E35020A"/>
    <w:rsid w:val="1EB6FE45"/>
    <w:rsid w:val="1F123B52"/>
    <w:rsid w:val="1F8A105C"/>
    <w:rsid w:val="1FBD4965"/>
    <w:rsid w:val="20779625"/>
    <w:rsid w:val="20A56639"/>
    <w:rsid w:val="20FC3C9F"/>
    <w:rsid w:val="23B22024"/>
    <w:rsid w:val="23F82E0C"/>
    <w:rsid w:val="2413C6D7"/>
    <w:rsid w:val="2419CF73"/>
    <w:rsid w:val="24F3C059"/>
    <w:rsid w:val="24F50054"/>
    <w:rsid w:val="24F76885"/>
    <w:rsid w:val="251DFC81"/>
    <w:rsid w:val="2523721A"/>
    <w:rsid w:val="252F7DD8"/>
    <w:rsid w:val="25B4D0A3"/>
    <w:rsid w:val="25D12023"/>
    <w:rsid w:val="26AE7A62"/>
    <w:rsid w:val="26D8DFD4"/>
    <w:rsid w:val="27734A22"/>
    <w:rsid w:val="27A6626F"/>
    <w:rsid w:val="280EC12C"/>
    <w:rsid w:val="2817140C"/>
    <w:rsid w:val="28284213"/>
    <w:rsid w:val="2A05B599"/>
    <w:rsid w:val="2A6DE07B"/>
    <w:rsid w:val="2AD9F22F"/>
    <w:rsid w:val="2BC4EE87"/>
    <w:rsid w:val="2CDE7A2D"/>
    <w:rsid w:val="2CFC9453"/>
    <w:rsid w:val="2D9B32A6"/>
    <w:rsid w:val="2E49AE78"/>
    <w:rsid w:val="2E850CBD"/>
    <w:rsid w:val="2F0A2572"/>
    <w:rsid w:val="2F635335"/>
    <w:rsid w:val="302BBE77"/>
    <w:rsid w:val="302D3F8B"/>
    <w:rsid w:val="30697AA5"/>
    <w:rsid w:val="30816402"/>
    <w:rsid w:val="30D5697B"/>
    <w:rsid w:val="30F04951"/>
    <w:rsid w:val="314085DC"/>
    <w:rsid w:val="31BA9522"/>
    <w:rsid w:val="31DB6C2C"/>
    <w:rsid w:val="31E52AD8"/>
    <w:rsid w:val="31EB12E5"/>
    <w:rsid w:val="32082CDF"/>
    <w:rsid w:val="3245E9D1"/>
    <w:rsid w:val="33129840"/>
    <w:rsid w:val="3335BBD1"/>
    <w:rsid w:val="34800296"/>
    <w:rsid w:val="3495AE98"/>
    <w:rsid w:val="349670E4"/>
    <w:rsid w:val="35BEF399"/>
    <w:rsid w:val="35C2E160"/>
    <w:rsid w:val="364F8374"/>
    <w:rsid w:val="36FF01E0"/>
    <w:rsid w:val="37B91FEE"/>
    <w:rsid w:val="38D1B09F"/>
    <w:rsid w:val="38DEA66B"/>
    <w:rsid w:val="3916D509"/>
    <w:rsid w:val="3925D9A1"/>
    <w:rsid w:val="39E64E03"/>
    <w:rsid w:val="3A6FA961"/>
    <w:rsid w:val="3ACE268B"/>
    <w:rsid w:val="3B673E8D"/>
    <w:rsid w:val="3C26E5D0"/>
    <w:rsid w:val="3C3BDA60"/>
    <w:rsid w:val="3CA60B79"/>
    <w:rsid w:val="3CE73168"/>
    <w:rsid w:val="3DF8542C"/>
    <w:rsid w:val="3E84CA4B"/>
    <w:rsid w:val="3EAFAA10"/>
    <w:rsid w:val="3EEEC718"/>
    <w:rsid w:val="3F31BF64"/>
    <w:rsid w:val="3F66DF37"/>
    <w:rsid w:val="3FA412AD"/>
    <w:rsid w:val="403EF78A"/>
    <w:rsid w:val="404FFD1D"/>
    <w:rsid w:val="430680D4"/>
    <w:rsid w:val="430B1675"/>
    <w:rsid w:val="450D7191"/>
    <w:rsid w:val="456E2746"/>
    <w:rsid w:val="45DED44B"/>
    <w:rsid w:val="460D8C84"/>
    <w:rsid w:val="46707397"/>
    <w:rsid w:val="46F25864"/>
    <w:rsid w:val="477855AB"/>
    <w:rsid w:val="47DBC5F4"/>
    <w:rsid w:val="48163224"/>
    <w:rsid w:val="4837B63E"/>
    <w:rsid w:val="4855DDEC"/>
    <w:rsid w:val="4917E216"/>
    <w:rsid w:val="49288AA4"/>
    <w:rsid w:val="495B6912"/>
    <w:rsid w:val="49BC46E6"/>
    <w:rsid w:val="4A48E502"/>
    <w:rsid w:val="4AA1ED61"/>
    <w:rsid w:val="4AA2BFEB"/>
    <w:rsid w:val="4AB1CC8B"/>
    <w:rsid w:val="4B5D3309"/>
    <w:rsid w:val="4BE07602"/>
    <w:rsid w:val="4CA17039"/>
    <w:rsid w:val="4D7F94EC"/>
    <w:rsid w:val="4DABAC40"/>
    <w:rsid w:val="4DB3DF04"/>
    <w:rsid w:val="4DDB0309"/>
    <w:rsid w:val="4DDECC52"/>
    <w:rsid w:val="4E347E83"/>
    <w:rsid w:val="4E353E83"/>
    <w:rsid w:val="4E940D90"/>
    <w:rsid w:val="4F396903"/>
    <w:rsid w:val="4FA0265A"/>
    <w:rsid w:val="500C9B8F"/>
    <w:rsid w:val="50274945"/>
    <w:rsid w:val="50B92C29"/>
    <w:rsid w:val="50BBB5E7"/>
    <w:rsid w:val="50BDB35E"/>
    <w:rsid w:val="512A003F"/>
    <w:rsid w:val="516DE66D"/>
    <w:rsid w:val="5191FBD9"/>
    <w:rsid w:val="5249BBB9"/>
    <w:rsid w:val="5280316E"/>
    <w:rsid w:val="52BA9407"/>
    <w:rsid w:val="53A7A6C3"/>
    <w:rsid w:val="53EEB8C9"/>
    <w:rsid w:val="547567E3"/>
    <w:rsid w:val="550E48E7"/>
    <w:rsid w:val="557D1134"/>
    <w:rsid w:val="56596BC6"/>
    <w:rsid w:val="56A75380"/>
    <w:rsid w:val="590B4D12"/>
    <w:rsid w:val="592237A3"/>
    <w:rsid w:val="59980C50"/>
    <w:rsid w:val="59F70394"/>
    <w:rsid w:val="5A51F8CC"/>
    <w:rsid w:val="5B498770"/>
    <w:rsid w:val="5B5760B0"/>
    <w:rsid w:val="5B741E60"/>
    <w:rsid w:val="5B788B4C"/>
    <w:rsid w:val="5B882584"/>
    <w:rsid w:val="5C198C40"/>
    <w:rsid w:val="5CA01DAC"/>
    <w:rsid w:val="5CA3A712"/>
    <w:rsid w:val="5CC63FE9"/>
    <w:rsid w:val="5D35196C"/>
    <w:rsid w:val="5D3C852E"/>
    <w:rsid w:val="5E03A214"/>
    <w:rsid w:val="5E7DCA83"/>
    <w:rsid w:val="6196388D"/>
    <w:rsid w:val="620B18AE"/>
    <w:rsid w:val="62313CC7"/>
    <w:rsid w:val="63365415"/>
    <w:rsid w:val="63EDF4DD"/>
    <w:rsid w:val="63F84288"/>
    <w:rsid w:val="640EB0FA"/>
    <w:rsid w:val="644872B5"/>
    <w:rsid w:val="64CCF4D1"/>
    <w:rsid w:val="65B329F0"/>
    <w:rsid w:val="65F09FF8"/>
    <w:rsid w:val="6612A921"/>
    <w:rsid w:val="6667EA3D"/>
    <w:rsid w:val="66AFCFA2"/>
    <w:rsid w:val="66C94FB6"/>
    <w:rsid w:val="67748BD6"/>
    <w:rsid w:val="6789AA63"/>
    <w:rsid w:val="69092272"/>
    <w:rsid w:val="69853CBE"/>
    <w:rsid w:val="69C1C064"/>
    <w:rsid w:val="69C60032"/>
    <w:rsid w:val="69C833AA"/>
    <w:rsid w:val="6A411F4A"/>
    <w:rsid w:val="6AC19532"/>
    <w:rsid w:val="6AC91697"/>
    <w:rsid w:val="6AFCA163"/>
    <w:rsid w:val="6AFEEC5F"/>
    <w:rsid w:val="6B41620C"/>
    <w:rsid w:val="6BE075DD"/>
    <w:rsid w:val="6C2B5A72"/>
    <w:rsid w:val="6C3E3DE5"/>
    <w:rsid w:val="6C51319C"/>
    <w:rsid w:val="6C6AED1F"/>
    <w:rsid w:val="6CF19BC8"/>
    <w:rsid w:val="6D2817C8"/>
    <w:rsid w:val="6D525ACD"/>
    <w:rsid w:val="6D60CBFA"/>
    <w:rsid w:val="6D66FE8B"/>
    <w:rsid w:val="6D757224"/>
    <w:rsid w:val="6E7B61BA"/>
    <w:rsid w:val="6EAB6270"/>
    <w:rsid w:val="6EC02F61"/>
    <w:rsid w:val="6EE78C0A"/>
    <w:rsid w:val="6F1A2C09"/>
    <w:rsid w:val="6F2D68F4"/>
    <w:rsid w:val="6F2F1D43"/>
    <w:rsid w:val="6FCF368F"/>
    <w:rsid w:val="7040127B"/>
    <w:rsid w:val="704F1973"/>
    <w:rsid w:val="709E1000"/>
    <w:rsid w:val="711FA24F"/>
    <w:rsid w:val="73B22ADA"/>
    <w:rsid w:val="73CE1642"/>
    <w:rsid w:val="7445A6C6"/>
    <w:rsid w:val="7463705B"/>
    <w:rsid w:val="74687805"/>
    <w:rsid w:val="74AA12B2"/>
    <w:rsid w:val="7595A95E"/>
    <w:rsid w:val="75D948AC"/>
    <w:rsid w:val="76DDE0D2"/>
    <w:rsid w:val="77A91870"/>
    <w:rsid w:val="78394C23"/>
    <w:rsid w:val="78CDD94E"/>
    <w:rsid w:val="78D2A164"/>
    <w:rsid w:val="798568D1"/>
    <w:rsid w:val="7AE4C6DB"/>
    <w:rsid w:val="7AFE8734"/>
    <w:rsid w:val="7B80DAE2"/>
    <w:rsid w:val="7BB68E6F"/>
    <w:rsid w:val="7BC14F35"/>
    <w:rsid w:val="7BDF36BA"/>
    <w:rsid w:val="7C5F008F"/>
    <w:rsid w:val="7CDD5A37"/>
    <w:rsid w:val="7ED3C147"/>
    <w:rsid w:val="7EF3624C"/>
    <w:rsid w:val="7F34C857"/>
    <w:rsid w:val="7F7673DB"/>
    <w:rsid w:val="7FB078FE"/>
    <w:rsid w:val="7FE8BA9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40C2A9"/>
  <w15:docId w15:val="{E2747ABC-DFFF-4EFC-8F22-672040031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0856"/>
    <w:pPr>
      <w:tabs>
        <w:tab w:val="left" w:pos="567"/>
      </w:tabs>
      <w:spacing w:before="120" w:after="0" w:line="254" w:lineRule="auto"/>
    </w:pPr>
    <w:rPr>
      <w:rFonts w:ascii="Open Sans Light" w:hAnsi="Open Sans Light"/>
      <w:sz w:val="20"/>
    </w:rPr>
  </w:style>
  <w:style w:type="paragraph" w:styleId="Heading1">
    <w:name w:val="heading 1"/>
    <w:basedOn w:val="Normal"/>
    <w:next w:val="Normal"/>
    <w:link w:val="Heading1Char"/>
    <w:uiPriority w:val="9"/>
    <w:qFormat/>
    <w:rsid w:val="002B274C"/>
    <w:pPr>
      <w:tabs>
        <w:tab w:val="clear" w:pos="567"/>
      </w:tabs>
      <w:spacing w:before="360" w:after="200" w:line="276" w:lineRule="auto"/>
      <w:outlineLvl w:val="0"/>
    </w:pPr>
    <w:rPr>
      <w:rFonts w:ascii="Work Sans" w:eastAsia="Times New Roman" w:hAnsi="Work Sans" w:cs="Open Sans"/>
      <w:b/>
      <w:bCs/>
      <w:color w:val="006991"/>
      <w:sz w:val="40"/>
      <w:szCs w:val="40"/>
    </w:rPr>
  </w:style>
  <w:style w:type="paragraph" w:styleId="Heading2">
    <w:name w:val="heading 2"/>
    <w:aliases w:val="CGC 2025 Heading 2"/>
    <w:basedOn w:val="Normal"/>
    <w:next w:val="Heading3"/>
    <w:link w:val="Heading2Char"/>
    <w:uiPriority w:val="9"/>
    <w:qFormat/>
    <w:rsid w:val="007C4D64"/>
    <w:pPr>
      <w:tabs>
        <w:tab w:val="clear" w:pos="567"/>
      </w:tabs>
      <w:spacing w:before="360" w:after="200" w:line="276" w:lineRule="auto"/>
      <w:outlineLvl w:val="1"/>
    </w:pPr>
    <w:rPr>
      <w:rFonts w:ascii="Work Sans" w:eastAsia="Times New Roman" w:hAnsi="Work Sans" w:cs="Open Sans"/>
      <w:b/>
      <w:bCs/>
      <w:color w:val="006991"/>
      <w:sz w:val="36"/>
      <w:szCs w:val="36"/>
    </w:rPr>
  </w:style>
  <w:style w:type="paragraph" w:styleId="Heading3">
    <w:name w:val="heading 3"/>
    <w:aliases w:val="CGC 2025 Heading 3"/>
    <w:basedOn w:val="Normal"/>
    <w:next w:val="Heading4"/>
    <w:link w:val="Heading3Char"/>
    <w:uiPriority w:val="9"/>
    <w:qFormat/>
    <w:rsid w:val="009A2C92"/>
    <w:pPr>
      <w:tabs>
        <w:tab w:val="clear" w:pos="567"/>
      </w:tabs>
      <w:spacing w:before="240" w:after="200" w:line="276" w:lineRule="auto"/>
      <w:outlineLvl w:val="2"/>
    </w:pPr>
    <w:rPr>
      <w:rFonts w:ascii="Work Sans" w:eastAsia="Times New Roman" w:hAnsi="Work Sans" w:cs="Open Sans"/>
      <w:b/>
      <w:bCs/>
      <w:color w:val="006991"/>
      <w:sz w:val="28"/>
      <w:szCs w:val="28"/>
    </w:rPr>
  </w:style>
  <w:style w:type="paragraph" w:styleId="Heading4">
    <w:name w:val="heading 4"/>
    <w:aliases w:val="CGC 2025 Heading 4"/>
    <w:basedOn w:val="Normal"/>
    <w:next w:val="Heading5"/>
    <w:link w:val="Heading4Char"/>
    <w:uiPriority w:val="9"/>
    <w:qFormat/>
    <w:rsid w:val="00BD6EEE"/>
    <w:pPr>
      <w:keepNext/>
      <w:widowControl w:val="0"/>
      <w:spacing w:before="240" w:line="240" w:lineRule="auto"/>
      <w:outlineLvl w:val="3"/>
    </w:pPr>
    <w:rPr>
      <w:rFonts w:ascii="Work Sans" w:eastAsiaTheme="majorEastAsia" w:hAnsi="Work Sans" w:cstheme="majorBidi"/>
      <w:b/>
      <w:bCs/>
      <w:iCs/>
      <w:color w:val="006991"/>
      <w:sz w:val="24"/>
    </w:rPr>
  </w:style>
  <w:style w:type="paragraph" w:styleId="Heading5">
    <w:name w:val="heading 5"/>
    <w:aliases w:val="CGC 2025 Heading 5"/>
    <w:basedOn w:val="Normal"/>
    <w:next w:val="Heading6"/>
    <w:link w:val="Heading5Char"/>
    <w:uiPriority w:val="9"/>
    <w:qFormat/>
    <w:rsid w:val="00BD13E7"/>
    <w:pPr>
      <w:keepNext/>
      <w:tabs>
        <w:tab w:val="clear" w:pos="567"/>
      </w:tabs>
      <w:outlineLvl w:val="4"/>
    </w:pPr>
    <w:rPr>
      <w:rFonts w:ascii="Montserrat Semi Bold" w:eastAsiaTheme="majorEastAsia" w:hAnsi="Montserrat Semi Bold" w:cstheme="majorBidi"/>
      <w:color w:val="636466"/>
    </w:rPr>
  </w:style>
  <w:style w:type="paragraph" w:styleId="Heading6">
    <w:name w:val="heading 6"/>
    <w:basedOn w:val="Normal"/>
    <w:next w:val="Normal"/>
    <w:link w:val="Heading6Char"/>
    <w:uiPriority w:val="9"/>
    <w:qFormat/>
    <w:rsid w:val="00782EC4"/>
    <w:pPr>
      <w:keepNext/>
      <w:keepLines/>
      <w:outlineLvl w:val="5"/>
    </w:pPr>
    <w:rPr>
      <w:rFonts w:ascii="Montserrat Semi Bold" w:eastAsiaTheme="majorEastAsia" w:hAnsi="Montserrat Semi Bold" w:cstheme="majorBidi"/>
      <w:i/>
      <w:iCs/>
      <w:color w:val="636466"/>
    </w:rPr>
  </w:style>
  <w:style w:type="paragraph" w:styleId="Heading7">
    <w:name w:val="heading 7"/>
    <w:basedOn w:val="Normal"/>
    <w:next w:val="Normal"/>
    <w:link w:val="Heading7Char"/>
    <w:uiPriority w:val="9"/>
    <w:semiHidden/>
    <w:rsid w:val="00622669"/>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aliases w:val="(Do not use),(Sub-section Nos)"/>
    <w:basedOn w:val="Normal"/>
    <w:next w:val="Normal"/>
    <w:semiHidden/>
    <w:rsid w:val="00765BA8"/>
    <w:pPr>
      <w:numPr>
        <w:ilvl w:val="7"/>
        <w:numId w:val="1"/>
      </w:numPr>
      <w:spacing w:before="240" w:after="60"/>
      <w:outlineLvl w:val="7"/>
    </w:pPr>
    <w:rPr>
      <w:rFonts w:ascii="Arial" w:hAnsi="Arial"/>
      <w:i/>
      <w:szCs w:val="20"/>
    </w:rPr>
  </w:style>
  <w:style w:type="paragraph" w:styleId="Heading9">
    <w:name w:val="heading 9"/>
    <w:aliases w:val="Heading 9 (Do not use),(Subsubsection Nos)"/>
    <w:basedOn w:val="Normal"/>
    <w:next w:val="Normal"/>
    <w:semiHidden/>
    <w:rsid w:val="00765BA8"/>
    <w:pPr>
      <w:numPr>
        <w:ilvl w:val="8"/>
        <w:numId w:val="1"/>
      </w:numPr>
      <w:spacing w:before="240" w:after="60"/>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GCTableheader">
    <w:name w:val="CGC Table header"/>
    <w:basedOn w:val="Normal"/>
    <w:next w:val="Normal"/>
    <w:rsid w:val="00F74B4B"/>
    <w:pPr>
      <w:tabs>
        <w:tab w:val="left" w:pos="680"/>
      </w:tabs>
      <w:spacing w:before="0" w:line="240" w:lineRule="auto"/>
      <w:jc w:val="right"/>
    </w:pPr>
    <w:rPr>
      <w:rFonts w:ascii="Open Sans" w:hAnsi="Open Sans"/>
      <w:b/>
      <w:color w:val="FFFFFF" w:themeColor="background1"/>
      <w:sz w:val="16"/>
      <w:lang w:val="en-US"/>
    </w:rPr>
  </w:style>
  <w:style w:type="paragraph" w:styleId="Caption">
    <w:name w:val="caption"/>
    <w:basedOn w:val="Normal"/>
    <w:next w:val="Normal"/>
    <w:link w:val="CaptionChar"/>
    <w:uiPriority w:val="35"/>
    <w:qFormat/>
    <w:rsid w:val="00485F13"/>
    <w:pPr>
      <w:keepNext/>
      <w:keepLines/>
      <w:tabs>
        <w:tab w:val="clear" w:pos="567"/>
        <w:tab w:val="left" w:pos="1134"/>
        <w:tab w:val="left" w:pos="1418"/>
      </w:tabs>
      <w:spacing w:before="240" w:after="120" w:line="240" w:lineRule="auto"/>
      <w:ind w:left="1134" w:hanging="1134"/>
    </w:pPr>
    <w:rPr>
      <w:rFonts w:ascii="Montserrat Ultra Light" w:hAnsi="Montserrat Ultra Light"/>
      <w:b/>
      <w:bCs/>
      <w:szCs w:val="20"/>
    </w:rPr>
  </w:style>
  <w:style w:type="paragraph" w:customStyle="1" w:styleId="CGCSubbulletlist">
    <w:name w:val="CGC Sub bullet list"/>
    <w:aliases w:val="CGC List 2"/>
    <w:basedOn w:val="Normal"/>
    <w:rsid w:val="00C21EF9"/>
    <w:pPr>
      <w:numPr>
        <w:numId w:val="2"/>
      </w:numPr>
      <w:tabs>
        <w:tab w:val="clear" w:pos="567"/>
        <w:tab w:val="clear" w:pos="927"/>
        <w:tab w:val="left" w:pos="1701"/>
      </w:tabs>
      <w:spacing w:line="300" w:lineRule="atLeast"/>
      <w:ind w:left="1701" w:hanging="567"/>
    </w:pPr>
    <w:rPr>
      <w:szCs w:val="20"/>
    </w:rPr>
  </w:style>
  <w:style w:type="paragraph" w:customStyle="1" w:styleId="CGCTableFootnote">
    <w:name w:val="CGC Table Footnote"/>
    <w:basedOn w:val="Normal"/>
    <w:next w:val="NoSpacing"/>
    <w:rsid w:val="00641D96"/>
    <w:pPr>
      <w:tabs>
        <w:tab w:val="clear" w:pos="567"/>
        <w:tab w:val="left" w:pos="851"/>
      </w:tabs>
      <w:spacing w:before="0" w:line="240" w:lineRule="auto"/>
      <w:ind w:left="851" w:hanging="851"/>
    </w:pPr>
    <w:rPr>
      <w:szCs w:val="24"/>
    </w:rPr>
  </w:style>
  <w:style w:type="paragraph" w:customStyle="1" w:styleId="CGCTableHeading">
    <w:name w:val="CGC Table Heading"/>
    <w:basedOn w:val="Normal"/>
    <w:next w:val="Normal"/>
    <w:link w:val="CGCTableHeadingChar"/>
    <w:rsid w:val="00FE5C60"/>
    <w:pPr>
      <w:keepNext/>
      <w:keepLines/>
      <w:tabs>
        <w:tab w:val="clear" w:pos="567"/>
        <w:tab w:val="left" w:pos="1134"/>
        <w:tab w:val="left" w:pos="1420"/>
      </w:tabs>
      <w:spacing w:before="240" w:after="120" w:line="240" w:lineRule="auto"/>
    </w:pPr>
    <w:rPr>
      <w:rFonts w:ascii="Montserrat Ultra Light" w:hAnsi="Montserrat Ultra Light"/>
      <w:b/>
      <w:szCs w:val="20"/>
    </w:rPr>
  </w:style>
  <w:style w:type="paragraph" w:styleId="DocumentMap">
    <w:name w:val="Document Map"/>
    <w:basedOn w:val="Normal"/>
    <w:rsid w:val="00765BA8"/>
    <w:pPr>
      <w:shd w:val="clear" w:color="auto" w:fill="000080"/>
    </w:pPr>
    <w:rPr>
      <w:rFonts w:ascii="Tahoma" w:hAnsi="Tahoma" w:cs="Tahoma"/>
      <w:szCs w:val="20"/>
    </w:rPr>
  </w:style>
  <w:style w:type="paragraph" w:styleId="Footer">
    <w:name w:val="footer"/>
    <w:basedOn w:val="Normal"/>
    <w:link w:val="FooterChar"/>
    <w:uiPriority w:val="99"/>
    <w:unhideWhenUsed/>
    <w:rsid w:val="007A1785"/>
    <w:pPr>
      <w:tabs>
        <w:tab w:val="clear" w:pos="567"/>
        <w:tab w:val="center" w:pos="4513"/>
        <w:tab w:val="right" w:pos="9026"/>
      </w:tabs>
      <w:spacing w:before="0" w:line="240" w:lineRule="auto"/>
      <w:ind w:left="-284" w:right="-284"/>
      <w:jc w:val="right"/>
    </w:pPr>
    <w:rPr>
      <w:rFonts w:ascii="Montserrat Ultra Light" w:hAnsi="Montserrat Ultra Light"/>
      <w:b/>
      <w:color w:val="004563"/>
    </w:rPr>
  </w:style>
  <w:style w:type="character" w:styleId="FootnoteReference">
    <w:name w:val="footnote reference"/>
    <w:qFormat/>
    <w:rsid w:val="0026115B"/>
    <w:rPr>
      <w:rFonts w:ascii="Work Sans" w:hAnsi="Work Sans"/>
      <w:sz w:val="20"/>
      <w:szCs w:val="20"/>
      <w:vertAlign w:val="superscript"/>
    </w:rPr>
  </w:style>
  <w:style w:type="paragraph" w:styleId="FootnoteText">
    <w:name w:val="footnote text"/>
    <w:basedOn w:val="Normal"/>
    <w:link w:val="FootnoteTextChar"/>
    <w:autoRedefine/>
    <w:qFormat/>
    <w:rsid w:val="00FA0856"/>
    <w:pPr>
      <w:spacing w:before="40" w:line="240" w:lineRule="auto"/>
      <w:ind w:left="142" w:hanging="142"/>
    </w:pPr>
    <w:rPr>
      <w:rFonts w:ascii="Work Sans" w:hAnsi="Work Sans"/>
      <w:sz w:val="14"/>
      <w:szCs w:val="16"/>
    </w:rPr>
  </w:style>
  <w:style w:type="paragraph" w:styleId="Header">
    <w:name w:val="header"/>
    <w:basedOn w:val="Footer"/>
    <w:link w:val="HeaderChar"/>
    <w:uiPriority w:val="99"/>
    <w:unhideWhenUsed/>
    <w:rsid w:val="007A1785"/>
  </w:style>
  <w:style w:type="character" w:styleId="Hyperlink">
    <w:name w:val="Hyperlink"/>
    <w:basedOn w:val="DefaultParagraphFont"/>
    <w:uiPriority w:val="99"/>
    <w:unhideWhenUsed/>
    <w:qFormat/>
    <w:rsid w:val="00782EC4"/>
    <w:rPr>
      <w:color w:val="006991"/>
      <w:u w:val="single"/>
    </w:rPr>
  </w:style>
  <w:style w:type="character" w:styleId="PageNumber">
    <w:name w:val="page number"/>
    <w:basedOn w:val="DefaultParagraphFont"/>
    <w:rsid w:val="00765BA8"/>
  </w:style>
  <w:style w:type="paragraph" w:customStyle="1" w:styleId="Single">
    <w:name w:val="Single"/>
    <w:basedOn w:val="Normal"/>
    <w:next w:val="Normal"/>
    <w:rsid w:val="00765BA8"/>
    <w:pPr>
      <w:spacing w:line="240" w:lineRule="auto"/>
    </w:pPr>
  </w:style>
  <w:style w:type="table" w:styleId="TableGrid">
    <w:name w:val="Table Grid"/>
    <w:basedOn w:val="TableNormal"/>
    <w:uiPriority w:val="39"/>
    <w:rsid w:val="006226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uiPriority w:val="39"/>
    <w:rsid w:val="00485F13"/>
    <w:pPr>
      <w:tabs>
        <w:tab w:val="clear" w:pos="567"/>
        <w:tab w:val="right" w:pos="8942"/>
      </w:tabs>
      <w:spacing w:before="200"/>
      <w:ind w:left="113"/>
    </w:pPr>
    <w:rPr>
      <w:rFonts w:ascii="Open Sans" w:hAnsi="Open Sans"/>
      <w:b/>
      <w:bCs/>
      <w:color w:val="636466"/>
      <w:szCs w:val="20"/>
    </w:rPr>
  </w:style>
  <w:style w:type="paragraph" w:styleId="TOC2">
    <w:name w:val="toc 2"/>
    <w:basedOn w:val="TOC1"/>
    <w:next w:val="Normal"/>
    <w:uiPriority w:val="39"/>
    <w:rsid w:val="00EB6889"/>
    <w:pPr>
      <w:spacing w:before="120"/>
    </w:pPr>
    <w:rPr>
      <w:rFonts w:ascii="Work Sans" w:hAnsi="Work Sans"/>
      <w:b w:val="0"/>
    </w:rPr>
  </w:style>
  <w:style w:type="paragraph" w:styleId="TOC3">
    <w:name w:val="toc 3"/>
    <w:basedOn w:val="TOC2"/>
    <w:next w:val="Normal"/>
    <w:uiPriority w:val="39"/>
    <w:rsid w:val="00485F13"/>
    <w:pPr>
      <w:ind w:left="397"/>
    </w:pPr>
    <w:rPr>
      <w:rFonts w:ascii="Open Sans Light" w:hAnsi="Open Sans Light"/>
      <w:iCs/>
    </w:rPr>
  </w:style>
  <w:style w:type="paragraph" w:styleId="TOC4">
    <w:name w:val="toc 4"/>
    <w:basedOn w:val="TOC3"/>
    <w:next w:val="Normal"/>
    <w:uiPriority w:val="39"/>
    <w:rsid w:val="00FE5C60"/>
    <w:pPr>
      <w:ind w:left="680"/>
    </w:pPr>
    <w:rPr>
      <w:i/>
    </w:rPr>
  </w:style>
  <w:style w:type="paragraph" w:styleId="TOC5">
    <w:name w:val="toc 5"/>
    <w:basedOn w:val="TOC3"/>
    <w:next w:val="Normal"/>
    <w:uiPriority w:val="39"/>
    <w:rsid w:val="007A1785"/>
    <w:pPr>
      <w:spacing w:before="0"/>
      <w:ind w:left="964"/>
    </w:pPr>
    <w:rPr>
      <w:szCs w:val="18"/>
    </w:rPr>
  </w:style>
  <w:style w:type="paragraph" w:styleId="TOC6">
    <w:name w:val="toc 6"/>
    <w:basedOn w:val="TOC5"/>
    <w:next w:val="Normal"/>
    <w:uiPriority w:val="39"/>
    <w:rsid w:val="007A1785"/>
    <w:rPr>
      <w:i/>
    </w:rPr>
  </w:style>
  <w:style w:type="paragraph" w:styleId="TOC7">
    <w:name w:val="toc 7"/>
    <w:basedOn w:val="Normal"/>
    <w:next w:val="Normal"/>
    <w:rsid w:val="00765BA8"/>
    <w:pPr>
      <w:tabs>
        <w:tab w:val="clear" w:pos="567"/>
      </w:tabs>
      <w:ind w:left="1320"/>
    </w:pPr>
    <w:rPr>
      <w:sz w:val="18"/>
      <w:szCs w:val="18"/>
    </w:rPr>
  </w:style>
  <w:style w:type="paragraph" w:styleId="TOC8">
    <w:name w:val="toc 8"/>
    <w:basedOn w:val="Normal"/>
    <w:next w:val="Normal"/>
    <w:rsid w:val="00765BA8"/>
    <w:pPr>
      <w:tabs>
        <w:tab w:val="clear" w:pos="567"/>
      </w:tabs>
      <w:ind w:left="1540"/>
    </w:pPr>
    <w:rPr>
      <w:sz w:val="18"/>
      <w:szCs w:val="18"/>
    </w:rPr>
  </w:style>
  <w:style w:type="paragraph" w:styleId="TOC9">
    <w:name w:val="toc 9"/>
    <w:basedOn w:val="Normal"/>
    <w:next w:val="Normal"/>
    <w:rsid w:val="00765BA8"/>
    <w:pPr>
      <w:tabs>
        <w:tab w:val="clear" w:pos="567"/>
      </w:tabs>
      <w:ind w:left="1760"/>
    </w:pPr>
    <w:rPr>
      <w:sz w:val="18"/>
      <w:szCs w:val="18"/>
    </w:rPr>
  </w:style>
  <w:style w:type="character" w:customStyle="1" w:styleId="Heading1Char">
    <w:name w:val="Heading 1 Char"/>
    <w:basedOn w:val="DefaultParagraphFont"/>
    <w:link w:val="Heading1"/>
    <w:uiPriority w:val="9"/>
    <w:rsid w:val="002B274C"/>
    <w:rPr>
      <w:rFonts w:ascii="Work Sans" w:eastAsia="Times New Roman" w:hAnsi="Work Sans" w:cs="Open Sans"/>
      <w:b/>
      <w:bCs/>
      <w:color w:val="006991"/>
      <w:sz w:val="40"/>
      <w:szCs w:val="40"/>
    </w:rPr>
  </w:style>
  <w:style w:type="character" w:customStyle="1" w:styleId="Heading2Char">
    <w:name w:val="Heading 2 Char"/>
    <w:aliases w:val="CGC 2025 Heading 2 Char"/>
    <w:basedOn w:val="DefaultParagraphFont"/>
    <w:link w:val="Heading2"/>
    <w:uiPriority w:val="9"/>
    <w:rsid w:val="007C4D64"/>
    <w:rPr>
      <w:rFonts w:ascii="Work Sans" w:eastAsia="Times New Roman" w:hAnsi="Work Sans" w:cs="Open Sans"/>
      <w:b/>
      <w:bCs/>
      <w:color w:val="006991"/>
      <w:sz w:val="36"/>
      <w:szCs w:val="36"/>
    </w:rPr>
  </w:style>
  <w:style w:type="character" w:customStyle="1" w:styleId="Heading3Char">
    <w:name w:val="Heading 3 Char"/>
    <w:aliases w:val="CGC 2025 Heading 3 Char"/>
    <w:basedOn w:val="DefaultParagraphFont"/>
    <w:link w:val="Heading3"/>
    <w:uiPriority w:val="9"/>
    <w:rsid w:val="009A2C92"/>
    <w:rPr>
      <w:rFonts w:ascii="Work Sans" w:eastAsia="Times New Roman" w:hAnsi="Work Sans" w:cs="Open Sans"/>
      <w:b/>
      <w:bCs/>
      <w:color w:val="006991"/>
      <w:sz w:val="28"/>
      <w:szCs w:val="28"/>
    </w:rPr>
  </w:style>
  <w:style w:type="character" w:customStyle="1" w:styleId="Heading4Char">
    <w:name w:val="Heading 4 Char"/>
    <w:aliases w:val="CGC 2025 Heading 4 Char"/>
    <w:basedOn w:val="DefaultParagraphFont"/>
    <w:link w:val="Heading4"/>
    <w:uiPriority w:val="9"/>
    <w:rsid w:val="00BD6EEE"/>
    <w:rPr>
      <w:rFonts w:ascii="Work Sans" w:eastAsiaTheme="majorEastAsia" w:hAnsi="Work Sans" w:cstheme="majorBidi"/>
      <w:b/>
      <w:bCs/>
      <w:iCs/>
      <w:color w:val="006991"/>
      <w:sz w:val="24"/>
    </w:rPr>
  </w:style>
  <w:style w:type="character" w:customStyle="1" w:styleId="Heading5Char">
    <w:name w:val="Heading 5 Char"/>
    <w:aliases w:val="CGC 2025 Heading 5 Char"/>
    <w:basedOn w:val="DefaultParagraphFont"/>
    <w:link w:val="Heading5"/>
    <w:uiPriority w:val="9"/>
    <w:rsid w:val="00BD13E7"/>
    <w:rPr>
      <w:rFonts w:ascii="Montserrat Semi Bold" w:eastAsiaTheme="majorEastAsia" w:hAnsi="Montserrat Semi Bold" w:cstheme="majorBidi"/>
      <w:color w:val="636466"/>
      <w:sz w:val="20"/>
    </w:rPr>
  </w:style>
  <w:style w:type="paragraph" w:styleId="NoSpacing">
    <w:name w:val="No Spacing"/>
    <w:link w:val="NoSpacingChar"/>
    <w:uiPriority w:val="1"/>
    <w:qFormat/>
    <w:rsid w:val="00782EC4"/>
    <w:pPr>
      <w:tabs>
        <w:tab w:val="left" w:pos="567"/>
      </w:tabs>
      <w:spacing w:after="0" w:line="240" w:lineRule="auto"/>
    </w:pPr>
    <w:rPr>
      <w:sz w:val="24"/>
    </w:rPr>
  </w:style>
  <w:style w:type="character" w:customStyle="1" w:styleId="NoSpacingChar">
    <w:name w:val="No Spacing Char"/>
    <w:basedOn w:val="DefaultParagraphFont"/>
    <w:link w:val="NoSpacing"/>
    <w:uiPriority w:val="1"/>
    <w:rsid w:val="00782EC4"/>
    <w:rPr>
      <w:sz w:val="24"/>
    </w:rPr>
  </w:style>
  <w:style w:type="paragraph" w:styleId="ListParagraph">
    <w:name w:val="List Paragraph"/>
    <w:basedOn w:val="Normal"/>
    <w:link w:val="ListParagraphChar"/>
    <w:uiPriority w:val="34"/>
    <w:qFormat/>
    <w:rsid w:val="00622669"/>
    <w:pPr>
      <w:ind w:left="720"/>
      <w:contextualSpacing/>
    </w:pPr>
  </w:style>
  <w:style w:type="paragraph" w:styleId="TOCHeading">
    <w:name w:val="TOC Heading"/>
    <w:aliases w:val="CGC 2025 TOC Heading"/>
    <w:basedOn w:val="Heading1"/>
    <w:next w:val="Normal"/>
    <w:uiPriority w:val="39"/>
    <w:unhideWhenUsed/>
    <w:qFormat/>
    <w:rsid w:val="00032318"/>
    <w:pPr>
      <w:keepLines/>
      <w:spacing w:before="480" w:line="320" w:lineRule="atLeast"/>
      <w:outlineLvl w:val="9"/>
    </w:pPr>
    <w:rPr>
      <w:caps/>
      <w:color w:val="365F91" w:themeColor="accent1" w:themeShade="BF"/>
      <w:sz w:val="28"/>
    </w:rPr>
  </w:style>
  <w:style w:type="character" w:customStyle="1" w:styleId="FooterChar">
    <w:name w:val="Footer Char"/>
    <w:basedOn w:val="DefaultParagraphFont"/>
    <w:link w:val="Footer"/>
    <w:uiPriority w:val="99"/>
    <w:rsid w:val="007A1785"/>
    <w:rPr>
      <w:rFonts w:ascii="Montserrat Ultra Light" w:hAnsi="Montserrat Ultra Light"/>
      <w:b/>
      <w:color w:val="004563"/>
      <w:sz w:val="20"/>
    </w:rPr>
  </w:style>
  <w:style w:type="character" w:customStyle="1" w:styleId="HeaderChar">
    <w:name w:val="Header Char"/>
    <w:basedOn w:val="DefaultParagraphFont"/>
    <w:link w:val="Header"/>
    <w:uiPriority w:val="99"/>
    <w:rsid w:val="007A1785"/>
    <w:rPr>
      <w:rFonts w:ascii="Montserrat Ultra Light" w:hAnsi="Montserrat Ultra Light"/>
      <w:b/>
      <w:color w:val="004563"/>
      <w:sz w:val="20"/>
    </w:rPr>
  </w:style>
  <w:style w:type="paragraph" w:customStyle="1" w:styleId="CGCDataCaption">
    <w:name w:val="CGC Data Caption"/>
    <w:basedOn w:val="CGCTableFootnote"/>
    <w:next w:val="NoSpacing"/>
    <w:link w:val="DataCaptionChar"/>
    <w:rsid w:val="00622669"/>
  </w:style>
  <w:style w:type="character" w:customStyle="1" w:styleId="CaptionChar">
    <w:name w:val="Caption Char"/>
    <w:basedOn w:val="DefaultParagraphFont"/>
    <w:link w:val="Caption"/>
    <w:uiPriority w:val="35"/>
    <w:rsid w:val="00485F13"/>
    <w:rPr>
      <w:rFonts w:ascii="Montserrat Ultra Light" w:hAnsi="Montserrat Ultra Light"/>
      <w:b/>
      <w:bCs/>
      <w:sz w:val="20"/>
      <w:szCs w:val="20"/>
    </w:rPr>
  </w:style>
  <w:style w:type="character" w:customStyle="1" w:styleId="DataCaptionChar">
    <w:name w:val="Data Caption Char"/>
    <w:basedOn w:val="DefaultParagraphFont"/>
    <w:link w:val="CGCDataCaption"/>
    <w:rsid w:val="00622669"/>
    <w:rPr>
      <w:sz w:val="20"/>
      <w:szCs w:val="24"/>
    </w:rPr>
  </w:style>
  <w:style w:type="character" w:customStyle="1" w:styleId="FootnoteTextChar">
    <w:name w:val="Footnote Text Char"/>
    <w:basedOn w:val="DefaultParagraphFont"/>
    <w:link w:val="FootnoteText"/>
    <w:rsid w:val="00FA0856"/>
    <w:rPr>
      <w:rFonts w:ascii="Work Sans" w:hAnsi="Work Sans"/>
      <w:sz w:val="14"/>
      <w:szCs w:val="16"/>
    </w:rPr>
  </w:style>
  <w:style w:type="character" w:customStyle="1" w:styleId="Heading6Char">
    <w:name w:val="Heading 6 Char"/>
    <w:basedOn w:val="DefaultParagraphFont"/>
    <w:link w:val="Heading6"/>
    <w:uiPriority w:val="9"/>
    <w:rsid w:val="00782EC4"/>
    <w:rPr>
      <w:rFonts w:ascii="Montserrat Semi Bold" w:eastAsiaTheme="majorEastAsia" w:hAnsi="Montserrat Semi Bold" w:cstheme="majorBidi"/>
      <w:i/>
      <w:iCs/>
      <w:color w:val="636466"/>
      <w:sz w:val="20"/>
    </w:rPr>
  </w:style>
  <w:style w:type="character" w:customStyle="1" w:styleId="Heading7Char">
    <w:name w:val="Heading 7 Char"/>
    <w:basedOn w:val="DefaultParagraphFont"/>
    <w:link w:val="Heading7"/>
    <w:uiPriority w:val="9"/>
    <w:semiHidden/>
    <w:rsid w:val="00622669"/>
    <w:rPr>
      <w:rFonts w:asciiTheme="majorHAnsi" w:eastAsiaTheme="majorEastAsia" w:hAnsiTheme="majorHAnsi" w:cstheme="majorBidi"/>
      <w:i/>
      <w:iCs/>
      <w:color w:val="404040" w:themeColor="text1" w:themeTint="BF"/>
      <w:sz w:val="24"/>
    </w:rPr>
  </w:style>
  <w:style w:type="paragraph" w:customStyle="1" w:styleId="CGCParaNumber">
    <w:name w:val="CGC Para Number"/>
    <w:basedOn w:val="CGC2025ParaNumbers"/>
    <w:qFormat/>
    <w:rsid w:val="00F73F7C"/>
    <w:pPr>
      <w:numPr>
        <w:ilvl w:val="0"/>
        <w:numId w:val="0"/>
      </w:numPr>
      <w:tabs>
        <w:tab w:val="num" w:pos="567"/>
      </w:tabs>
      <w:ind w:left="567" w:hanging="567"/>
    </w:pPr>
  </w:style>
  <w:style w:type="paragraph" w:customStyle="1" w:styleId="CGC2025Bullet1">
    <w:name w:val="CGC 2025 Bullet 1"/>
    <w:basedOn w:val="Normal"/>
    <w:link w:val="CGC2025Bullet1Char"/>
    <w:qFormat/>
    <w:rsid w:val="00741A49"/>
    <w:pPr>
      <w:numPr>
        <w:numId w:val="3"/>
      </w:numPr>
      <w:spacing w:after="120"/>
      <w:ind w:left="924" w:hanging="357"/>
    </w:pPr>
    <w:rPr>
      <w:rFonts w:ascii="Work Sans" w:hAnsi="Work Sans"/>
      <w:szCs w:val="20"/>
    </w:rPr>
  </w:style>
  <w:style w:type="paragraph" w:customStyle="1" w:styleId="CGCBullet2">
    <w:name w:val="CGC Bullet 2"/>
    <w:basedOn w:val="Normal"/>
    <w:qFormat/>
    <w:rsid w:val="00DA7A60"/>
    <w:pPr>
      <w:numPr>
        <w:numId w:val="4"/>
      </w:numPr>
    </w:pPr>
  </w:style>
  <w:style w:type="paragraph" w:customStyle="1" w:styleId="CGCBullet3">
    <w:name w:val="CGC Bullet 3"/>
    <w:basedOn w:val="Normal"/>
    <w:qFormat/>
    <w:rsid w:val="007A1785"/>
    <w:pPr>
      <w:numPr>
        <w:numId w:val="5"/>
      </w:numPr>
      <w:ind w:left="1491" w:hanging="357"/>
    </w:pPr>
  </w:style>
  <w:style w:type="paragraph" w:customStyle="1" w:styleId="CGCQuoteText">
    <w:name w:val="CGC Quote Text"/>
    <w:basedOn w:val="Normal"/>
    <w:next w:val="Normal"/>
    <w:rsid w:val="00782EC4"/>
    <w:pPr>
      <w:spacing w:after="120"/>
      <w:ind w:left="1418" w:right="1134"/>
    </w:pPr>
  </w:style>
  <w:style w:type="paragraph" w:customStyle="1" w:styleId="CGCQuoteBullet">
    <w:name w:val="CGC Quote Bullet"/>
    <w:basedOn w:val="CGCQuoteText"/>
    <w:next w:val="Normal"/>
    <w:rsid w:val="00782EC4"/>
    <w:pPr>
      <w:numPr>
        <w:numId w:val="6"/>
      </w:numPr>
      <w:ind w:right="1418"/>
    </w:pPr>
  </w:style>
  <w:style w:type="paragraph" w:customStyle="1" w:styleId="CGCTablerow">
    <w:name w:val="CGC Table row"/>
    <w:basedOn w:val="Normal"/>
    <w:qFormat/>
    <w:rsid w:val="00782EC4"/>
    <w:pPr>
      <w:spacing w:before="0" w:line="240" w:lineRule="auto"/>
    </w:pPr>
    <w:rPr>
      <w:sz w:val="16"/>
    </w:rPr>
  </w:style>
  <w:style w:type="paragraph" w:customStyle="1" w:styleId="CGCTablenote">
    <w:name w:val="CGC Table note"/>
    <w:basedOn w:val="Normal"/>
    <w:next w:val="Normal"/>
    <w:link w:val="CGCTablenoteChar"/>
    <w:qFormat/>
    <w:rsid w:val="00FE5C60"/>
    <w:pPr>
      <w:tabs>
        <w:tab w:val="left" w:pos="680"/>
      </w:tabs>
      <w:spacing w:before="40" w:line="240" w:lineRule="auto"/>
      <w:ind w:left="340" w:hanging="227"/>
    </w:pPr>
    <w:rPr>
      <w:sz w:val="14"/>
    </w:rPr>
  </w:style>
  <w:style w:type="character" w:customStyle="1" w:styleId="CGCTableHeadingChar">
    <w:name w:val="CGC Table Heading Char"/>
    <w:basedOn w:val="DefaultParagraphFont"/>
    <w:link w:val="CGCTableHeading"/>
    <w:rsid w:val="00FE5C60"/>
    <w:rPr>
      <w:rFonts w:ascii="Montserrat Ultra Light" w:hAnsi="Montserrat Ultra Light"/>
      <w:b/>
      <w:sz w:val="20"/>
      <w:szCs w:val="20"/>
    </w:rPr>
  </w:style>
  <w:style w:type="paragraph" w:customStyle="1" w:styleId="TOCtitle">
    <w:name w:val="TOC title"/>
    <w:basedOn w:val="Normal"/>
    <w:next w:val="Normal"/>
    <w:rsid w:val="001C1121"/>
    <w:rPr>
      <w:rFonts w:ascii="Montserrat Semi Bold" w:hAnsi="Montserrat Semi Bold"/>
      <w:color w:val="004563"/>
      <w:sz w:val="36"/>
      <w:lang w:val="en-US"/>
    </w:rPr>
  </w:style>
  <w:style w:type="character" w:styleId="CommentReference">
    <w:name w:val="annotation reference"/>
    <w:basedOn w:val="DefaultParagraphFont"/>
    <w:semiHidden/>
    <w:unhideWhenUsed/>
    <w:rsid w:val="00CA7A75"/>
    <w:rPr>
      <w:sz w:val="16"/>
      <w:szCs w:val="16"/>
    </w:rPr>
  </w:style>
  <w:style w:type="paragraph" w:styleId="CommentText">
    <w:name w:val="annotation text"/>
    <w:basedOn w:val="Normal"/>
    <w:link w:val="CommentTextChar"/>
    <w:unhideWhenUsed/>
    <w:rsid w:val="00CA7A75"/>
    <w:pPr>
      <w:spacing w:line="240" w:lineRule="auto"/>
    </w:pPr>
    <w:rPr>
      <w:szCs w:val="20"/>
    </w:rPr>
  </w:style>
  <w:style w:type="character" w:customStyle="1" w:styleId="CommentTextChar">
    <w:name w:val="Comment Text Char"/>
    <w:basedOn w:val="DefaultParagraphFont"/>
    <w:link w:val="CommentText"/>
    <w:rsid w:val="00CA7A75"/>
    <w:rPr>
      <w:rFonts w:ascii="Open Sans Light" w:hAnsi="Open Sans Light"/>
      <w:sz w:val="20"/>
      <w:szCs w:val="20"/>
    </w:rPr>
  </w:style>
  <w:style w:type="paragraph" w:styleId="CommentSubject">
    <w:name w:val="annotation subject"/>
    <w:basedOn w:val="CommentText"/>
    <w:next w:val="CommentText"/>
    <w:link w:val="CommentSubjectChar"/>
    <w:semiHidden/>
    <w:unhideWhenUsed/>
    <w:rsid w:val="00CA7A75"/>
    <w:rPr>
      <w:b/>
      <w:bCs/>
    </w:rPr>
  </w:style>
  <w:style w:type="character" w:customStyle="1" w:styleId="CommentSubjectChar">
    <w:name w:val="Comment Subject Char"/>
    <w:basedOn w:val="CommentTextChar"/>
    <w:link w:val="CommentSubject"/>
    <w:semiHidden/>
    <w:rsid w:val="00CA7A75"/>
    <w:rPr>
      <w:rFonts w:ascii="Open Sans Light" w:hAnsi="Open Sans Light"/>
      <w:b/>
      <w:bCs/>
      <w:sz w:val="20"/>
      <w:szCs w:val="20"/>
    </w:rPr>
  </w:style>
  <w:style w:type="paragraph" w:customStyle="1" w:styleId="CGCTablesubhead1">
    <w:name w:val="CGC Table subhead1"/>
    <w:basedOn w:val="Normal"/>
    <w:rsid w:val="00BF20E8"/>
    <w:pPr>
      <w:spacing w:before="0" w:line="240" w:lineRule="auto"/>
    </w:pPr>
    <w:rPr>
      <w:rFonts w:ascii="Open Sans Semibold" w:hAnsi="Open Sans Semibold"/>
      <w:sz w:val="16"/>
    </w:rPr>
  </w:style>
  <w:style w:type="character" w:styleId="UnresolvedMention">
    <w:name w:val="Unresolved Mention"/>
    <w:basedOn w:val="DefaultParagraphFont"/>
    <w:uiPriority w:val="99"/>
    <w:unhideWhenUsed/>
    <w:rsid w:val="004F4A13"/>
    <w:rPr>
      <w:color w:val="605E5C"/>
      <w:shd w:val="clear" w:color="auto" w:fill="E1DFDD"/>
    </w:rPr>
  </w:style>
  <w:style w:type="character" w:styleId="Mention">
    <w:name w:val="Mention"/>
    <w:basedOn w:val="DefaultParagraphFont"/>
    <w:uiPriority w:val="99"/>
    <w:unhideWhenUsed/>
    <w:rsid w:val="004F4A13"/>
    <w:rPr>
      <w:color w:val="2B579A"/>
      <w:shd w:val="clear" w:color="auto" w:fill="E1DFDD"/>
    </w:rPr>
  </w:style>
  <w:style w:type="paragraph" w:customStyle="1" w:styleId="Bulletpoint">
    <w:name w:val="Bullet point"/>
    <w:basedOn w:val="ListParagraph"/>
    <w:link w:val="BulletpointChar"/>
    <w:qFormat/>
    <w:rsid w:val="00A5102B"/>
    <w:pPr>
      <w:spacing w:before="240" w:line="300" w:lineRule="atLeast"/>
      <w:ind w:left="360" w:hanging="360"/>
      <w:contextualSpacing w:val="0"/>
      <w:jc w:val="both"/>
    </w:pPr>
  </w:style>
  <w:style w:type="character" w:customStyle="1" w:styleId="ListParagraphChar">
    <w:name w:val="List Paragraph Char"/>
    <w:basedOn w:val="DefaultParagraphFont"/>
    <w:link w:val="ListParagraph"/>
    <w:uiPriority w:val="34"/>
    <w:rsid w:val="00A5102B"/>
    <w:rPr>
      <w:rFonts w:ascii="Open Sans Light" w:hAnsi="Open Sans Light"/>
      <w:sz w:val="20"/>
    </w:rPr>
  </w:style>
  <w:style w:type="character" w:customStyle="1" w:styleId="BulletpointChar">
    <w:name w:val="Bullet point Char"/>
    <w:basedOn w:val="ListParagraphChar"/>
    <w:link w:val="Bulletpoint"/>
    <w:rsid w:val="00A5102B"/>
    <w:rPr>
      <w:rFonts w:ascii="Open Sans Light" w:hAnsi="Open Sans Light"/>
      <w:sz w:val="20"/>
    </w:rPr>
  </w:style>
  <w:style w:type="paragraph" w:styleId="Revision">
    <w:name w:val="Revision"/>
    <w:hidden/>
    <w:uiPriority w:val="99"/>
    <w:semiHidden/>
    <w:rsid w:val="001B76A8"/>
    <w:pPr>
      <w:spacing w:after="0" w:line="240" w:lineRule="auto"/>
    </w:pPr>
    <w:rPr>
      <w:rFonts w:ascii="Open Sans Light" w:hAnsi="Open Sans Light"/>
      <w:sz w:val="20"/>
    </w:rPr>
  </w:style>
  <w:style w:type="paragraph" w:customStyle="1" w:styleId="CGCBulletlist">
    <w:name w:val="CGC Bullet list"/>
    <w:aliases w:val="CGC List 1"/>
    <w:basedOn w:val="Normal"/>
    <w:link w:val="CGCBulletlistChar"/>
    <w:qFormat/>
    <w:rsid w:val="001307A8"/>
    <w:pPr>
      <w:numPr>
        <w:numId w:val="8"/>
      </w:numPr>
      <w:tabs>
        <w:tab w:val="clear" w:pos="567"/>
        <w:tab w:val="left" w:pos="1134"/>
      </w:tabs>
      <w:spacing w:before="80" w:after="80" w:line="300" w:lineRule="atLeast"/>
    </w:pPr>
    <w:rPr>
      <w:rFonts w:asciiTheme="minorHAnsi" w:hAnsiTheme="minorHAnsi"/>
      <w:sz w:val="24"/>
      <w:szCs w:val="20"/>
    </w:rPr>
  </w:style>
  <w:style w:type="paragraph" w:customStyle="1" w:styleId="CGCNumberedPara">
    <w:name w:val="CGC Numbered Para"/>
    <w:aliases w:val="CGC Para No"/>
    <w:basedOn w:val="Normal"/>
    <w:qFormat/>
    <w:rsid w:val="001307A8"/>
    <w:pPr>
      <w:numPr>
        <w:ilvl w:val="1"/>
        <w:numId w:val="9"/>
      </w:numPr>
      <w:tabs>
        <w:tab w:val="clear" w:pos="567"/>
      </w:tabs>
      <w:spacing w:after="80" w:line="320" w:lineRule="atLeast"/>
    </w:pPr>
    <w:rPr>
      <w:rFonts w:asciiTheme="minorHAnsi" w:hAnsiTheme="minorHAnsi"/>
      <w:sz w:val="24"/>
      <w:szCs w:val="24"/>
    </w:rPr>
  </w:style>
  <w:style w:type="character" w:customStyle="1" w:styleId="CGCBulletlistChar">
    <w:name w:val="CGC Bullet list Char"/>
    <w:aliases w:val="CGC List 1 Char"/>
    <w:basedOn w:val="DefaultParagraphFont"/>
    <w:link w:val="CGCBulletlist"/>
    <w:locked/>
    <w:rsid w:val="001307A8"/>
    <w:rPr>
      <w:sz w:val="24"/>
      <w:szCs w:val="20"/>
    </w:rPr>
  </w:style>
  <w:style w:type="character" w:customStyle="1" w:styleId="cf01">
    <w:name w:val="cf01"/>
    <w:basedOn w:val="DefaultParagraphFont"/>
    <w:rsid w:val="002F0D1B"/>
    <w:rPr>
      <w:rFonts w:ascii="Segoe UI" w:hAnsi="Segoe UI" w:cs="Segoe UI" w:hint="default"/>
      <w:sz w:val="18"/>
      <w:szCs w:val="18"/>
    </w:rPr>
  </w:style>
  <w:style w:type="table" w:customStyle="1" w:styleId="TableGrid1">
    <w:name w:val="Table Grid1"/>
    <w:basedOn w:val="TableNormal"/>
    <w:next w:val="TableGrid"/>
    <w:uiPriority w:val="39"/>
    <w:rsid w:val="002F089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6E3848"/>
    <w:rPr>
      <w:color w:val="800080" w:themeColor="followedHyperlink"/>
      <w:u w:val="single"/>
    </w:rPr>
  </w:style>
  <w:style w:type="paragraph" w:customStyle="1" w:styleId="CGC2025QuestionNumbers">
    <w:name w:val="CGC 2025 Question Numbers"/>
    <w:basedOn w:val="Normal"/>
    <w:qFormat/>
    <w:rsid w:val="00084EE0"/>
    <w:pPr>
      <w:numPr>
        <w:numId w:val="11"/>
      </w:numPr>
      <w:spacing w:after="120"/>
    </w:pPr>
    <w:rPr>
      <w:rFonts w:ascii="Work Sans" w:hAnsi="Work Sans" w:cs="Open Sans Light"/>
      <w:szCs w:val="20"/>
    </w:rPr>
  </w:style>
  <w:style w:type="numbering" w:customStyle="1" w:styleId="CGCConsultQuestion">
    <w:name w:val="CGC Consult Question"/>
    <w:basedOn w:val="NoList"/>
    <w:uiPriority w:val="99"/>
    <w:rsid w:val="00084EE0"/>
    <w:pPr>
      <w:numPr>
        <w:numId w:val="10"/>
      </w:numPr>
    </w:pPr>
  </w:style>
  <w:style w:type="paragraph" w:customStyle="1" w:styleId="CGC2025ParaNumbers">
    <w:name w:val="CGC 2025 Para Numbers"/>
    <w:basedOn w:val="CGCNumberedPara"/>
    <w:link w:val="CGC2025ParaNumbersChar"/>
    <w:rsid w:val="004477FF"/>
    <w:pPr>
      <w:tabs>
        <w:tab w:val="num" w:pos="567"/>
      </w:tabs>
    </w:pPr>
    <w:rPr>
      <w:rFonts w:ascii="Work Sans" w:hAnsi="Work Sans"/>
      <w:sz w:val="20"/>
    </w:rPr>
  </w:style>
  <w:style w:type="paragraph" w:customStyle="1" w:styleId="CGC2025Bullet2">
    <w:name w:val="CGC 2025 Bullet 2"/>
    <w:basedOn w:val="CGCBullet2"/>
    <w:rsid w:val="00F109D5"/>
    <w:pPr>
      <w:ind w:left="1321" w:hanging="357"/>
    </w:pPr>
    <w:rPr>
      <w:rFonts w:ascii="Work Sans" w:hAnsi="Work Sans"/>
    </w:rPr>
  </w:style>
  <w:style w:type="paragraph" w:customStyle="1" w:styleId="CGC2025Heading2AttachmentFollower">
    <w:name w:val="CGC 2025 Heading 2 Attachment Follower"/>
    <w:basedOn w:val="Heading2"/>
    <w:rsid w:val="00294D2F"/>
    <w:rPr>
      <w:b w:val="0"/>
      <w:bCs w:val="0"/>
    </w:rPr>
  </w:style>
  <w:style w:type="paragraph" w:customStyle="1" w:styleId="CGC2025Caption">
    <w:name w:val="CGC 2025 Caption"/>
    <w:basedOn w:val="Normal"/>
    <w:qFormat/>
    <w:rsid w:val="0036695B"/>
    <w:pPr>
      <w:spacing w:before="240" w:after="120" w:line="240" w:lineRule="auto"/>
    </w:pPr>
    <w:rPr>
      <w:rFonts w:ascii="Work Sans" w:hAnsi="Work Sans"/>
      <w:b/>
    </w:rPr>
  </w:style>
  <w:style w:type="paragraph" w:customStyle="1" w:styleId="CGC2025Questionsnumbers2">
    <w:name w:val="CGC 2025 Questions numbers 2"/>
    <w:basedOn w:val="Normal"/>
    <w:next w:val="CGC2025ParaNumbers"/>
    <w:qFormat/>
    <w:rsid w:val="004824F0"/>
    <w:pPr>
      <w:numPr>
        <w:numId w:val="12"/>
      </w:numPr>
      <w:ind w:left="454" w:hanging="454"/>
    </w:pPr>
    <w:rPr>
      <w:rFonts w:ascii="Work Sans" w:hAnsi="Work Sans" w:cs="Open Sans"/>
      <w:bCs/>
      <w:szCs w:val="56"/>
    </w:rPr>
  </w:style>
  <w:style w:type="paragraph" w:customStyle="1" w:styleId="CGC2025TableNote">
    <w:name w:val="CGC 2025 Table Note"/>
    <w:basedOn w:val="CGCTablenote"/>
    <w:link w:val="CGC2025TableNoteChar"/>
    <w:qFormat/>
    <w:rsid w:val="00FB59C2"/>
    <w:rPr>
      <w:rFonts w:ascii="Work Sans" w:hAnsi="Work Sans"/>
    </w:rPr>
  </w:style>
  <w:style w:type="character" w:customStyle="1" w:styleId="CGCTablenoteChar">
    <w:name w:val="CGC Table note Char"/>
    <w:basedOn w:val="DefaultParagraphFont"/>
    <w:link w:val="CGCTablenote"/>
    <w:rsid w:val="00FB59C2"/>
    <w:rPr>
      <w:rFonts w:ascii="Open Sans Light" w:hAnsi="Open Sans Light"/>
      <w:sz w:val="14"/>
    </w:rPr>
  </w:style>
  <w:style w:type="character" w:customStyle="1" w:styleId="CGC2025TableNoteChar">
    <w:name w:val="CGC 2025 Table Note Char"/>
    <w:basedOn w:val="CGCTablenoteChar"/>
    <w:link w:val="CGC2025TableNote"/>
    <w:rsid w:val="00FB59C2"/>
    <w:rPr>
      <w:rFonts w:ascii="Work Sans" w:hAnsi="Work Sans"/>
      <w:sz w:val="14"/>
    </w:rPr>
  </w:style>
  <w:style w:type="paragraph" w:customStyle="1" w:styleId="CGCBullet1">
    <w:name w:val="CGC Bullet 1"/>
    <w:basedOn w:val="Normal"/>
    <w:qFormat/>
    <w:rsid w:val="00956FA7"/>
    <w:pPr>
      <w:numPr>
        <w:numId w:val="14"/>
      </w:numPr>
    </w:pPr>
    <w:rPr>
      <w:rFonts w:ascii="Work Sans" w:hAnsi="Work Sans"/>
      <w:szCs w:val="20"/>
    </w:rPr>
  </w:style>
  <w:style w:type="paragraph" w:customStyle="1" w:styleId="BodyCopyWorkSans10">
    <w:name w:val="Body Copy Work Sans 10"/>
    <w:basedOn w:val="Normal"/>
    <w:link w:val="BodyCopyWorkSans10Char"/>
    <w:qFormat/>
    <w:rsid w:val="00F81E6D"/>
    <w:pPr>
      <w:numPr>
        <w:numId w:val="13"/>
      </w:numPr>
    </w:pPr>
    <w:rPr>
      <w:rFonts w:ascii="Work Sans" w:hAnsi="Work Sans"/>
    </w:rPr>
  </w:style>
  <w:style w:type="character" w:customStyle="1" w:styleId="BodyCopyWorkSans10Char">
    <w:name w:val="Body Copy Work Sans 10 Char"/>
    <w:basedOn w:val="DefaultParagraphFont"/>
    <w:link w:val="BodyCopyWorkSans10"/>
    <w:rsid w:val="00F81E6D"/>
    <w:rPr>
      <w:rFonts w:ascii="Work Sans" w:hAnsi="Work Sans"/>
      <w:sz w:val="20"/>
    </w:rPr>
  </w:style>
  <w:style w:type="paragraph" w:styleId="NormalWeb">
    <w:name w:val="Normal (Web)"/>
    <w:basedOn w:val="Normal"/>
    <w:uiPriority w:val="99"/>
    <w:unhideWhenUsed/>
    <w:rsid w:val="00A56AC3"/>
    <w:pPr>
      <w:tabs>
        <w:tab w:val="clear" w:pos="567"/>
      </w:tabs>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8233E7"/>
  </w:style>
  <w:style w:type="paragraph" w:customStyle="1" w:styleId="paragraph">
    <w:name w:val="paragraph"/>
    <w:basedOn w:val="Normal"/>
    <w:rsid w:val="00FD7778"/>
    <w:pPr>
      <w:tabs>
        <w:tab w:val="clear" w:pos="567"/>
      </w:tabs>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eop">
    <w:name w:val="eop"/>
    <w:basedOn w:val="DefaultParagraphFont"/>
    <w:rsid w:val="00FD7778"/>
  </w:style>
  <w:style w:type="character" w:customStyle="1" w:styleId="tabchar">
    <w:name w:val="tabchar"/>
    <w:basedOn w:val="DefaultParagraphFont"/>
    <w:rsid w:val="00FD7778"/>
  </w:style>
  <w:style w:type="paragraph" w:customStyle="1" w:styleId="CGC2025ParaNumbers1">
    <w:name w:val="CGC 2025 Para Numbers 1"/>
    <w:basedOn w:val="CGC2025ParaNumbers"/>
    <w:qFormat/>
    <w:rsid w:val="008E485A"/>
  </w:style>
  <w:style w:type="paragraph" w:customStyle="1" w:styleId="CGCQuotationBullet">
    <w:name w:val="CGC Quotation Bullet"/>
    <w:basedOn w:val="Normal"/>
    <w:rsid w:val="00C760F6"/>
    <w:pPr>
      <w:numPr>
        <w:numId w:val="17"/>
      </w:numPr>
      <w:tabs>
        <w:tab w:val="clear" w:pos="567"/>
        <w:tab w:val="clear" w:pos="1701"/>
      </w:tabs>
      <w:spacing w:line="300" w:lineRule="atLeast"/>
      <w:ind w:left="0" w:right="1134" w:firstLine="0"/>
    </w:pPr>
    <w:rPr>
      <w:sz w:val="22"/>
      <w:szCs w:val="20"/>
    </w:rPr>
  </w:style>
  <w:style w:type="character" w:customStyle="1" w:styleId="CGC2025ParaNumbersChar">
    <w:name w:val="CGC 2025 Para Numbers Char"/>
    <w:basedOn w:val="DefaultParagraphFont"/>
    <w:link w:val="CGC2025ParaNumbers"/>
    <w:rsid w:val="00C12CCB"/>
    <w:rPr>
      <w:rFonts w:ascii="Work Sans" w:hAnsi="Work Sans"/>
      <w:sz w:val="20"/>
      <w:szCs w:val="24"/>
    </w:rPr>
  </w:style>
  <w:style w:type="paragraph" w:customStyle="1" w:styleId="CGC2025Quotetext">
    <w:name w:val="CGC 2025 Quote text"/>
    <w:basedOn w:val="CGCQuoteText"/>
    <w:qFormat/>
    <w:rsid w:val="00C12CCB"/>
    <w:rPr>
      <w:rFonts w:ascii="Work Sans" w:hAnsi="Work Sans"/>
    </w:rPr>
  </w:style>
  <w:style w:type="character" w:customStyle="1" w:styleId="ui-provider">
    <w:name w:val="ui-provider"/>
    <w:basedOn w:val="DefaultParagraphFont"/>
    <w:rsid w:val="00F630B7"/>
  </w:style>
  <w:style w:type="paragraph" w:customStyle="1" w:styleId="CGC2025Boxtext">
    <w:name w:val="CGC 2025 Box text"/>
    <w:basedOn w:val="CGC2025ParaNumbers"/>
    <w:qFormat/>
    <w:rsid w:val="00741A49"/>
    <w:pPr>
      <w:numPr>
        <w:ilvl w:val="0"/>
        <w:numId w:val="0"/>
      </w:numPr>
      <w:spacing w:before="0" w:after="120" w:line="280" w:lineRule="atLeast"/>
      <w:ind w:left="113" w:right="113"/>
    </w:pPr>
  </w:style>
  <w:style w:type="paragraph" w:customStyle="1" w:styleId="Bullet">
    <w:name w:val="Bullet"/>
    <w:basedOn w:val="Normal"/>
    <w:link w:val="BulletChar"/>
    <w:rsid w:val="004D6916"/>
    <w:pPr>
      <w:numPr>
        <w:numId w:val="28"/>
      </w:numPr>
    </w:pPr>
    <w:rPr>
      <w:szCs w:val="20"/>
    </w:rPr>
  </w:style>
  <w:style w:type="character" w:customStyle="1" w:styleId="CGC2025Bullet1Char">
    <w:name w:val="CGC 2025 Bullet 1 Char"/>
    <w:basedOn w:val="DefaultParagraphFont"/>
    <w:link w:val="CGC2025Bullet1"/>
    <w:rsid w:val="004D6916"/>
    <w:rPr>
      <w:rFonts w:ascii="Work Sans" w:hAnsi="Work Sans"/>
      <w:sz w:val="20"/>
      <w:szCs w:val="20"/>
    </w:rPr>
  </w:style>
  <w:style w:type="character" w:customStyle="1" w:styleId="BulletChar">
    <w:name w:val="Bullet Char"/>
    <w:basedOn w:val="CGC2025Bullet1Char"/>
    <w:link w:val="Bullet"/>
    <w:rsid w:val="004D6916"/>
    <w:rPr>
      <w:rFonts w:ascii="Open Sans Light" w:hAnsi="Open Sans Light"/>
      <w:sz w:val="20"/>
      <w:szCs w:val="20"/>
    </w:rPr>
  </w:style>
  <w:style w:type="paragraph" w:customStyle="1" w:styleId="Dash">
    <w:name w:val="Dash"/>
    <w:basedOn w:val="Normal"/>
    <w:link w:val="DashChar"/>
    <w:rsid w:val="004D6916"/>
    <w:pPr>
      <w:numPr>
        <w:ilvl w:val="1"/>
        <w:numId w:val="28"/>
      </w:numPr>
    </w:pPr>
    <w:rPr>
      <w:szCs w:val="20"/>
    </w:rPr>
  </w:style>
  <w:style w:type="character" w:customStyle="1" w:styleId="DashChar">
    <w:name w:val="Dash Char"/>
    <w:basedOn w:val="CGC2025Bullet1Char"/>
    <w:link w:val="Dash"/>
    <w:rsid w:val="004D6916"/>
    <w:rPr>
      <w:rFonts w:ascii="Open Sans Light" w:hAnsi="Open Sans Light"/>
      <w:sz w:val="20"/>
      <w:szCs w:val="20"/>
    </w:rPr>
  </w:style>
  <w:style w:type="paragraph" w:customStyle="1" w:styleId="DoubleDot">
    <w:name w:val="Double Dot"/>
    <w:basedOn w:val="Normal"/>
    <w:link w:val="DoubleDotChar"/>
    <w:rsid w:val="004D6916"/>
    <w:pPr>
      <w:numPr>
        <w:ilvl w:val="2"/>
        <w:numId w:val="28"/>
      </w:numPr>
    </w:pPr>
    <w:rPr>
      <w:szCs w:val="20"/>
    </w:rPr>
  </w:style>
  <w:style w:type="character" w:customStyle="1" w:styleId="DoubleDotChar">
    <w:name w:val="Double Dot Char"/>
    <w:basedOn w:val="CGC2025Bullet1Char"/>
    <w:link w:val="DoubleDot"/>
    <w:rsid w:val="004D6916"/>
    <w:rPr>
      <w:rFonts w:ascii="Open Sans Light" w:hAnsi="Open Sans Light"/>
      <w:sz w:val="20"/>
      <w:szCs w:val="20"/>
    </w:rPr>
  </w:style>
  <w:style w:type="paragraph" w:customStyle="1" w:styleId="dotpoint">
    <w:name w:val="dotpoint"/>
    <w:basedOn w:val="ListParagraph"/>
    <w:link w:val="dotpointChar"/>
    <w:qFormat/>
    <w:rsid w:val="00F358FD"/>
    <w:pPr>
      <w:numPr>
        <w:numId w:val="30"/>
      </w:numPr>
      <w:tabs>
        <w:tab w:val="clear" w:pos="567"/>
      </w:tabs>
      <w:spacing w:before="200" w:line="240" w:lineRule="auto"/>
      <w:contextualSpacing w:val="0"/>
    </w:pPr>
    <w:rPr>
      <w:rFonts w:cstheme="minorHAnsi"/>
      <w:sz w:val="21"/>
      <w:szCs w:val="21"/>
    </w:rPr>
  </w:style>
  <w:style w:type="character" w:customStyle="1" w:styleId="dotpointChar">
    <w:name w:val="dotpoint Char"/>
    <w:basedOn w:val="ListParagraphChar"/>
    <w:link w:val="dotpoint"/>
    <w:rsid w:val="00353F9B"/>
    <w:rPr>
      <w:rFonts w:ascii="Open Sans Light" w:hAnsi="Open Sans Light" w:cstheme="minorHAnsi"/>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6302">
      <w:bodyDiv w:val="1"/>
      <w:marLeft w:val="0"/>
      <w:marRight w:val="0"/>
      <w:marTop w:val="0"/>
      <w:marBottom w:val="0"/>
      <w:divBdr>
        <w:top w:val="none" w:sz="0" w:space="0" w:color="auto"/>
        <w:left w:val="none" w:sz="0" w:space="0" w:color="auto"/>
        <w:bottom w:val="none" w:sz="0" w:space="0" w:color="auto"/>
        <w:right w:val="none" w:sz="0" w:space="0" w:color="auto"/>
      </w:divBdr>
    </w:div>
    <w:div w:id="2976334">
      <w:bodyDiv w:val="1"/>
      <w:marLeft w:val="0"/>
      <w:marRight w:val="0"/>
      <w:marTop w:val="0"/>
      <w:marBottom w:val="0"/>
      <w:divBdr>
        <w:top w:val="none" w:sz="0" w:space="0" w:color="auto"/>
        <w:left w:val="none" w:sz="0" w:space="0" w:color="auto"/>
        <w:bottom w:val="none" w:sz="0" w:space="0" w:color="auto"/>
        <w:right w:val="none" w:sz="0" w:space="0" w:color="auto"/>
      </w:divBdr>
    </w:div>
    <w:div w:id="19476126">
      <w:bodyDiv w:val="1"/>
      <w:marLeft w:val="0"/>
      <w:marRight w:val="0"/>
      <w:marTop w:val="0"/>
      <w:marBottom w:val="0"/>
      <w:divBdr>
        <w:top w:val="none" w:sz="0" w:space="0" w:color="auto"/>
        <w:left w:val="none" w:sz="0" w:space="0" w:color="auto"/>
        <w:bottom w:val="none" w:sz="0" w:space="0" w:color="auto"/>
        <w:right w:val="none" w:sz="0" w:space="0" w:color="auto"/>
      </w:divBdr>
    </w:div>
    <w:div w:id="85929425">
      <w:bodyDiv w:val="1"/>
      <w:marLeft w:val="0"/>
      <w:marRight w:val="0"/>
      <w:marTop w:val="0"/>
      <w:marBottom w:val="0"/>
      <w:divBdr>
        <w:top w:val="none" w:sz="0" w:space="0" w:color="auto"/>
        <w:left w:val="none" w:sz="0" w:space="0" w:color="auto"/>
        <w:bottom w:val="none" w:sz="0" w:space="0" w:color="auto"/>
        <w:right w:val="none" w:sz="0" w:space="0" w:color="auto"/>
      </w:divBdr>
    </w:div>
    <w:div w:id="152645767">
      <w:bodyDiv w:val="1"/>
      <w:marLeft w:val="0"/>
      <w:marRight w:val="0"/>
      <w:marTop w:val="0"/>
      <w:marBottom w:val="0"/>
      <w:divBdr>
        <w:top w:val="none" w:sz="0" w:space="0" w:color="auto"/>
        <w:left w:val="none" w:sz="0" w:space="0" w:color="auto"/>
        <w:bottom w:val="none" w:sz="0" w:space="0" w:color="auto"/>
        <w:right w:val="none" w:sz="0" w:space="0" w:color="auto"/>
      </w:divBdr>
    </w:div>
    <w:div w:id="160170229">
      <w:bodyDiv w:val="1"/>
      <w:marLeft w:val="0"/>
      <w:marRight w:val="0"/>
      <w:marTop w:val="0"/>
      <w:marBottom w:val="0"/>
      <w:divBdr>
        <w:top w:val="none" w:sz="0" w:space="0" w:color="auto"/>
        <w:left w:val="none" w:sz="0" w:space="0" w:color="auto"/>
        <w:bottom w:val="none" w:sz="0" w:space="0" w:color="auto"/>
        <w:right w:val="none" w:sz="0" w:space="0" w:color="auto"/>
      </w:divBdr>
    </w:div>
    <w:div w:id="189801314">
      <w:bodyDiv w:val="1"/>
      <w:marLeft w:val="0"/>
      <w:marRight w:val="0"/>
      <w:marTop w:val="0"/>
      <w:marBottom w:val="0"/>
      <w:divBdr>
        <w:top w:val="none" w:sz="0" w:space="0" w:color="auto"/>
        <w:left w:val="none" w:sz="0" w:space="0" w:color="auto"/>
        <w:bottom w:val="none" w:sz="0" w:space="0" w:color="auto"/>
        <w:right w:val="none" w:sz="0" w:space="0" w:color="auto"/>
      </w:divBdr>
    </w:div>
    <w:div w:id="215361513">
      <w:bodyDiv w:val="1"/>
      <w:marLeft w:val="0"/>
      <w:marRight w:val="0"/>
      <w:marTop w:val="0"/>
      <w:marBottom w:val="0"/>
      <w:divBdr>
        <w:top w:val="none" w:sz="0" w:space="0" w:color="auto"/>
        <w:left w:val="none" w:sz="0" w:space="0" w:color="auto"/>
        <w:bottom w:val="none" w:sz="0" w:space="0" w:color="auto"/>
        <w:right w:val="none" w:sz="0" w:space="0" w:color="auto"/>
      </w:divBdr>
    </w:div>
    <w:div w:id="240608006">
      <w:bodyDiv w:val="1"/>
      <w:marLeft w:val="0"/>
      <w:marRight w:val="0"/>
      <w:marTop w:val="0"/>
      <w:marBottom w:val="0"/>
      <w:divBdr>
        <w:top w:val="none" w:sz="0" w:space="0" w:color="auto"/>
        <w:left w:val="none" w:sz="0" w:space="0" w:color="auto"/>
        <w:bottom w:val="none" w:sz="0" w:space="0" w:color="auto"/>
        <w:right w:val="none" w:sz="0" w:space="0" w:color="auto"/>
      </w:divBdr>
    </w:div>
    <w:div w:id="248123965">
      <w:bodyDiv w:val="1"/>
      <w:marLeft w:val="0"/>
      <w:marRight w:val="0"/>
      <w:marTop w:val="0"/>
      <w:marBottom w:val="0"/>
      <w:divBdr>
        <w:top w:val="none" w:sz="0" w:space="0" w:color="auto"/>
        <w:left w:val="none" w:sz="0" w:space="0" w:color="auto"/>
        <w:bottom w:val="none" w:sz="0" w:space="0" w:color="auto"/>
        <w:right w:val="none" w:sz="0" w:space="0" w:color="auto"/>
      </w:divBdr>
    </w:div>
    <w:div w:id="283461682">
      <w:bodyDiv w:val="1"/>
      <w:marLeft w:val="0"/>
      <w:marRight w:val="0"/>
      <w:marTop w:val="0"/>
      <w:marBottom w:val="0"/>
      <w:divBdr>
        <w:top w:val="none" w:sz="0" w:space="0" w:color="auto"/>
        <w:left w:val="none" w:sz="0" w:space="0" w:color="auto"/>
        <w:bottom w:val="none" w:sz="0" w:space="0" w:color="auto"/>
        <w:right w:val="none" w:sz="0" w:space="0" w:color="auto"/>
      </w:divBdr>
    </w:div>
    <w:div w:id="289014173">
      <w:bodyDiv w:val="1"/>
      <w:marLeft w:val="0"/>
      <w:marRight w:val="0"/>
      <w:marTop w:val="0"/>
      <w:marBottom w:val="0"/>
      <w:divBdr>
        <w:top w:val="none" w:sz="0" w:space="0" w:color="auto"/>
        <w:left w:val="none" w:sz="0" w:space="0" w:color="auto"/>
        <w:bottom w:val="none" w:sz="0" w:space="0" w:color="auto"/>
        <w:right w:val="none" w:sz="0" w:space="0" w:color="auto"/>
      </w:divBdr>
    </w:div>
    <w:div w:id="310598025">
      <w:bodyDiv w:val="1"/>
      <w:marLeft w:val="0"/>
      <w:marRight w:val="0"/>
      <w:marTop w:val="0"/>
      <w:marBottom w:val="0"/>
      <w:divBdr>
        <w:top w:val="none" w:sz="0" w:space="0" w:color="auto"/>
        <w:left w:val="none" w:sz="0" w:space="0" w:color="auto"/>
        <w:bottom w:val="none" w:sz="0" w:space="0" w:color="auto"/>
        <w:right w:val="none" w:sz="0" w:space="0" w:color="auto"/>
      </w:divBdr>
    </w:div>
    <w:div w:id="340394171">
      <w:bodyDiv w:val="1"/>
      <w:marLeft w:val="0"/>
      <w:marRight w:val="0"/>
      <w:marTop w:val="0"/>
      <w:marBottom w:val="0"/>
      <w:divBdr>
        <w:top w:val="none" w:sz="0" w:space="0" w:color="auto"/>
        <w:left w:val="none" w:sz="0" w:space="0" w:color="auto"/>
        <w:bottom w:val="none" w:sz="0" w:space="0" w:color="auto"/>
        <w:right w:val="none" w:sz="0" w:space="0" w:color="auto"/>
      </w:divBdr>
    </w:div>
    <w:div w:id="358245519">
      <w:bodyDiv w:val="1"/>
      <w:marLeft w:val="0"/>
      <w:marRight w:val="0"/>
      <w:marTop w:val="0"/>
      <w:marBottom w:val="0"/>
      <w:divBdr>
        <w:top w:val="none" w:sz="0" w:space="0" w:color="auto"/>
        <w:left w:val="none" w:sz="0" w:space="0" w:color="auto"/>
        <w:bottom w:val="none" w:sz="0" w:space="0" w:color="auto"/>
        <w:right w:val="none" w:sz="0" w:space="0" w:color="auto"/>
      </w:divBdr>
    </w:div>
    <w:div w:id="363794393">
      <w:bodyDiv w:val="1"/>
      <w:marLeft w:val="0"/>
      <w:marRight w:val="0"/>
      <w:marTop w:val="0"/>
      <w:marBottom w:val="0"/>
      <w:divBdr>
        <w:top w:val="none" w:sz="0" w:space="0" w:color="auto"/>
        <w:left w:val="none" w:sz="0" w:space="0" w:color="auto"/>
        <w:bottom w:val="none" w:sz="0" w:space="0" w:color="auto"/>
        <w:right w:val="none" w:sz="0" w:space="0" w:color="auto"/>
      </w:divBdr>
    </w:div>
    <w:div w:id="381485470">
      <w:bodyDiv w:val="1"/>
      <w:marLeft w:val="0"/>
      <w:marRight w:val="0"/>
      <w:marTop w:val="0"/>
      <w:marBottom w:val="0"/>
      <w:divBdr>
        <w:top w:val="none" w:sz="0" w:space="0" w:color="auto"/>
        <w:left w:val="none" w:sz="0" w:space="0" w:color="auto"/>
        <w:bottom w:val="none" w:sz="0" w:space="0" w:color="auto"/>
        <w:right w:val="none" w:sz="0" w:space="0" w:color="auto"/>
      </w:divBdr>
    </w:div>
    <w:div w:id="517475277">
      <w:bodyDiv w:val="1"/>
      <w:marLeft w:val="0"/>
      <w:marRight w:val="0"/>
      <w:marTop w:val="0"/>
      <w:marBottom w:val="0"/>
      <w:divBdr>
        <w:top w:val="none" w:sz="0" w:space="0" w:color="auto"/>
        <w:left w:val="none" w:sz="0" w:space="0" w:color="auto"/>
        <w:bottom w:val="none" w:sz="0" w:space="0" w:color="auto"/>
        <w:right w:val="none" w:sz="0" w:space="0" w:color="auto"/>
      </w:divBdr>
    </w:div>
    <w:div w:id="523597020">
      <w:bodyDiv w:val="1"/>
      <w:marLeft w:val="0"/>
      <w:marRight w:val="0"/>
      <w:marTop w:val="0"/>
      <w:marBottom w:val="0"/>
      <w:divBdr>
        <w:top w:val="none" w:sz="0" w:space="0" w:color="auto"/>
        <w:left w:val="none" w:sz="0" w:space="0" w:color="auto"/>
        <w:bottom w:val="none" w:sz="0" w:space="0" w:color="auto"/>
        <w:right w:val="none" w:sz="0" w:space="0" w:color="auto"/>
      </w:divBdr>
    </w:div>
    <w:div w:id="528180250">
      <w:bodyDiv w:val="1"/>
      <w:marLeft w:val="0"/>
      <w:marRight w:val="0"/>
      <w:marTop w:val="0"/>
      <w:marBottom w:val="0"/>
      <w:divBdr>
        <w:top w:val="none" w:sz="0" w:space="0" w:color="auto"/>
        <w:left w:val="none" w:sz="0" w:space="0" w:color="auto"/>
        <w:bottom w:val="none" w:sz="0" w:space="0" w:color="auto"/>
        <w:right w:val="none" w:sz="0" w:space="0" w:color="auto"/>
      </w:divBdr>
    </w:div>
    <w:div w:id="542055706">
      <w:bodyDiv w:val="1"/>
      <w:marLeft w:val="0"/>
      <w:marRight w:val="0"/>
      <w:marTop w:val="0"/>
      <w:marBottom w:val="0"/>
      <w:divBdr>
        <w:top w:val="none" w:sz="0" w:space="0" w:color="auto"/>
        <w:left w:val="none" w:sz="0" w:space="0" w:color="auto"/>
        <w:bottom w:val="none" w:sz="0" w:space="0" w:color="auto"/>
        <w:right w:val="none" w:sz="0" w:space="0" w:color="auto"/>
      </w:divBdr>
    </w:div>
    <w:div w:id="547255162">
      <w:bodyDiv w:val="1"/>
      <w:marLeft w:val="0"/>
      <w:marRight w:val="0"/>
      <w:marTop w:val="0"/>
      <w:marBottom w:val="0"/>
      <w:divBdr>
        <w:top w:val="none" w:sz="0" w:space="0" w:color="auto"/>
        <w:left w:val="none" w:sz="0" w:space="0" w:color="auto"/>
        <w:bottom w:val="none" w:sz="0" w:space="0" w:color="auto"/>
        <w:right w:val="none" w:sz="0" w:space="0" w:color="auto"/>
      </w:divBdr>
    </w:div>
    <w:div w:id="582958075">
      <w:bodyDiv w:val="1"/>
      <w:marLeft w:val="0"/>
      <w:marRight w:val="0"/>
      <w:marTop w:val="0"/>
      <w:marBottom w:val="0"/>
      <w:divBdr>
        <w:top w:val="none" w:sz="0" w:space="0" w:color="auto"/>
        <w:left w:val="none" w:sz="0" w:space="0" w:color="auto"/>
        <w:bottom w:val="none" w:sz="0" w:space="0" w:color="auto"/>
        <w:right w:val="none" w:sz="0" w:space="0" w:color="auto"/>
      </w:divBdr>
    </w:div>
    <w:div w:id="599720096">
      <w:bodyDiv w:val="1"/>
      <w:marLeft w:val="0"/>
      <w:marRight w:val="0"/>
      <w:marTop w:val="0"/>
      <w:marBottom w:val="0"/>
      <w:divBdr>
        <w:top w:val="none" w:sz="0" w:space="0" w:color="auto"/>
        <w:left w:val="none" w:sz="0" w:space="0" w:color="auto"/>
        <w:bottom w:val="none" w:sz="0" w:space="0" w:color="auto"/>
        <w:right w:val="none" w:sz="0" w:space="0" w:color="auto"/>
      </w:divBdr>
    </w:div>
    <w:div w:id="611522579">
      <w:bodyDiv w:val="1"/>
      <w:marLeft w:val="0"/>
      <w:marRight w:val="0"/>
      <w:marTop w:val="0"/>
      <w:marBottom w:val="0"/>
      <w:divBdr>
        <w:top w:val="none" w:sz="0" w:space="0" w:color="auto"/>
        <w:left w:val="none" w:sz="0" w:space="0" w:color="auto"/>
        <w:bottom w:val="none" w:sz="0" w:space="0" w:color="auto"/>
        <w:right w:val="none" w:sz="0" w:space="0" w:color="auto"/>
      </w:divBdr>
    </w:div>
    <w:div w:id="664170044">
      <w:bodyDiv w:val="1"/>
      <w:marLeft w:val="0"/>
      <w:marRight w:val="0"/>
      <w:marTop w:val="0"/>
      <w:marBottom w:val="0"/>
      <w:divBdr>
        <w:top w:val="none" w:sz="0" w:space="0" w:color="auto"/>
        <w:left w:val="none" w:sz="0" w:space="0" w:color="auto"/>
        <w:bottom w:val="none" w:sz="0" w:space="0" w:color="auto"/>
        <w:right w:val="none" w:sz="0" w:space="0" w:color="auto"/>
      </w:divBdr>
    </w:div>
    <w:div w:id="679813372">
      <w:bodyDiv w:val="1"/>
      <w:marLeft w:val="0"/>
      <w:marRight w:val="0"/>
      <w:marTop w:val="0"/>
      <w:marBottom w:val="0"/>
      <w:divBdr>
        <w:top w:val="none" w:sz="0" w:space="0" w:color="auto"/>
        <w:left w:val="none" w:sz="0" w:space="0" w:color="auto"/>
        <w:bottom w:val="none" w:sz="0" w:space="0" w:color="auto"/>
        <w:right w:val="none" w:sz="0" w:space="0" w:color="auto"/>
      </w:divBdr>
    </w:div>
    <w:div w:id="696084599">
      <w:bodyDiv w:val="1"/>
      <w:marLeft w:val="0"/>
      <w:marRight w:val="0"/>
      <w:marTop w:val="0"/>
      <w:marBottom w:val="0"/>
      <w:divBdr>
        <w:top w:val="none" w:sz="0" w:space="0" w:color="auto"/>
        <w:left w:val="none" w:sz="0" w:space="0" w:color="auto"/>
        <w:bottom w:val="none" w:sz="0" w:space="0" w:color="auto"/>
        <w:right w:val="none" w:sz="0" w:space="0" w:color="auto"/>
      </w:divBdr>
    </w:div>
    <w:div w:id="698313614">
      <w:bodyDiv w:val="1"/>
      <w:marLeft w:val="0"/>
      <w:marRight w:val="0"/>
      <w:marTop w:val="0"/>
      <w:marBottom w:val="0"/>
      <w:divBdr>
        <w:top w:val="none" w:sz="0" w:space="0" w:color="auto"/>
        <w:left w:val="none" w:sz="0" w:space="0" w:color="auto"/>
        <w:bottom w:val="none" w:sz="0" w:space="0" w:color="auto"/>
        <w:right w:val="none" w:sz="0" w:space="0" w:color="auto"/>
      </w:divBdr>
    </w:div>
    <w:div w:id="704869077">
      <w:bodyDiv w:val="1"/>
      <w:marLeft w:val="0"/>
      <w:marRight w:val="0"/>
      <w:marTop w:val="0"/>
      <w:marBottom w:val="0"/>
      <w:divBdr>
        <w:top w:val="none" w:sz="0" w:space="0" w:color="auto"/>
        <w:left w:val="none" w:sz="0" w:space="0" w:color="auto"/>
        <w:bottom w:val="none" w:sz="0" w:space="0" w:color="auto"/>
        <w:right w:val="none" w:sz="0" w:space="0" w:color="auto"/>
      </w:divBdr>
    </w:div>
    <w:div w:id="705176264">
      <w:bodyDiv w:val="1"/>
      <w:marLeft w:val="0"/>
      <w:marRight w:val="0"/>
      <w:marTop w:val="0"/>
      <w:marBottom w:val="0"/>
      <w:divBdr>
        <w:top w:val="none" w:sz="0" w:space="0" w:color="auto"/>
        <w:left w:val="none" w:sz="0" w:space="0" w:color="auto"/>
        <w:bottom w:val="none" w:sz="0" w:space="0" w:color="auto"/>
        <w:right w:val="none" w:sz="0" w:space="0" w:color="auto"/>
      </w:divBdr>
    </w:div>
    <w:div w:id="717778326">
      <w:bodyDiv w:val="1"/>
      <w:marLeft w:val="0"/>
      <w:marRight w:val="0"/>
      <w:marTop w:val="0"/>
      <w:marBottom w:val="0"/>
      <w:divBdr>
        <w:top w:val="none" w:sz="0" w:space="0" w:color="auto"/>
        <w:left w:val="none" w:sz="0" w:space="0" w:color="auto"/>
        <w:bottom w:val="none" w:sz="0" w:space="0" w:color="auto"/>
        <w:right w:val="none" w:sz="0" w:space="0" w:color="auto"/>
      </w:divBdr>
    </w:div>
    <w:div w:id="721289593">
      <w:bodyDiv w:val="1"/>
      <w:marLeft w:val="0"/>
      <w:marRight w:val="0"/>
      <w:marTop w:val="0"/>
      <w:marBottom w:val="0"/>
      <w:divBdr>
        <w:top w:val="none" w:sz="0" w:space="0" w:color="auto"/>
        <w:left w:val="none" w:sz="0" w:space="0" w:color="auto"/>
        <w:bottom w:val="none" w:sz="0" w:space="0" w:color="auto"/>
        <w:right w:val="none" w:sz="0" w:space="0" w:color="auto"/>
      </w:divBdr>
      <w:divsChild>
        <w:div w:id="669412227">
          <w:marLeft w:val="0"/>
          <w:marRight w:val="0"/>
          <w:marTop w:val="0"/>
          <w:marBottom w:val="0"/>
          <w:divBdr>
            <w:top w:val="none" w:sz="0" w:space="0" w:color="auto"/>
            <w:left w:val="none" w:sz="0" w:space="0" w:color="auto"/>
            <w:bottom w:val="none" w:sz="0" w:space="0" w:color="auto"/>
            <w:right w:val="none" w:sz="0" w:space="0" w:color="auto"/>
          </w:divBdr>
        </w:div>
        <w:div w:id="1018313563">
          <w:marLeft w:val="0"/>
          <w:marRight w:val="0"/>
          <w:marTop w:val="0"/>
          <w:marBottom w:val="0"/>
          <w:divBdr>
            <w:top w:val="none" w:sz="0" w:space="0" w:color="auto"/>
            <w:left w:val="none" w:sz="0" w:space="0" w:color="auto"/>
            <w:bottom w:val="none" w:sz="0" w:space="0" w:color="auto"/>
            <w:right w:val="none" w:sz="0" w:space="0" w:color="auto"/>
          </w:divBdr>
          <w:divsChild>
            <w:div w:id="692536513">
              <w:marLeft w:val="-75"/>
              <w:marRight w:val="0"/>
              <w:marTop w:val="30"/>
              <w:marBottom w:val="30"/>
              <w:divBdr>
                <w:top w:val="none" w:sz="0" w:space="0" w:color="auto"/>
                <w:left w:val="none" w:sz="0" w:space="0" w:color="auto"/>
                <w:bottom w:val="none" w:sz="0" w:space="0" w:color="auto"/>
                <w:right w:val="none" w:sz="0" w:space="0" w:color="auto"/>
              </w:divBdr>
              <w:divsChild>
                <w:div w:id="21173947">
                  <w:marLeft w:val="0"/>
                  <w:marRight w:val="0"/>
                  <w:marTop w:val="0"/>
                  <w:marBottom w:val="0"/>
                  <w:divBdr>
                    <w:top w:val="none" w:sz="0" w:space="0" w:color="auto"/>
                    <w:left w:val="none" w:sz="0" w:space="0" w:color="auto"/>
                    <w:bottom w:val="none" w:sz="0" w:space="0" w:color="auto"/>
                    <w:right w:val="none" w:sz="0" w:space="0" w:color="auto"/>
                  </w:divBdr>
                  <w:divsChild>
                    <w:div w:id="323898093">
                      <w:marLeft w:val="0"/>
                      <w:marRight w:val="0"/>
                      <w:marTop w:val="0"/>
                      <w:marBottom w:val="0"/>
                      <w:divBdr>
                        <w:top w:val="none" w:sz="0" w:space="0" w:color="auto"/>
                        <w:left w:val="none" w:sz="0" w:space="0" w:color="auto"/>
                        <w:bottom w:val="none" w:sz="0" w:space="0" w:color="auto"/>
                        <w:right w:val="none" w:sz="0" w:space="0" w:color="auto"/>
                      </w:divBdr>
                    </w:div>
                  </w:divsChild>
                </w:div>
                <w:div w:id="71972682">
                  <w:marLeft w:val="0"/>
                  <w:marRight w:val="0"/>
                  <w:marTop w:val="0"/>
                  <w:marBottom w:val="0"/>
                  <w:divBdr>
                    <w:top w:val="none" w:sz="0" w:space="0" w:color="auto"/>
                    <w:left w:val="none" w:sz="0" w:space="0" w:color="auto"/>
                    <w:bottom w:val="none" w:sz="0" w:space="0" w:color="auto"/>
                    <w:right w:val="none" w:sz="0" w:space="0" w:color="auto"/>
                  </w:divBdr>
                  <w:divsChild>
                    <w:div w:id="623191870">
                      <w:marLeft w:val="0"/>
                      <w:marRight w:val="0"/>
                      <w:marTop w:val="0"/>
                      <w:marBottom w:val="0"/>
                      <w:divBdr>
                        <w:top w:val="none" w:sz="0" w:space="0" w:color="auto"/>
                        <w:left w:val="none" w:sz="0" w:space="0" w:color="auto"/>
                        <w:bottom w:val="none" w:sz="0" w:space="0" w:color="auto"/>
                        <w:right w:val="none" w:sz="0" w:space="0" w:color="auto"/>
                      </w:divBdr>
                    </w:div>
                  </w:divsChild>
                </w:div>
                <w:div w:id="80875575">
                  <w:marLeft w:val="0"/>
                  <w:marRight w:val="0"/>
                  <w:marTop w:val="0"/>
                  <w:marBottom w:val="0"/>
                  <w:divBdr>
                    <w:top w:val="none" w:sz="0" w:space="0" w:color="auto"/>
                    <w:left w:val="none" w:sz="0" w:space="0" w:color="auto"/>
                    <w:bottom w:val="none" w:sz="0" w:space="0" w:color="auto"/>
                    <w:right w:val="none" w:sz="0" w:space="0" w:color="auto"/>
                  </w:divBdr>
                  <w:divsChild>
                    <w:div w:id="892303325">
                      <w:marLeft w:val="0"/>
                      <w:marRight w:val="0"/>
                      <w:marTop w:val="0"/>
                      <w:marBottom w:val="0"/>
                      <w:divBdr>
                        <w:top w:val="none" w:sz="0" w:space="0" w:color="auto"/>
                        <w:left w:val="none" w:sz="0" w:space="0" w:color="auto"/>
                        <w:bottom w:val="none" w:sz="0" w:space="0" w:color="auto"/>
                        <w:right w:val="none" w:sz="0" w:space="0" w:color="auto"/>
                      </w:divBdr>
                    </w:div>
                  </w:divsChild>
                </w:div>
                <w:div w:id="114638064">
                  <w:marLeft w:val="0"/>
                  <w:marRight w:val="0"/>
                  <w:marTop w:val="0"/>
                  <w:marBottom w:val="0"/>
                  <w:divBdr>
                    <w:top w:val="none" w:sz="0" w:space="0" w:color="auto"/>
                    <w:left w:val="none" w:sz="0" w:space="0" w:color="auto"/>
                    <w:bottom w:val="none" w:sz="0" w:space="0" w:color="auto"/>
                    <w:right w:val="none" w:sz="0" w:space="0" w:color="auto"/>
                  </w:divBdr>
                  <w:divsChild>
                    <w:div w:id="1840271899">
                      <w:marLeft w:val="0"/>
                      <w:marRight w:val="0"/>
                      <w:marTop w:val="0"/>
                      <w:marBottom w:val="0"/>
                      <w:divBdr>
                        <w:top w:val="none" w:sz="0" w:space="0" w:color="auto"/>
                        <w:left w:val="none" w:sz="0" w:space="0" w:color="auto"/>
                        <w:bottom w:val="none" w:sz="0" w:space="0" w:color="auto"/>
                        <w:right w:val="none" w:sz="0" w:space="0" w:color="auto"/>
                      </w:divBdr>
                    </w:div>
                  </w:divsChild>
                </w:div>
                <w:div w:id="151723517">
                  <w:marLeft w:val="0"/>
                  <w:marRight w:val="0"/>
                  <w:marTop w:val="0"/>
                  <w:marBottom w:val="0"/>
                  <w:divBdr>
                    <w:top w:val="none" w:sz="0" w:space="0" w:color="auto"/>
                    <w:left w:val="none" w:sz="0" w:space="0" w:color="auto"/>
                    <w:bottom w:val="none" w:sz="0" w:space="0" w:color="auto"/>
                    <w:right w:val="none" w:sz="0" w:space="0" w:color="auto"/>
                  </w:divBdr>
                  <w:divsChild>
                    <w:div w:id="1135876478">
                      <w:marLeft w:val="0"/>
                      <w:marRight w:val="0"/>
                      <w:marTop w:val="0"/>
                      <w:marBottom w:val="0"/>
                      <w:divBdr>
                        <w:top w:val="none" w:sz="0" w:space="0" w:color="auto"/>
                        <w:left w:val="none" w:sz="0" w:space="0" w:color="auto"/>
                        <w:bottom w:val="none" w:sz="0" w:space="0" w:color="auto"/>
                        <w:right w:val="none" w:sz="0" w:space="0" w:color="auto"/>
                      </w:divBdr>
                    </w:div>
                  </w:divsChild>
                </w:div>
                <w:div w:id="159274244">
                  <w:marLeft w:val="0"/>
                  <w:marRight w:val="0"/>
                  <w:marTop w:val="0"/>
                  <w:marBottom w:val="0"/>
                  <w:divBdr>
                    <w:top w:val="none" w:sz="0" w:space="0" w:color="auto"/>
                    <w:left w:val="none" w:sz="0" w:space="0" w:color="auto"/>
                    <w:bottom w:val="none" w:sz="0" w:space="0" w:color="auto"/>
                    <w:right w:val="none" w:sz="0" w:space="0" w:color="auto"/>
                  </w:divBdr>
                  <w:divsChild>
                    <w:div w:id="48188328">
                      <w:marLeft w:val="0"/>
                      <w:marRight w:val="0"/>
                      <w:marTop w:val="0"/>
                      <w:marBottom w:val="0"/>
                      <w:divBdr>
                        <w:top w:val="none" w:sz="0" w:space="0" w:color="auto"/>
                        <w:left w:val="none" w:sz="0" w:space="0" w:color="auto"/>
                        <w:bottom w:val="none" w:sz="0" w:space="0" w:color="auto"/>
                        <w:right w:val="none" w:sz="0" w:space="0" w:color="auto"/>
                      </w:divBdr>
                    </w:div>
                  </w:divsChild>
                </w:div>
                <w:div w:id="211036831">
                  <w:marLeft w:val="0"/>
                  <w:marRight w:val="0"/>
                  <w:marTop w:val="0"/>
                  <w:marBottom w:val="0"/>
                  <w:divBdr>
                    <w:top w:val="none" w:sz="0" w:space="0" w:color="auto"/>
                    <w:left w:val="none" w:sz="0" w:space="0" w:color="auto"/>
                    <w:bottom w:val="none" w:sz="0" w:space="0" w:color="auto"/>
                    <w:right w:val="none" w:sz="0" w:space="0" w:color="auto"/>
                  </w:divBdr>
                  <w:divsChild>
                    <w:div w:id="694623654">
                      <w:marLeft w:val="0"/>
                      <w:marRight w:val="0"/>
                      <w:marTop w:val="0"/>
                      <w:marBottom w:val="0"/>
                      <w:divBdr>
                        <w:top w:val="none" w:sz="0" w:space="0" w:color="auto"/>
                        <w:left w:val="none" w:sz="0" w:space="0" w:color="auto"/>
                        <w:bottom w:val="none" w:sz="0" w:space="0" w:color="auto"/>
                        <w:right w:val="none" w:sz="0" w:space="0" w:color="auto"/>
                      </w:divBdr>
                    </w:div>
                  </w:divsChild>
                </w:div>
                <w:div w:id="315646194">
                  <w:marLeft w:val="0"/>
                  <w:marRight w:val="0"/>
                  <w:marTop w:val="0"/>
                  <w:marBottom w:val="0"/>
                  <w:divBdr>
                    <w:top w:val="none" w:sz="0" w:space="0" w:color="auto"/>
                    <w:left w:val="none" w:sz="0" w:space="0" w:color="auto"/>
                    <w:bottom w:val="none" w:sz="0" w:space="0" w:color="auto"/>
                    <w:right w:val="none" w:sz="0" w:space="0" w:color="auto"/>
                  </w:divBdr>
                  <w:divsChild>
                    <w:div w:id="742751244">
                      <w:marLeft w:val="0"/>
                      <w:marRight w:val="0"/>
                      <w:marTop w:val="0"/>
                      <w:marBottom w:val="0"/>
                      <w:divBdr>
                        <w:top w:val="none" w:sz="0" w:space="0" w:color="auto"/>
                        <w:left w:val="none" w:sz="0" w:space="0" w:color="auto"/>
                        <w:bottom w:val="none" w:sz="0" w:space="0" w:color="auto"/>
                        <w:right w:val="none" w:sz="0" w:space="0" w:color="auto"/>
                      </w:divBdr>
                    </w:div>
                  </w:divsChild>
                </w:div>
                <w:div w:id="343214493">
                  <w:marLeft w:val="0"/>
                  <w:marRight w:val="0"/>
                  <w:marTop w:val="0"/>
                  <w:marBottom w:val="0"/>
                  <w:divBdr>
                    <w:top w:val="none" w:sz="0" w:space="0" w:color="auto"/>
                    <w:left w:val="none" w:sz="0" w:space="0" w:color="auto"/>
                    <w:bottom w:val="none" w:sz="0" w:space="0" w:color="auto"/>
                    <w:right w:val="none" w:sz="0" w:space="0" w:color="auto"/>
                  </w:divBdr>
                  <w:divsChild>
                    <w:div w:id="129789984">
                      <w:marLeft w:val="0"/>
                      <w:marRight w:val="0"/>
                      <w:marTop w:val="0"/>
                      <w:marBottom w:val="0"/>
                      <w:divBdr>
                        <w:top w:val="none" w:sz="0" w:space="0" w:color="auto"/>
                        <w:left w:val="none" w:sz="0" w:space="0" w:color="auto"/>
                        <w:bottom w:val="none" w:sz="0" w:space="0" w:color="auto"/>
                        <w:right w:val="none" w:sz="0" w:space="0" w:color="auto"/>
                      </w:divBdr>
                    </w:div>
                  </w:divsChild>
                </w:div>
                <w:div w:id="345787662">
                  <w:marLeft w:val="0"/>
                  <w:marRight w:val="0"/>
                  <w:marTop w:val="0"/>
                  <w:marBottom w:val="0"/>
                  <w:divBdr>
                    <w:top w:val="none" w:sz="0" w:space="0" w:color="auto"/>
                    <w:left w:val="none" w:sz="0" w:space="0" w:color="auto"/>
                    <w:bottom w:val="none" w:sz="0" w:space="0" w:color="auto"/>
                    <w:right w:val="none" w:sz="0" w:space="0" w:color="auto"/>
                  </w:divBdr>
                  <w:divsChild>
                    <w:div w:id="385222003">
                      <w:marLeft w:val="0"/>
                      <w:marRight w:val="0"/>
                      <w:marTop w:val="0"/>
                      <w:marBottom w:val="0"/>
                      <w:divBdr>
                        <w:top w:val="none" w:sz="0" w:space="0" w:color="auto"/>
                        <w:left w:val="none" w:sz="0" w:space="0" w:color="auto"/>
                        <w:bottom w:val="none" w:sz="0" w:space="0" w:color="auto"/>
                        <w:right w:val="none" w:sz="0" w:space="0" w:color="auto"/>
                      </w:divBdr>
                    </w:div>
                  </w:divsChild>
                </w:div>
                <w:div w:id="381057431">
                  <w:marLeft w:val="0"/>
                  <w:marRight w:val="0"/>
                  <w:marTop w:val="0"/>
                  <w:marBottom w:val="0"/>
                  <w:divBdr>
                    <w:top w:val="none" w:sz="0" w:space="0" w:color="auto"/>
                    <w:left w:val="none" w:sz="0" w:space="0" w:color="auto"/>
                    <w:bottom w:val="none" w:sz="0" w:space="0" w:color="auto"/>
                    <w:right w:val="none" w:sz="0" w:space="0" w:color="auto"/>
                  </w:divBdr>
                  <w:divsChild>
                    <w:div w:id="890460020">
                      <w:marLeft w:val="0"/>
                      <w:marRight w:val="0"/>
                      <w:marTop w:val="0"/>
                      <w:marBottom w:val="0"/>
                      <w:divBdr>
                        <w:top w:val="none" w:sz="0" w:space="0" w:color="auto"/>
                        <w:left w:val="none" w:sz="0" w:space="0" w:color="auto"/>
                        <w:bottom w:val="none" w:sz="0" w:space="0" w:color="auto"/>
                        <w:right w:val="none" w:sz="0" w:space="0" w:color="auto"/>
                      </w:divBdr>
                    </w:div>
                  </w:divsChild>
                </w:div>
                <w:div w:id="420372751">
                  <w:marLeft w:val="0"/>
                  <w:marRight w:val="0"/>
                  <w:marTop w:val="0"/>
                  <w:marBottom w:val="0"/>
                  <w:divBdr>
                    <w:top w:val="none" w:sz="0" w:space="0" w:color="auto"/>
                    <w:left w:val="none" w:sz="0" w:space="0" w:color="auto"/>
                    <w:bottom w:val="none" w:sz="0" w:space="0" w:color="auto"/>
                    <w:right w:val="none" w:sz="0" w:space="0" w:color="auto"/>
                  </w:divBdr>
                  <w:divsChild>
                    <w:div w:id="2122215839">
                      <w:marLeft w:val="0"/>
                      <w:marRight w:val="0"/>
                      <w:marTop w:val="0"/>
                      <w:marBottom w:val="0"/>
                      <w:divBdr>
                        <w:top w:val="none" w:sz="0" w:space="0" w:color="auto"/>
                        <w:left w:val="none" w:sz="0" w:space="0" w:color="auto"/>
                        <w:bottom w:val="none" w:sz="0" w:space="0" w:color="auto"/>
                        <w:right w:val="none" w:sz="0" w:space="0" w:color="auto"/>
                      </w:divBdr>
                    </w:div>
                  </w:divsChild>
                </w:div>
                <w:div w:id="452750582">
                  <w:marLeft w:val="0"/>
                  <w:marRight w:val="0"/>
                  <w:marTop w:val="0"/>
                  <w:marBottom w:val="0"/>
                  <w:divBdr>
                    <w:top w:val="none" w:sz="0" w:space="0" w:color="auto"/>
                    <w:left w:val="none" w:sz="0" w:space="0" w:color="auto"/>
                    <w:bottom w:val="none" w:sz="0" w:space="0" w:color="auto"/>
                    <w:right w:val="none" w:sz="0" w:space="0" w:color="auto"/>
                  </w:divBdr>
                  <w:divsChild>
                    <w:div w:id="871579803">
                      <w:marLeft w:val="0"/>
                      <w:marRight w:val="0"/>
                      <w:marTop w:val="0"/>
                      <w:marBottom w:val="0"/>
                      <w:divBdr>
                        <w:top w:val="none" w:sz="0" w:space="0" w:color="auto"/>
                        <w:left w:val="none" w:sz="0" w:space="0" w:color="auto"/>
                        <w:bottom w:val="none" w:sz="0" w:space="0" w:color="auto"/>
                        <w:right w:val="none" w:sz="0" w:space="0" w:color="auto"/>
                      </w:divBdr>
                    </w:div>
                  </w:divsChild>
                </w:div>
                <w:div w:id="462578441">
                  <w:marLeft w:val="0"/>
                  <w:marRight w:val="0"/>
                  <w:marTop w:val="0"/>
                  <w:marBottom w:val="0"/>
                  <w:divBdr>
                    <w:top w:val="none" w:sz="0" w:space="0" w:color="auto"/>
                    <w:left w:val="none" w:sz="0" w:space="0" w:color="auto"/>
                    <w:bottom w:val="none" w:sz="0" w:space="0" w:color="auto"/>
                    <w:right w:val="none" w:sz="0" w:space="0" w:color="auto"/>
                  </w:divBdr>
                  <w:divsChild>
                    <w:div w:id="1980307381">
                      <w:marLeft w:val="0"/>
                      <w:marRight w:val="0"/>
                      <w:marTop w:val="0"/>
                      <w:marBottom w:val="0"/>
                      <w:divBdr>
                        <w:top w:val="none" w:sz="0" w:space="0" w:color="auto"/>
                        <w:left w:val="none" w:sz="0" w:space="0" w:color="auto"/>
                        <w:bottom w:val="none" w:sz="0" w:space="0" w:color="auto"/>
                        <w:right w:val="none" w:sz="0" w:space="0" w:color="auto"/>
                      </w:divBdr>
                    </w:div>
                  </w:divsChild>
                </w:div>
                <w:div w:id="491215989">
                  <w:marLeft w:val="0"/>
                  <w:marRight w:val="0"/>
                  <w:marTop w:val="0"/>
                  <w:marBottom w:val="0"/>
                  <w:divBdr>
                    <w:top w:val="none" w:sz="0" w:space="0" w:color="auto"/>
                    <w:left w:val="none" w:sz="0" w:space="0" w:color="auto"/>
                    <w:bottom w:val="none" w:sz="0" w:space="0" w:color="auto"/>
                    <w:right w:val="none" w:sz="0" w:space="0" w:color="auto"/>
                  </w:divBdr>
                  <w:divsChild>
                    <w:div w:id="1585146271">
                      <w:marLeft w:val="0"/>
                      <w:marRight w:val="0"/>
                      <w:marTop w:val="0"/>
                      <w:marBottom w:val="0"/>
                      <w:divBdr>
                        <w:top w:val="none" w:sz="0" w:space="0" w:color="auto"/>
                        <w:left w:val="none" w:sz="0" w:space="0" w:color="auto"/>
                        <w:bottom w:val="none" w:sz="0" w:space="0" w:color="auto"/>
                        <w:right w:val="none" w:sz="0" w:space="0" w:color="auto"/>
                      </w:divBdr>
                    </w:div>
                  </w:divsChild>
                </w:div>
                <w:div w:id="508525670">
                  <w:marLeft w:val="0"/>
                  <w:marRight w:val="0"/>
                  <w:marTop w:val="0"/>
                  <w:marBottom w:val="0"/>
                  <w:divBdr>
                    <w:top w:val="none" w:sz="0" w:space="0" w:color="auto"/>
                    <w:left w:val="none" w:sz="0" w:space="0" w:color="auto"/>
                    <w:bottom w:val="none" w:sz="0" w:space="0" w:color="auto"/>
                    <w:right w:val="none" w:sz="0" w:space="0" w:color="auto"/>
                  </w:divBdr>
                  <w:divsChild>
                    <w:div w:id="961114067">
                      <w:marLeft w:val="0"/>
                      <w:marRight w:val="0"/>
                      <w:marTop w:val="0"/>
                      <w:marBottom w:val="0"/>
                      <w:divBdr>
                        <w:top w:val="none" w:sz="0" w:space="0" w:color="auto"/>
                        <w:left w:val="none" w:sz="0" w:space="0" w:color="auto"/>
                        <w:bottom w:val="none" w:sz="0" w:space="0" w:color="auto"/>
                        <w:right w:val="none" w:sz="0" w:space="0" w:color="auto"/>
                      </w:divBdr>
                    </w:div>
                  </w:divsChild>
                </w:div>
                <w:div w:id="522061291">
                  <w:marLeft w:val="0"/>
                  <w:marRight w:val="0"/>
                  <w:marTop w:val="0"/>
                  <w:marBottom w:val="0"/>
                  <w:divBdr>
                    <w:top w:val="none" w:sz="0" w:space="0" w:color="auto"/>
                    <w:left w:val="none" w:sz="0" w:space="0" w:color="auto"/>
                    <w:bottom w:val="none" w:sz="0" w:space="0" w:color="auto"/>
                    <w:right w:val="none" w:sz="0" w:space="0" w:color="auto"/>
                  </w:divBdr>
                  <w:divsChild>
                    <w:div w:id="1531186931">
                      <w:marLeft w:val="0"/>
                      <w:marRight w:val="0"/>
                      <w:marTop w:val="0"/>
                      <w:marBottom w:val="0"/>
                      <w:divBdr>
                        <w:top w:val="none" w:sz="0" w:space="0" w:color="auto"/>
                        <w:left w:val="none" w:sz="0" w:space="0" w:color="auto"/>
                        <w:bottom w:val="none" w:sz="0" w:space="0" w:color="auto"/>
                        <w:right w:val="none" w:sz="0" w:space="0" w:color="auto"/>
                      </w:divBdr>
                    </w:div>
                  </w:divsChild>
                </w:div>
                <w:div w:id="586352586">
                  <w:marLeft w:val="0"/>
                  <w:marRight w:val="0"/>
                  <w:marTop w:val="0"/>
                  <w:marBottom w:val="0"/>
                  <w:divBdr>
                    <w:top w:val="none" w:sz="0" w:space="0" w:color="auto"/>
                    <w:left w:val="none" w:sz="0" w:space="0" w:color="auto"/>
                    <w:bottom w:val="none" w:sz="0" w:space="0" w:color="auto"/>
                    <w:right w:val="none" w:sz="0" w:space="0" w:color="auto"/>
                  </w:divBdr>
                  <w:divsChild>
                    <w:div w:id="294793480">
                      <w:marLeft w:val="0"/>
                      <w:marRight w:val="0"/>
                      <w:marTop w:val="0"/>
                      <w:marBottom w:val="0"/>
                      <w:divBdr>
                        <w:top w:val="none" w:sz="0" w:space="0" w:color="auto"/>
                        <w:left w:val="none" w:sz="0" w:space="0" w:color="auto"/>
                        <w:bottom w:val="none" w:sz="0" w:space="0" w:color="auto"/>
                        <w:right w:val="none" w:sz="0" w:space="0" w:color="auto"/>
                      </w:divBdr>
                    </w:div>
                  </w:divsChild>
                </w:div>
                <w:div w:id="658851831">
                  <w:marLeft w:val="0"/>
                  <w:marRight w:val="0"/>
                  <w:marTop w:val="0"/>
                  <w:marBottom w:val="0"/>
                  <w:divBdr>
                    <w:top w:val="none" w:sz="0" w:space="0" w:color="auto"/>
                    <w:left w:val="none" w:sz="0" w:space="0" w:color="auto"/>
                    <w:bottom w:val="none" w:sz="0" w:space="0" w:color="auto"/>
                    <w:right w:val="none" w:sz="0" w:space="0" w:color="auto"/>
                  </w:divBdr>
                  <w:divsChild>
                    <w:div w:id="1553425836">
                      <w:marLeft w:val="0"/>
                      <w:marRight w:val="0"/>
                      <w:marTop w:val="0"/>
                      <w:marBottom w:val="0"/>
                      <w:divBdr>
                        <w:top w:val="none" w:sz="0" w:space="0" w:color="auto"/>
                        <w:left w:val="none" w:sz="0" w:space="0" w:color="auto"/>
                        <w:bottom w:val="none" w:sz="0" w:space="0" w:color="auto"/>
                        <w:right w:val="none" w:sz="0" w:space="0" w:color="auto"/>
                      </w:divBdr>
                    </w:div>
                  </w:divsChild>
                </w:div>
                <w:div w:id="672924626">
                  <w:marLeft w:val="0"/>
                  <w:marRight w:val="0"/>
                  <w:marTop w:val="0"/>
                  <w:marBottom w:val="0"/>
                  <w:divBdr>
                    <w:top w:val="none" w:sz="0" w:space="0" w:color="auto"/>
                    <w:left w:val="none" w:sz="0" w:space="0" w:color="auto"/>
                    <w:bottom w:val="none" w:sz="0" w:space="0" w:color="auto"/>
                    <w:right w:val="none" w:sz="0" w:space="0" w:color="auto"/>
                  </w:divBdr>
                  <w:divsChild>
                    <w:div w:id="1661469577">
                      <w:marLeft w:val="0"/>
                      <w:marRight w:val="0"/>
                      <w:marTop w:val="0"/>
                      <w:marBottom w:val="0"/>
                      <w:divBdr>
                        <w:top w:val="none" w:sz="0" w:space="0" w:color="auto"/>
                        <w:left w:val="none" w:sz="0" w:space="0" w:color="auto"/>
                        <w:bottom w:val="none" w:sz="0" w:space="0" w:color="auto"/>
                        <w:right w:val="none" w:sz="0" w:space="0" w:color="auto"/>
                      </w:divBdr>
                    </w:div>
                  </w:divsChild>
                </w:div>
                <w:div w:id="745537562">
                  <w:marLeft w:val="0"/>
                  <w:marRight w:val="0"/>
                  <w:marTop w:val="0"/>
                  <w:marBottom w:val="0"/>
                  <w:divBdr>
                    <w:top w:val="none" w:sz="0" w:space="0" w:color="auto"/>
                    <w:left w:val="none" w:sz="0" w:space="0" w:color="auto"/>
                    <w:bottom w:val="none" w:sz="0" w:space="0" w:color="auto"/>
                    <w:right w:val="none" w:sz="0" w:space="0" w:color="auto"/>
                  </w:divBdr>
                  <w:divsChild>
                    <w:div w:id="101656830">
                      <w:marLeft w:val="0"/>
                      <w:marRight w:val="0"/>
                      <w:marTop w:val="0"/>
                      <w:marBottom w:val="0"/>
                      <w:divBdr>
                        <w:top w:val="none" w:sz="0" w:space="0" w:color="auto"/>
                        <w:left w:val="none" w:sz="0" w:space="0" w:color="auto"/>
                        <w:bottom w:val="none" w:sz="0" w:space="0" w:color="auto"/>
                        <w:right w:val="none" w:sz="0" w:space="0" w:color="auto"/>
                      </w:divBdr>
                    </w:div>
                  </w:divsChild>
                </w:div>
                <w:div w:id="805049597">
                  <w:marLeft w:val="0"/>
                  <w:marRight w:val="0"/>
                  <w:marTop w:val="0"/>
                  <w:marBottom w:val="0"/>
                  <w:divBdr>
                    <w:top w:val="none" w:sz="0" w:space="0" w:color="auto"/>
                    <w:left w:val="none" w:sz="0" w:space="0" w:color="auto"/>
                    <w:bottom w:val="none" w:sz="0" w:space="0" w:color="auto"/>
                    <w:right w:val="none" w:sz="0" w:space="0" w:color="auto"/>
                  </w:divBdr>
                  <w:divsChild>
                    <w:div w:id="1601328786">
                      <w:marLeft w:val="0"/>
                      <w:marRight w:val="0"/>
                      <w:marTop w:val="0"/>
                      <w:marBottom w:val="0"/>
                      <w:divBdr>
                        <w:top w:val="none" w:sz="0" w:space="0" w:color="auto"/>
                        <w:left w:val="none" w:sz="0" w:space="0" w:color="auto"/>
                        <w:bottom w:val="none" w:sz="0" w:space="0" w:color="auto"/>
                        <w:right w:val="none" w:sz="0" w:space="0" w:color="auto"/>
                      </w:divBdr>
                    </w:div>
                  </w:divsChild>
                </w:div>
                <w:div w:id="832111916">
                  <w:marLeft w:val="0"/>
                  <w:marRight w:val="0"/>
                  <w:marTop w:val="0"/>
                  <w:marBottom w:val="0"/>
                  <w:divBdr>
                    <w:top w:val="none" w:sz="0" w:space="0" w:color="auto"/>
                    <w:left w:val="none" w:sz="0" w:space="0" w:color="auto"/>
                    <w:bottom w:val="none" w:sz="0" w:space="0" w:color="auto"/>
                    <w:right w:val="none" w:sz="0" w:space="0" w:color="auto"/>
                  </w:divBdr>
                  <w:divsChild>
                    <w:div w:id="622155109">
                      <w:marLeft w:val="0"/>
                      <w:marRight w:val="0"/>
                      <w:marTop w:val="0"/>
                      <w:marBottom w:val="0"/>
                      <w:divBdr>
                        <w:top w:val="none" w:sz="0" w:space="0" w:color="auto"/>
                        <w:left w:val="none" w:sz="0" w:space="0" w:color="auto"/>
                        <w:bottom w:val="none" w:sz="0" w:space="0" w:color="auto"/>
                        <w:right w:val="none" w:sz="0" w:space="0" w:color="auto"/>
                      </w:divBdr>
                    </w:div>
                  </w:divsChild>
                </w:div>
                <w:div w:id="874197086">
                  <w:marLeft w:val="0"/>
                  <w:marRight w:val="0"/>
                  <w:marTop w:val="0"/>
                  <w:marBottom w:val="0"/>
                  <w:divBdr>
                    <w:top w:val="none" w:sz="0" w:space="0" w:color="auto"/>
                    <w:left w:val="none" w:sz="0" w:space="0" w:color="auto"/>
                    <w:bottom w:val="none" w:sz="0" w:space="0" w:color="auto"/>
                    <w:right w:val="none" w:sz="0" w:space="0" w:color="auto"/>
                  </w:divBdr>
                  <w:divsChild>
                    <w:div w:id="340931616">
                      <w:marLeft w:val="0"/>
                      <w:marRight w:val="0"/>
                      <w:marTop w:val="0"/>
                      <w:marBottom w:val="0"/>
                      <w:divBdr>
                        <w:top w:val="none" w:sz="0" w:space="0" w:color="auto"/>
                        <w:left w:val="none" w:sz="0" w:space="0" w:color="auto"/>
                        <w:bottom w:val="none" w:sz="0" w:space="0" w:color="auto"/>
                        <w:right w:val="none" w:sz="0" w:space="0" w:color="auto"/>
                      </w:divBdr>
                    </w:div>
                    <w:div w:id="1366441595">
                      <w:marLeft w:val="0"/>
                      <w:marRight w:val="0"/>
                      <w:marTop w:val="0"/>
                      <w:marBottom w:val="0"/>
                      <w:divBdr>
                        <w:top w:val="none" w:sz="0" w:space="0" w:color="auto"/>
                        <w:left w:val="none" w:sz="0" w:space="0" w:color="auto"/>
                        <w:bottom w:val="none" w:sz="0" w:space="0" w:color="auto"/>
                        <w:right w:val="none" w:sz="0" w:space="0" w:color="auto"/>
                      </w:divBdr>
                    </w:div>
                  </w:divsChild>
                </w:div>
                <w:div w:id="915361520">
                  <w:marLeft w:val="0"/>
                  <w:marRight w:val="0"/>
                  <w:marTop w:val="0"/>
                  <w:marBottom w:val="0"/>
                  <w:divBdr>
                    <w:top w:val="none" w:sz="0" w:space="0" w:color="auto"/>
                    <w:left w:val="none" w:sz="0" w:space="0" w:color="auto"/>
                    <w:bottom w:val="none" w:sz="0" w:space="0" w:color="auto"/>
                    <w:right w:val="none" w:sz="0" w:space="0" w:color="auto"/>
                  </w:divBdr>
                  <w:divsChild>
                    <w:div w:id="1574271156">
                      <w:marLeft w:val="0"/>
                      <w:marRight w:val="0"/>
                      <w:marTop w:val="0"/>
                      <w:marBottom w:val="0"/>
                      <w:divBdr>
                        <w:top w:val="none" w:sz="0" w:space="0" w:color="auto"/>
                        <w:left w:val="none" w:sz="0" w:space="0" w:color="auto"/>
                        <w:bottom w:val="none" w:sz="0" w:space="0" w:color="auto"/>
                        <w:right w:val="none" w:sz="0" w:space="0" w:color="auto"/>
                      </w:divBdr>
                    </w:div>
                  </w:divsChild>
                </w:div>
                <w:div w:id="963267717">
                  <w:marLeft w:val="0"/>
                  <w:marRight w:val="0"/>
                  <w:marTop w:val="0"/>
                  <w:marBottom w:val="0"/>
                  <w:divBdr>
                    <w:top w:val="none" w:sz="0" w:space="0" w:color="auto"/>
                    <w:left w:val="none" w:sz="0" w:space="0" w:color="auto"/>
                    <w:bottom w:val="none" w:sz="0" w:space="0" w:color="auto"/>
                    <w:right w:val="none" w:sz="0" w:space="0" w:color="auto"/>
                  </w:divBdr>
                  <w:divsChild>
                    <w:div w:id="281309207">
                      <w:marLeft w:val="0"/>
                      <w:marRight w:val="0"/>
                      <w:marTop w:val="0"/>
                      <w:marBottom w:val="0"/>
                      <w:divBdr>
                        <w:top w:val="none" w:sz="0" w:space="0" w:color="auto"/>
                        <w:left w:val="none" w:sz="0" w:space="0" w:color="auto"/>
                        <w:bottom w:val="none" w:sz="0" w:space="0" w:color="auto"/>
                        <w:right w:val="none" w:sz="0" w:space="0" w:color="auto"/>
                      </w:divBdr>
                    </w:div>
                  </w:divsChild>
                </w:div>
                <w:div w:id="1073432227">
                  <w:marLeft w:val="0"/>
                  <w:marRight w:val="0"/>
                  <w:marTop w:val="0"/>
                  <w:marBottom w:val="0"/>
                  <w:divBdr>
                    <w:top w:val="none" w:sz="0" w:space="0" w:color="auto"/>
                    <w:left w:val="none" w:sz="0" w:space="0" w:color="auto"/>
                    <w:bottom w:val="none" w:sz="0" w:space="0" w:color="auto"/>
                    <w:right w:val="none" w:sz="0" w:space="0" w:color="auto"/>
                  </w:divBdr>
                  <w:divsChild>
                    <w:div w:id="423890473">
                      <w:marLeft w:val="0"/>
                      <w:marRight w:val="0"/>
                      <w:marTop w:val="0"/>
                      <w:marBottom w:val="0"/>
                      <w:divBdr>
                        <w:top w:val="none" w:sz="0" w:space="0" w:color="auto"/>
                        <w:left w:val="none" w:sz="0" w:space="0" w:color="auto"/>
                        <w:bottom w:val="none" w:sz="0" w:space="0" w:color="auto"/>
                        <w:right w:val="none" w:sz="0" w:space="0" w:color="auto"/>
                      </w:divBdr>
                    </w:div>
                  </w:divsChild>
                </w:div>
                <w:div w:id="1088499283">
                  <w:marLeft w:val="0"/>
                  <w:marRight w:val="0"/>
                  <w:marTop w:val="0"/>
                  <w:marBottom w:val="0"/>
                  <w:divBdr>
                    <w:top w:val="none" w:sz="0" w:space="0" w:color="auto"/>
                    <w:left w:val="none" w:sz="0" w:space="0" w:color="auto"/>
                    <w:bottom w:val="none" w:sz="0" w:space="0" w:color="auto"/>
                    <w:right w:val="none" w:sz="0" w:space="0" w:color="auto"/>
                  </w:divBdr>
                  <w:divsChild>
                    <w:div w:id="646251165">
                      <w:marLeft w:val="0"/>
                      <w:marRight w:val="0"/>
                      <w:marTop w:val="0"/>
                      <w:marBottom w:val="0"/>
                      <w:divBdr>
                        <w:top w:val="none" w:sz="0" w:space="0" w:color="auto"/>
                        <w:left w:val="none" w:sz="0" w:space="0" w:color="auto"/>
                        <w:bottom w:val="none" w:sz="0" w:space="0" w:color="auto"/>
                        <w:right w:val="none" w:sz="0" w:space="0" w:color="auto"/>
                      </w:divBdr>
                    </w:div>
                  </w:divsChild>
                </w:div>
                <w:div w:id="1127577662">
                  <w:marLeft w:val="0"/>
                  <w:marRight w:val="0"/>
                  <w:marTop w:val="0"/>
                  <w:marBottom w:val="0"/>
                  <w:divBdr>
                    <w:top w:val="none" w:sz="0" w:space="0" w:color="auto"/>
                    <w:left w:val="none" w:sz="0" w:space="0" w:color="auto"/>
                    <w:bottom w:val="none" w:sz="0" w:space="0" w:color="auto"/>
                    <w:right w:val="none" w:sz="0" w:space="0" w:color="auto"/>
                  </w:divBdr>
                  <w:divsChild>
                    <w:div w:id="1459295699">
                      <w:marLeft w:val="0"/>
                      <w:marRight w:val="0"/>
                      <w:marTop w:val="0"/>
                      <w:marBottom w:val="0"/>
                      <w:divBdr>
                        <w:top w:val="none" w:sz="0" w:space="0" w:color="auto"/>
                        <w:left w:val="none" w:sz="0" w:space="0" w:color="auto"/>
                        <w:bottom w:val="none" w:sz="0" w:space="0" w:color="auto"/>
                        <w:right w:val="none" w:sz="0" w:space="0" w:color="auto"/>
                      </w:divBdr>
                    </w:div>
                  </w:divsChild>
                </w:div>
                <w:div w:id="1188759120">
                  <w:marLeft w:val="0"/>
                  <w:marRight w:val="0"/>
                  <w:marTop w:val="0"/>
                  <w:marBottom w:val="0"/>
                  <w:divBdr>
                    <w:top w:val="none" w:sz="0" w:space="0" w:color="auto"/>
                    <w:left w:val="none" w:sz="0" w:space="0" w:color="auto"/>
                    <w:bottom w:val="none" w:sz="0" w:space="0" w:color="auto"/>
                    <w:right w:val="none" w:sz="0" w:space="0" w:color="auto"/>
                  </w:divBdr>
                  <w:divsChild>
                    <w:div w:id="1493377662">
                      <w:marLeft w:val="0"/>
                      <w:marRight w:val="0"/>
                      <w:marTop w:val="0"/>
                      <w:marBottom w:val="0"/>
                      <w:divBdr>
                        <w:top w:val="none" w:sz="0" w:space="0" w:color="auto"/>
                        <w:left w:val="none" w:sz="0" w:space="0" w:color="auto"/>
                        <w:bottom w:val="none" w:sz="0" w:space="0" w:color="auto"/>
                        <w:right w:val="none" w:sz="0" w:space="0" w:color="auto"/>
                      </w:divBdr>
                    </w:div>
                  </w:divsChild>
                </w:div>
                <w:div w:id="1294409376">
                  <w:marLeft w:val="0"/>
                  <w:marRight w:val="0"/>
                  <w:marTop w:val="0"/>
                  <w:marBottom w:val="0"/>
                  <w:divBdr>
                    <w:top w:val="none" w:sz="0" w:space="0" w:color="auto"/>
                    <w:left w:val="none" w:sz="0" w:space="0" w:color="auto"/>
                    <w:bottom w:val="none" w:sz="0" w:space="0" w:color="auto"/>
                    <w:right w:val="none" w:sz="0" w:space="0" w:color="auto"/>
                  </w:divBdr>
                  <w:divsChild>
                    <w:div w:id="1660697756">
                      <w:marLeft w:val="0"/>
                      <w:marRight w:val="0"/>
                      <w:marTop w:val="0"/>
                      <w:marBottom w:val="0"/>
                      <w:divBdr>
                        <w:top w:val="none" w:sz="0" w:space="0" w:color="auto"/>
                        <w:left w:val="none" w:sz="0" w:space="0" w:color="auto"/>
                        <w:bottom w:val="none" w:sz="0" w:space="0" w:color="auto"/>
                        <w:right w:val="none" w:sz="0" w:space="0" w:color="auto"/>
                      </w:divBdr>
                    </w:div>
                  </w:divsChild>
                </w:div>
                <w:div w:id="1337729944">
                  <w:marLeft w:val="0"/>
                  <w:marRight w:val="0"/>
                  <w:marTop w:val="0"/>
                  <w:marBottom w:val="0"/>
                  <w:divBdr>
                    <w:top w:val="none" w:sz="0" w:space="0" w:color="auto"/>
                    <w:left w:val="none" w:sz="0" w:space="0" w:color="auto"/>
                    <w:bottom w:val="none" w:sz="0" w:space="0" w:color="auto"/>
                    <w:right w:val="none" w:sz="0" w:space="0" w:color="auto"/>
                  </w:divBdr>
                  <w:divsChild>
                    <w:div w:id="728000261">
                      <w:marLeft w:val="0"/>
                      <w:marRight w:val="0"/>
                      <w:marTop w:val="0"/>
                      <w:marBottom w:val="0"/>
                      <w:divBdr>
                        <w:top w:val="none" w:sz="0" w:space="0" w:color="auto"/>
                        <w:left w:val="none" w:sz="0" w:space="0" w:color="auto"/>
                        <w:bottom w:val="none" w:sz="0" w:space="0" w:color="auto"/>
                        <w:right w:val="none" w:sz="0" w:space="0" w:color="auto"/>
                      </w:divBdr>
                    </w:div>
                  </w:divsChild>
                </w:div>
                <w:div w:id="1362778155">
                  <w:marLeft w:val="0"/>
                  <w:marRight w:val="0"/>
                  <w:marTop w:val="0"/>
                  <w:marBottom w:val="0"/>
                  <w:divBdr>
                    <w:top w:val="none" w:sz="0" w:space="0" w:color="auto"/>
                    <w:left w:val="none" w:sz="0" w:space="0" w:color="auto"/>
                    <w:bottom w:val="none" w:sz="0" w:space="0" w:color="auto"/>
                    <w:right w:val="none" w:sz="0" w:space="0" w:color="auto"/>
                  </w:divBdr>
                  <w:divsChild>
                    <w:div w:id="2020692306">
                      <w:marLeft w:val="0"/>
                      <w:marRight w:val="0"/>
                      <w:marTop w:val="0"/>
                      <w:marBottom w:val="0"/>
                      <w:divBdr>
                        <w:top w:val="none" w:sz="0" w:space="0" w:color="auto"/>
                        <w:left w:val="none" w:sz="0" w:space="0" w:color="auto"/>
                        <w:bottom w:val="none" w:sz="0" w:space="0" w:color="auto"/>
                        <w:right w:val="none" w:sz="0" w:space="0" w:color="auto"/>
                      </w:divBdr>
                    </w:div>
                  </w:divsChild>
                </w:div>
                <w:div w:id="1391803026">
                  <w:marLeft w:val="0"/>
                  <w:marRight w:val="0"/>
                  <w:marTop w:val="0"/>
                  <w:marBottom w:val="0"/>
                  <w:divBdr>
                    <w:top w:val="none" w:sz="0" w:space="0" w:color="auto"/>
                    <w:left w:val="none" w:sz="0" w:space="0" w:color="auto"/>
                    <w:bottom w:val="none" w:sz="0" w:space="0" w:color="auto"/>
                    <w:right w:val="none" w:sz="0" w:space="0" w:color="auto"/>
                  </w:divBdr>
                  <w:divsChild>
                    <w:div w:id="1139104219">
                      <w:marLeft w:val="0"/>
                      <w:marRight w:val="0"/>
                      <w:marTop w:val="0"/>
                      <w:marBottom w:val="0"/>
                      <w:divBdr>
                        <w:top w:val="none" w:sz="0" w:space="0" w:color="auto"/>
                        <w:left w:val="none" w:sz="0" w:space="0" w:color="auto"/>
                        <w:bottom w:val="none" w:sz="0" w:space="0" w:color="auto"/>
                        <w:right w:val="none" w:sz="0" w:space="0" w:color="auto"/>
                      </w:divBdr>
                    </w:div>
                  </w:divsChild>
                </w:div>
                <w:div w:id="1393038082">
                  <w:marLeft w:val="0"/>
                  <w:marRight w:val="0"/>
                  <w:marTop w:val="0"/>
                  <w:marBottom w:val="0"/>
                  <w:divBdr>
                    <w:top w:val="none" w:sz="0" w:space="0" w:color="auto"/>
                    <w:left w:val="none" w:sz="0" w:space="0" w:color="auto"/>
                    <w:bottom w:val="none" w:sz="0" w:space="0" w:color="auto"/>
                    <w:right w:val="none" w:sz="0" w:space="0" w:color="auto"/>
                  </w:divBdr>
                  <w:divsChild>
                    <w:div w:id="1012027163">
                      <w:marLeft w:val="0"/>
                      <w:marRight w:val="0"/>
                      <w:marTop w:val="0"/>
                      <w:marBottom w:val="0"/>
                      <w:divBdr>
                        <w:top w:val="none" w:sz="0" w:space="0" w:color="auto"/>
                        <w:left w:val="none" w:sz="0" w:space="0" w:color="auto"/>
                        <w:bottom w:val="none" w:sz="0" w:space="0" w:color="auto"/>
                        <w:right w:val="none" w:sz="0" w:space="0" w:color="auto"/>
                      </w:divBdr>
                    </w:div>
                  </w:divsChild>
                </w:div>
                <w:div w:id="1430932998">
                  <w:marLeft w:val="0"/>
                  <w:marRight w:val="0"/>
                  <w:marTop w:val="0"/>
                  <w:marBottom w:val="0"/>
                  <w:divBdr>
                    <w:top w:val="none" w:sz="0" w:space="0" w:color="auto"/>
                    <w:left w:val="none" w:sz="0" w:space="0" w:color="auto"/>
                    <w:bottom w:val="none" w:sz="0" w:space="0" w:color="auto"/>
                    <w:right w:val="none" w:sz="0" w:space="0" w:color="auto"/>
                  </w:divBdr>
                  <w:divsChild>
                    <w:div w:id="2042587903">
                      <w:marLeft w:val="0"/>
                      <w:marRight w:val="0"/>
                      <w:marTop w:val="0"/>
                      <w:marBottom w:val="0"/>
                      <w:divBdr>
                        <w:top w:val="none" w:sz="0" w:space="0" w:color="auto"/>
                        <w:left w:val="none" w:sz="0" w:space="0" w:color="auto"/>
                        <w:bottom w:val="none" w:sz="0" w:space="0" w:color="auto"/>
                        <w:right w:val="none" w:sz="0" w:space="0" w:color="auto"/>
                      </w:divBdr>
                    </w:div>
                  </w:divsChild>
                </w:div>
                <w:div w:id="1545603023">
                  <w:marLeft w:val="0"/>
                  <w:marRight w:val="0"/>
                  <w:marTop w:val="0"/>
                  <w:marBottom w:val="0"/>
                  <w:divBdr>
                    <w:top w:val="none" w:sz="0" w:space="0" w:color="auto"/>
                    <w:left w:val="none" w:sz="0" w:space="0" w:color="auto"/>
                    <w:bottom w:val="none" w:sz="0" w:space="0" w:color="auto"/>
                    <w:right w:val="none" w:sz="0" w:space="0" w:color="auto"/>
                  </w:divBdr>
                  <w:divsChild>
                    <w:div w:id="779763452">
                      <w:marLeft w:val="0"/>
                      <w:marRight w:val="0"/>
                      <w:marTop w:val="0"/>
                      <w:marBottom w:val="0"/>
                      <w:divBdr>
                        <w:top w:val="none" w:sz="0" w:space="0" w:color="auto"/>
                        <w:left w:val="none" w:sz="0" w:space="0" w:color="auto"/>
                        <w:bottom w:val="none" w:sz="0" w:space="0" w:color="auto"/>
                        <w:right w:val="none" w:sz="0" w:space="0" w:color="auto"/>
                      </w:divBdr>
                    </w:div>
                  </w:divsChild>
                </w:div>
                <w:div w:id="1622220928">
                  <w:marLeft w:val="0"/>
                  <w:marRight w:val="0"/>
                  <w:marTop w:val="0"/>
                  <w:marBottom w:val="0"/>
                  <w:divBdr>
                    <w:top w:val="none" w:sz="0" w:space="0" w:color="auto"/>
                    <w:left w:val="none" w:sz="0" w:space="0" w:color="auto"/>
                    <w:bottom w:val="none" w:sz="0" w:space="0" w:color="auto"/>
                    <w:right w:val="none" w:sz="0" w:space="0" w:color="auto"/>
                  </w:divBdr>
                  <w:divsChild>
                    <w:div w:id="113791344">
                      <w:marLeft w:val="0"/>
                      <w:marRight w:val="0"/>
                      <w:marTop w:val="0"/>
                      <w:marBottom w:val="0"/>
                      <w:divBdr>
                        <w:top w:val="none" w:sz="0" w:space="0" w:color="auto"/>
                        <w:left w:val="none" w:sz="0" w:space="0" w:color="auto"/>
                        <w:bottom w:val="none" w:sz="0" w:space="0" w:color="auto"/>
                        <w:right w:val="none" w:sz="0" w:space="0" w:color="auto"/>
                      </w:divBdr>
                    </w:div>
                  </w:divsChild>
                </w:div>
                <w:div w:id="1625307889">
                  <w:marLeft w:val="0"/>
                  <w:marRight w:val="0"/>
                  <w:marTop w:val="0"/>
                  <w:marBottom w:val="0"/>
                  <w:divBdr>
                    <w:top w:val="none" w:sz="0" w:space="0" w:color="auto"/>
                    <w:left w:val="none" w:sz="0" w:space="0" w:color="auto"/>
                    <w:bottom w:val="none" w:sz="0" w:space="0" w:color="auto"/>
                    <w:right w:val="none" w:sz="0" w:space="0" w:color="auto"/>
                  </w:divBdr>
                  <w:divsChild>
                    <w:div w:id="1468203351">
                      <w:marLeft w:val="0"/>
                      <w:marRight w:val="0"/>
                      <w:marTop w:val="0"/>
                      <w:marBottom w:val="0"/>
                      <w:divBdr>
                        <w:top w:val="none" w:sz="0" w:space="0" w:color="auto"/>
                        <w:left w:val="none" w:sz="0" w:space="0" w:color="auto"/>
                        <w:bottom w:val="none" w:sz="0" w:space="0" w:color="auto"/>
                        <w:right w:val="none" w:sz="0" w:space="0" w:color="auto"/>
                      </w:divBdr>
                    </w:div>
                  </w:divsChild>
                </w:div>
                <w:div w:id="1648246394">
                  <w:marLeft w:val="0"/>
                  <w:marRight w:val="0"/>
                  <w:marTop w:val="0"/>
                  <w:marBottom w:val="0"/>
                  <w:divBdr>
                    <w:top w:val="none" w:sz="0" w:space="0" w:color="auto"/>
                    <w:left w:val="none" w:sz="0" w:space="0" w:color="auto"/>
                    <w:bottom w:val="none" w:sz="0" w:space="0" w:color="auto"/>
                    <w:right w:val="none" w:sz="0" w:space="0" w:color="auto"/>
                  </w:divBdr>
                  <w:divsChild>
                    <w:div w:id="322706103">
                      <w:marLeft w:val="0"/>
                      <w:marRight w:val="0"/>
                      <w:marTop w:val="0"/>
                      <w:marBottom w:val="0"/>
                      <w:divBdr>
                        <w:top w:val="none" w:sz="0" w:space="0" w:color="auto"/>
                        <w:left w:val="none" w:sz="0" w:space="0" w:color="auto"/>
                        <w:bottom w:val="none" w:sz="0" w:space="0" w:color="auto"/>
                        <w:right w:val="none" w:sz="0" w:space="0" w:color="auto"/>
                      </w:divBdr>
                    </w:div>
                  </w:divsChild>
                </w:div>
                <w:div w:id="1692798762">
                  <w:marLeft w:val="0"/>
                  <w:marRight w:val="0"/>
                  <w:marTop w:val="0"/>
                  <w:marBottom w:val="0"/>
                  <w:divBdr>
                    <w:top w:val="none" w:sz="0" w:space="0" w:color="auto"/>
                    <w:left w:val="none" w:sz="0" w:space="0" w:color="auto"/>
                    <w:bottom w:val="none" w:sz="0" w:space="0" w:color="auto"/>
                    <w:right w:val="none" w:sz="0" w:space="0" w:color="auto"/>
                  </w:divBdr>
                  <w:divsChild>
                    <w:div w:id="537856944">
                      <w:marLeft w:val="0"/>
                      <w:marRight w:val="0"/>
                      <w:marTop w:val="0"/>
                      <w:marBottom w:val="0"/>
                      <w:divBdr>
                        <w:top w:val="none" w:sz="0" w:space="0" w:color="auto"/>
                        <w:left w:val="none" w:sz="0" w:space="0" w:color="auto"/>
                        <w:bottom w:val="none" w:sz="0" w:space="0" w:color="auto"/>
                        <w:right w:val="none" w:sz="0" w:space="0" w:color="auto"/>
                      </w:divBdr>
                    </w:div>
                  </w:divsChild>
                </w:div>
                <w:div w:id="1854220449">
                  <w:marLeft w:val="0"/>
                  <w:marRight w:val="0"/>
                  <w:marTop w:val="0"/>
                  <w:marBottom w:val="0"/>
                  <w:divBdr>
                    <w:top w:val="none" w:sz="0" w:space="0" w:color="auto"/>
                    <w:left w:val="none" w:sz="0" w:space="0" w:color="auto"/>
                    <w:bottom w:val="none" w:sz="0" w:space="0" w:color="auto"/>
                    <w:right w:val="none" w:sz="0" w:space="0" w:color="auto"/>
                  </w:divBdr>
                  <w:divsChild>
                    <w:div w:id="1809276691">
                      <w:marLeft w:val="0"/>
                      <w:marRight w:val="0"/>
                      <w:marTop w:val="0"/>
                      <w:marBottom w:val="0"/>
                      <w:divBdr>
                        <w:top w:val="none" w:sz="0" w:space="0" w:color="auto"/>
                        <w:left w:val="none" w:sz="0" w:space="0" w:color="auto"/>
                        <w:bottom w:val="none" w:sz="0" w:space="0" w:color="auto"/>
                        <w:right w:val="none" w:sz="0" w:space="0" w:color="auto"/>
                      </w:divBdr>
                    </w:div>
                  </w:divsChild>
                </w:div>
                <w:div w:id="1905681261">
                  <w:marLeft w:val="0"/>
                  <w:marRight w:val="0"/>
                  <w:marTop w:val="0"/>
                  <w:marBottom w:val="0"/>
                  <w:divBdr>
                    <w:top w:val="none" w:sz="0" w:space="0" w:color="auto"/>
                    <w:left w:val="none" w:sz="0" w:space="0" w:color="auto"/>
                    <w:bottom w:val="none" w:sz="0" w:space="0" w:color="auto"/>
                    <w:right w:val="none" w:sz="0" w:space="0" w:color="auto"/>
                  </w:divBdr>
                  <w:divsChild>
                    <w:div w:id="1899242461">
                      <w:marLeft w:val="0"/>
                      <w:marRight w:val="0"/>
                      <w:marTop w:val="0"/>
                      <w:marBottom w:val="0"/>
                      <w:divBdr>
                        <w:top w:val="none" w:sz="0" w:space="0" w:color="auto"/>
                        <w:left w:val="none" w:sz="0" w:space="0" w:color="auto"/>
                        <w:bottom w:val="none" w:sz="0" w:space="0" w:color="auto"/>
                        <w:right w:val="none" w:sz="0" w:space="0" w:color="auto"/>
                      </w:divBdr>
                    </w:div>
                  </w:divsChild>
                </w:div>
                <w:div w:id="1948586456">
                  <w:marLeft w:val="0"/>
                  <w:marRight w:val="0"/>
                  <w:marTop w:val="0"/>
                  <w:marBottom w:val="0"/>
                  <w:divBdr>
                    <w:top w:val="none" w:sz="0" w:space="0" w:color="auto"/>
                    <w:left w:val="none" w:sz="0" w:space="0" w:color="auto"/>
                    <w:bottom w:val="none" w:sz="0" w:space="0" w:color="auto"/>
                    <w:right w:val="none" w:sz="0" w:space="0" w:color="auto"/>
                  </w:divBdr>
                  <w:divsChild>
                    <w:div w:id="950018620">
                      <w:marLeft w:val="0"/>
                      <w:marRight w:val="0"/>
                      <w:marTop w:val="0"/>
                      <w:marBottom w:val="0"/>
                      <w:divBdr>
                        <w:top w:val="none" w:sz="0" w:space="0" w:color="auto"/>
                        <w:left w:val="none" w:sz="0" w:space="0" w:color="auto"/>
                        <w:bottom w:val="none" w:sz="0" w:space="0" w:color="auto"/>
                        <w:right w:val="none" w:sz="0" w:space="0" w:color="auto"/>
                      </w:divBdr>
                    </w:div>
                  </w:divsChild>
                </w:div>
                <w:div w:id="1949655806">
                  <w:marLeft w:val="0"/>
                  <w:marRight w:val="0"/>
                  <w:marTop w:val="0"/>
                  <w:marBottom w:val="0"/>
                  <w:divBdr>
                    <w:top w:val="none" w:sz="0" w:space="0" w:color="auto"/>
                    <w:left w:val="none" w:sz="0" w:space="0" w:color="auto"/>
                    <w:bottom w:val="none" w:sz="0" w:space="0" w:color="auto"/>
                    <w:right w:val="none" w:sz="0" w:space="0" w:color="auto"/>
                  </w:divBdr>
                  <w:divsChild>
                    <w:div w:id="60760783">
                      <w:marLeft w:val="0"/>
                      <w:marRight w:val="0"/>
                      <w:marTop w:val="0"/>
                      <w:marBottom w:val="0"/>
                      <w:divBdr>
                        <w:top w:val="none" w:sz="0" w:space="0" w:color="auto"/>
                        <w:left w:val="none" w:sz="0" w:space="0" w:color="auto"/>
                        <w:bottom w:val="none" w:sz="0" w:space="0" w:color="auto"/>
                        <w:right w:val="none" w:sz="0" w:space="0" w:color="auto"/>
                      </w:divBdr>
                    </w:div>
                  </w:divsChild>
                </w:div>
                <w:div w:id="1975595302">
                  <w:marLeft w:val="0"/>
                  <w:marRight w:val="0"/>
                  <w:marTop w:val="0"/>
                  <w:marBottom w:val="0"/>
                  <w:divBdr>
                    <w:top w:val="none" w:sz="0" w:space="0" w:color="auto"/>
                    <w:left w:val="none" w:sz="0" w:space="0" w:color="auto"/>
                    <w:bottom w:val="none" w:sz="0" w:space="0" w:color="auto"/>
                    <w:right w:val="none" w:sz="0" w:space="0" w:color="auto"/>
                  </w:divBdr>
                  <w:divsChild>
                    <w:div w:id="1249119926">
                      <w:marLeft w:val="0"/>
                      <w:marRight w:val="0"/>
                      <w:marTop w:val="0"/>
                      <w:marBottom w:val="0"/>
                      <w:divBdr>
                        <w:top w:val="none" w:sz="0" w:space="0" w:color="auto"/>
                        <w:left w:val="none" w:sz="0" w:space="0" w:color="auto"/>
                        <w:bottom w:val="none" w:sz="0" w:space="0" w:color="auto"/>
                        <w:right w:val="none" w:sz="0" w:space="0" w:color="auto"/>
                      </w:divBdr>
                    </w:div>
                  </w:divsChild>
                </w:div>
                <w:div w:id="2033994832">
                  <w:marLeft w:val="0"/>
                  <w:marRight w:val="0"/>
                  <w:marTop w:val="0"/>
                  <w:marBottom w:val="0"/>
                  <w:divBdr>
                    <w:top w:val="none" w:sz="0" w:space="0" w:color="auto"/>
                    <w:left w:val="none" w:sz="0" w:space="0" w:color="auto"/>
                    <w:bottom w:val="none" w:sz="0" w:space="0" w:color="auto"/>
                    <w:right w:val="none" w:sz="0" w:space="0" w:color="auto"/>
                  </w:divBdr>
                  <w:divsChild>
                    <w:div w:id="2031056834">
                      <w:marLeft w:val="0"/>
                      <w:marRight w:val="0"/>
                      <w:marTop w:val="0"/>
                      <w:marBottom w:val="0"/>
                      <w:divBdr>
                        <w:top w:val="none" w:sz="0" w:space="0" w:color="auto"/>
                        <w:left w:val="none" w:sz="0" w:space="0" w:color="auto"/>
                        <w:bottom w:val="none" w:sz="0" w:space="0" w:color="auto"/>
                        <w:right w:val="none" w:sz="0" w:space="0" w:color="auto"/>
                      </w:divBdr>
                    </w:div>
                  </w:divsChild>
                </w:div>
                <w:div w:id="2087460104">
                  <w:marLeft w:val="0"/>
                  <w:marRight w:val="0"/>
                  <w:marTop w:val="0"/>
                  <w:marBottom w:val="0"/>
                  <w:divBdr>
                    <w:top w:val="none" w:sz="0" w:space="0" w:color="auto"/>
                    <w:left w:val="none" w:sz="0" w:space="0" w:color="auto"/>
                    <w:bottom w:val="none" w:sz="0" w:space="0" w:color="auto"/>
                    <w:right w:val="none" w:sz="0" w:space="0" w:color="auto"/>
                  </w:divBdr>
                  <w:divsChild>
                    <w:div w:id="1778938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257909">
          <w:marLeft w:val="0"/>
          <w:marRight w:val="0"/>
          <w:marTop w:val="0"/>
          <w:marBottom w:val="0"/>
          <w:divBdr>
            <w:top w:val="none" w:sz="0" w:space="0" w:color="auto"/>
            <w:left w:val="none" w:sz="0" w:space="0" w:color="auto"/>
            <w:bottom w:val="none" w:sz="0" w:space="0" w:color="auto"/>
            <w:right w:val="none" w:sz="0" w:space="0" w:color="auto"/>
          </w:divBdr>
          <w:divsChild>
            <w:div w:id="1426608910">
              <w:marLeft w:val="0"/>
              <w:marRight w:val="0"/>
              <w:marTop w:val="0"/>
              <w:marBottom w:val="0"/>
              <w:divBdr>
                <w:top w:val="none" w:sz="0" w:space="0" w:color="auto"/>
                <w:left w:val="none" w:sz="0" w:space="0" w:color="auto"/>
                <w:bottom w:val="none" w:sz="0" w:space="0" w:color="auto"/>
                <w:right w:val="none" w:sz="0" w:space="0" w:color="auto"/>
              </w:divBdr>
            </w:div>
            <w:div w:id="1835876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415543">
      <w:bodyDiv w:val="1"/>
      <w:marLeft w:val="0"/>
      <w:marRight w:val="0"/>
      <w:marTop w:val="0"/>
      <w:marBottom w:val="0"/>
      <w:divBdr>
        <w:top w:val="none" w:sz="0" w:space="0" w:color="auto"/>
        <w:left w:val="none" w:sz="0" w:space="0" w:color="auto"/>
        <w:bottom w:val="none" w:sz="0" w:space="0" w:color="auto"/>
        <w:right w:val="none" w:sz="0" w:space="0" w:color="auto"/>
      </w:divBdr>
    </w:div>
    <w:div w:id="741756186">
      <w:bodyDiv w:val="1"/>
      <w:marLeft w:val="0"/>
      <w:marRight w:val="0"/>
      <w:marTop w:val="0"/>
      <w:marBottom w:val="0"/>
      <w:divBdr>
        <w:top w:val="none" w:sz="0" w:space="0" w:color="auto"/>
        <w:left w:val="none" w:sz="0" w:space="0" w:color="auto"/>
        <w:bottom w:val="none" w:sz="0" w:space="0" w:color="auto"/>
        <w:right w:val="none" w:sz="0" w:space="0" w:color="auto"/>
      </w:divBdr>
    </w:div>
    <w:div w:id="803695999">
      <w:bodyDiv w:val="1"/>
      <w:marLeft w:val="0"/>
      <w:marRight w:val="0"/>
      <w:marTop w:val="0"/>
      <w:marBottom w:val="0"/>
      <w:divBdr>
        <w:top w:val="none" w:sz="0" w:space="0" w:color="auto"/>
        <w:left w:val="none" w:sz="0" w:space="0" w:color="auto"/>
        <w:bottom w:val="none" w:sz="0" w:space="0" w:color="auto"/>
        <w:right w:val="none" w:sz="0" w:space="0" w:color="auto"/>
      </w:divBdr>
      <w:divsChild>
        <w:div w:id="970014430">
          <w:marLeft w:val="0"/>
          <w:marRight w:val="0"/>
          <w:marTop w:val="0"/>
          <w:marBottom w:val="0"/>
          <w:divBdr>
            <w:top w:val="none" w:sz="0" w:space="0" w:color="auto"/>
            <w:left w:val="none" w:sz="0" w:space="0" w:color="auto"/>
            <w:bottom w:val="none" w:sz="0" w:space="0" w:color="auto"/>
            <w:right w:val="none" w:sz="0" w:space="0" w:color="auto"/>
          </w:divBdr>
        </w:div>
        <w:div w:id="1722828263">
          <w:marLeft w:val="0"/>
          <w:marRight w:val="0"/>
          <w:marTop w:val="0"/>
          <w:marBottom w:val="0"/>
          <w:divBdr>
            <w:top w:val="none" w:sz="0" w:space="0" w:color="auto"/>
            <w:left w:val="none" w:sz="0" w:space="0" w:color="auto"/>
            <w:bottom w:val="none" w:sz="0" w:space="0" w:color="auto"/>
            <w:right w:val="none" w:sz="0" w:space="0" w:color="auto"/>
          </w:divBdr>
        </w:div>
        <w:div w:id="1749110990">
          <w:marLeft w:val="0"/>
          <w:marRight w:val="0"/>
          <w:marTop w:val="0"/>
          <w:marBottom w:val="0"/>
          <w:divBdr>
            <w:top w:val="none" w:sz="0" w:space="0" w:color="auto"/>
            <w:left w:val="none" w:sz="0" w:space="0" w:color="auto"/>
            <w:bottom w:val="none" w:sz="0" w:space="0" w:color="auto"/>
            <w:right w:val="none" w:sz="0" w:space="0" w:color="auto"/>
          </w:divBdr>
        </w:div>
        <w:div w:id="2028359517">
          <w:marLeft w:val="0"/>
          <w:marRight w:val="0"/>
          <w:marTop w:val="0"/>
          <w:marBottom w:val="0"/>
          <w:divBdr>
            <w:top w:val="none" w:sz="0" w:space="0" w:color="auto"/>
            <w:left w:val="none" w:sz="0" w:space="0" w:color="auto"/>
            <w:bottom w:val="none" w:sz="0" w:space="0" w:color="auto"/>
            <w:right w:val="none" w:sz="0" w:space="0" w:color="auto"/>
          </w:divBdr>
        </w:div>
      </w:divsChild>
    </w:div>
    <w:div w:id="851067279">
      <w:bodyDiv w:val="1"/>
      <w:marLeft w:val="0"/>
      <w:marRight w:val="0"/>
      <w:marTop w:val="0"/>
      <w:marBottom w:val="0"/>
      <w:divBdr>
        <w:top w:val="none" w:sz="0" w:space="0" w:color="auto"/>
        <w:left w:val="none" w:sz="0" w:space="0" w:color="auto"/>
        <w:bottom w:val="none" w:sz="0" w:space="0" w:color="auto"/>
        <w:right w:val="none" w:sz="0" w:space="0" w:color="auto"/>
      </w:divBdr>
    </w:div>
    <w:div w:id="854341730">
      <w:bodyDiv w:val="1"/>
      <w:marLeft w:val="0"/>
      <w:marRight w:val="0"/>
      <w:marTop w:val="0"/>
      <w:marBottom w:val="0"/>
      <w:divBdr>
        <w:top w:val="none" w:sz="0" w:space="0" w:color="auto"/>
        <w:left w:val="none" w:sz="0" w:space="0" w:color="auto"/>
        <w:bottom w:val="none" w:sz="0" w:space="0" w:color="auto"/>
        <w:right w:val="none" w:sz="0" w:space="0" w:color="auto"/>
      </w:divBdr>
    </w:div>
    <w:div w:id="870192067">
      <w:bodyDiv w:val="1"/>
      <w:marLeft w:val="0"/>
      <w:marRight w:val="0"/>
      <w:marTop w:val="0"/>
      <w:marBottom w:val="0"/>
      <w:divBdr>
        <w:top w:val="none" w:sz="0" w:space="0" w:color="auto"/>
        <w:left w:val="none" w:sz="0" w:space="0" w:color="auto"/>
        <w:bottom w:val="none" w:sz="0" w:space="0" w:color="auto"/>
        <w:right w:val="none" w:sz="0" w:space="0" w:color="auto"/>
      </w:divBdr>
    </w:div>
    <w:div w:id="894314632">
      <w:bodyDiv w:val="1"/>
      <w:marLeft w:val="0"/>
      <w:marRight w:val="0"/>
      <w:marTop w:val="0"/>
      <w:marBottom w:val="0"/>
      <w:divBdr>
        <w:top w:val="none" w:sz="0" w:space="0" w:color="auto"/>
        <w:left w:val="none" w:sz="0" w:space="0" w:color="auto"/>
        <w:bottom w:val="none" w:sz="0" w:space="0" w:color="auto"/>
        <w:right w:val="none" w:sz="0" w:space="0" w:color="auto"/>
      </w:divBdr>
    </w:div>
    <w:div w:id="901789176">
      <w:bodyDiv w:val="1"/>
      <w:marLeft w:val="0"/>
      <w:marRight w:val="0"/>
      <w:marTop w:val="0"/>
      <w:marBottom w:val="0"/>
      <w:divBdr>
        <w:top w:val="none" w:sz="0" w:space="0" w:color="auto"/>
        <w:left w:val="none" w:sz="0" w:space="0" w:color="auto"/>
        <w:bottom w:val="none" w:sz="0" w:space="0" w:color="auto"/>
        <w:right w:val="none" w:sz="0" w:space="0" w:color="auto"/>
      </w:divBdr>
    </w:div>
    <w:div w:id="988752284">
      <w:bodyDiv w:val="1"/>
      <w:marLeft w:val="0"/>
      <w:marRight w:val="0"/>
      <w:marTop w:val="0"/>
      <w:marBottom w:val="0"/>
      <w:divBdr>
        <w:top w:val="none" w:sz="0" w:space="0" w:color="auto"/>
        <w:left w:val="none" w:sz="0" w:space="0" w:color="auto"/>
        <w:bottom w:val="none" w:sz="0" w:space="0" w:color="auto"/>
        <w:right w:val="none" w:sz="0" w:space="0" w:color="auto"/>
      </w:divBdr>
    </w:div>
    <w:div w:id="997612217">
      <w:bodyDiv w:val="1"/>
      <w:marLeft w:val="0"/>
      <w:marRight w:val="0"/>
      <w:marTop w:val="0"/>
      <w:marBottom w:val="0"/>
      <w:divBdr>
        <w:top w:val="none" w:sz="0" w:space="0" w:color="auto"/>
        <w:left w:val="none" w:sz="0" w:space="0" w:color="auto"/>
        <w:bottom w:val="none" w:sz="0" w:space="0" w:color="auto"/>
        <w:right w:val="none" w:sz="0" w:space="0" w:color="auto"/>
      </w:divBdr>
    </w:div>
    <w:div w:id="1027675743">
      <w:bodyDiv w:val="1"/>
      <w:marLeft w:val="0"/>
      <w:marRight w:val="0"/>
      <w:marTop w:val="0"/>
      <w:marBottom w:val="0"/>
      <w:divBdr>
        <w:top w:val="none" w:sz="0" w:space="0" w:color="auto"/>
        <w:left w:val="none" w:sz="0" w:space="0" w:color="auto"/>
        <w:bottom w:val="none" w:sz="0" w:space="0" w:color="auto"/>
        <w:right w:val="none" w:sz="0" w:space="0" w:color="auto"/>
      </w:divBdr>
    </w:div>
    <w:div w:id="1036852408">
      <w:bodyDiv w:val="1"/>
      <w:marLeft w:val="0"/>
      <w:marRight w:val="0"/>
      <w:marTop w:val="0"/>
      <w:marBottom w:val="0"/>
      <w:divBdr>
        <w:top w:val="none" w:sz="0" w:space="0" w:color="auto"/>
        <w:left w:val="none" w:sz="0" w:space="0" w:color="auto"/>
        <w:bottom w:val="none" w:sz="0" w:space="0" w:color="auto"/>
        <w:right w:val="none" w:sz="0" w:space="0" w:color="auto"/>
      </w:divBdr>
    </w:div>
    <w:div w:id="1039550199">
      <w:bodyDiv w:val="1"/>
      <w:marLeft w:val="0"/>
      <w:marRight w:val="0"/>
      <w:marTop w:val="0"/>
      <w:marBottom w:val="0"/>
      <w:divBdr>
        <w:top w:val="none" w:sz="0" w:space="0" w:color="auto"/>
        <w:left w:val="none" w:sz="0" w:space="0" w:color="auto"/>
        <w:bottom w:val="none" w:sz="0" w:space="0" w:color="auto"/>
        <w:right w:val="none" w:sz="0" w:space="0" w:color="auto"/>
      </w:divBdr>
    </w:div>
    <w:div w:id="1094941531">
      <w:bodyDiv w:val="1"/>
      <w:marLeft w:val="0"/>
      <w:marRight w:val="0"/>
      <w:marTop w:val="0"/>
      <w:marBottom w:val="0"/>
      <w:divBdr>
        <w:top w:val="none" w:sz="0" w:space="0" w:color="auto"/>
        <w:left w:val="none" w:sz="0" w:space="0" w:color="auto"/>
        <w:bottom w:val="none" w:sz="0" w:space="0" w:color="auto"/>
        <w:right w:val="none" w:sz="0" w:space="0" w:color="auto"/>
      </w:divBdr>
    </w:div>
    <w:div w:id="1188059476">
      <w:bodyDiv w:val="1"/>
      <w:marLeft w:val="0"/>
      <w:marRight w:val="0"/>
      <w:marTop w:val="0"/>
      <w:marBottom w:val="0"/>
      <w:divBdr>
        <w:top w:val="none" w:sz="0" w:space="0" w:color="auto"/>
        <w:left w:val="none" w:sz="0" w:space="0" w:color="auto"/>
        <w:bottom w:val="none" w:sz="0" w:space="0" w:color="auto"/>
        <w:right w:val="none" w:sz="0" w:space="0" w:color="auto"/>
      </w:divBdr>
    </w:div>
    <w:div w:id="1221673140">
      <w:bodyDiv w:val="1"/>
      <w:marLeft w:val="0"/>
      <w:marRight w:val="0"/>
      <w:marTop w:val="0"/>
      <w:marBottom w:val="0"/>
      <w:divBdr>
        <w:top w:val="none" w:sz="0" w:space="0" w:color="auto"/>
        <w:left w:val="none" w:sz="0" w:space="0" w:color="auto"/>
        <w:bottom w:val="none" w:sz="0" w:space="0" w:color="auto"/>
        <w:right w:val="none" w:sz="0" w:space="0" w:color="auto"/>
      </w:divBdr>
    </w:div>
    <w:div w:id="1229682430">
      <w:bodyDiv w:val="1"/>
      <w:marLeft w:val="0"/>
      <w:marRight w:val="0"/>
      <w:marTop w:val="0"/>
      <w:marBottom w:val="0"/>
      <w:divBdr>
        <w:top w:val="none" w:sz="0" w:space="0" w:color="auto"/>
        <w:left w:val="none" w:sz="0" w:space="0" w:color="auto"/>
        <w:bottom w:val="none" w:sz="0" w:space="0" w:color="auto"/>
        <w:right w:val="none" w:sz="0" w:space="0" w:color="auto"/>
      </w:divBdr>
    </w:div>
    <w:div w:id="1240600881">
      <w:bodyDiv w:val="1"/>
      <w:marLeft w:val="0"/>
      <w:marRight w:val="0"/>
      <w:marTop w:val="0"/>
      <w:marBottom w:val="0"/>
      <w:divBdr>
        <w:top w:val="none" w:sz="0" w:space="0" w:color="auto"/>
        <w:left w:val="none" w:sz="0" w:space="0" w:color="auto"/>
        <w:bottom w:val="none" w:sz="0" w:space="0" w:color="auto"/>
        <w:right w:val="none" w:sz="0" w:space="0" w:color="auto"/>
      </w:divBdr>
    </w:div>
    <w:div w:id="1342008410">
      <w:bodyDiv w:val="1"/>
      <w:marLeft w:val="0"/>
      <w:marRight w:val="0"/>
      <w:marTop w:val="0"/>
      <w:marBottom w:val="0"/>
      <w:divBdr>
        <w:top w:val="none" w:sz="0" w:space="0" w:color="auto"/>
        <w:left w:val="none" w:sz="0" w:space="0" w:color="auto"/>
        <w:bottom w:val="none" w:sz="0" w:space="0" w:color="auto"/>
        <w:right w:val="none" w:sz="0" w:space="0" w:color="auto"/>
      </w:divBdr>
    </w:div>
    <w:div w:id="1360737906">
      <w:bodyDiv w:val="1"/>
      <w:marLeft w:val="0"/>
      <w:marRight w:val="0"/>
      <w:marTop w:val="0"/>
      <w:marBottom w:val="0"/>
      <w:divBdr>
        <w:top w:val="none" w:sz="0" w:space="0" w:color="auto"/>
        <w:left w:val="none" w:sz="0" w:space="0" w:color="auto"/>
        <w:bottom w:val="none" w:sz="0" w:space="0" w:color="auto"/>
        <w:right w:val="none" w:sz="0" w:space="0" w:color="auto"/>
      </w:divBdr>
    </w:div>
    <w:div w:id="1379433095">
      <w:bodyDiv w:val="1"/>
      <w:marLeft w:val="0"/>
      <w:marRight w:val="0"/>
      <w:marTop w:val="0"/>
      <w:marBottom w:val="0"/>
      <w:divBdr>
        <w:top w:val="none" w:sz="0" w:space="0" w:color="auto"/>
        <w:left w:val="none" w:sz="0" w:space="0" w:color="auto"/>
        <w:bottom w:val="none" w:sz="0" w:space="0" w:color="auto"/>
        <w:right w:val="none" w:sz="0" w:space="0" w:color="auto"/>
      </w:divBdr>
    </w:div>
    <w:div w:id="1409765401">
      <w:bodyDiv w:val="1"/>
      <w:marLeft w:val="0"/>
      <w:marRight w:val="0"/>
      <w:marTop w:val="0"/>
      <w:marBottom w:val="0"/>
      <w:divBdr>
        <w:top w:val="none" w:sz="0" w:space="0" w:color="auto"/>
        <w:left w:val="none" w:sz="0" w:space="0" w:color="auto"/>
        <w:bottom w:val="none" w:sz="0" w:space="0" w:color="auto"/>
        <w:right w:val="none" w:sz="0" w:space="0" w:color="auto"/>
      </w:divBdr>
    </w:div>
    <w:div w:id="1440949038">
      <w:bodyDiv w:val="1"/>
      <w:marLeft w:val="0"/>
      <w:marRight w:val="0"/>
      <w:marTop w:val="0"/>
      <w:marBottom w:val="0"/>
      <w:divBdr>
        <w:top w:val="none" w:sz="0" w:space="0" w:color="auto"/>
        <w:left w:val="none" w:sz="0" w:space="0" w:color="auto"/>
        <w:bottom w:val="none" w:sz="0" w:space="0" w:color="auto"/>
        <w:right w:val="none" w:sz="0" w:space="0" w:color="auto"/>
      </w:divBdr>
    </w:div>
    <w:div w:id="1461997063">
      <w:bodyDiv w:val="1"/>
      <w:marLeft w:val="0"/>
      <w:marRight w:val="0"/>
      <w:marTop w:val="0"/>
      <w:marBottom w:val="0"/>
      <w:divBdr>
        <w:top w:val="none" w:sz="0" w:space="0" w:color="auto"/>
        <w:left w:val="none" w:sz="0" w:space="0" w:color="auto"/>
        <w:bottom w:val="none" w:sz="0" w:space="0" w:color="auto"/>
        <w:right w:val="none" w:sz="0" w:space="0" w:color="auto"/>
      </w:divBdr>
    </w:div>
    <w:div w:id="1485076633">
      <w:bodyDiv w:val="1"/>
      <w:marLeft w:val="0"/>
      <w:marRight w:val="0"/>
      <w:marTop w:val="0"/>
      <w:marBottom w:val="0"/>
      <w:divBdr>
        <w:top w:val="none" w:sz="0" w:space="0" w:color="auto"/>
        <w:left w:val="none" w:sz="0" w:space="0" w:color="auto"/>
        <w:bottom w:val="none" w:sz="0" w:space="0" w:color="auto"/>
        <w:right w:val="none" w:sz="0" w:space="0" w:color="auto"/>
      </w:divBdr>
    </w:div>
    <w:div w:id="1513835799">
      <w:bodyDiv w:val="1"/>
      <w:marLeft w:val="0"/>
      <w:marRight w:val="0"/>
      <w:marTop w:val="0"/>
      <w:marBottom w:val="0"/>
      <w:divBdr>
        <w:top w:val="none" w:sz="0" w:space="0" w:color="auto"/>
        <w:left w:val="none" w:sz="0" w:space="0" w:color="auto"/>
        <w:bottom w:val="none" w:sz="0" w:space="0" w:color="auto"/>
        <w:right w:val="none" w:sz="0" w:space="0" w:color="auto"/>
      </w:divBdr>
    </w:div>
    <w:div w:id="1551575288">
      <w:bodyDiv w:val="1"/>
      <w:marLeft w:val="0"/>
      <w:marRight w:val="0"/>
      <w:marTop w:val="0"/>
      <w:marBottom w:val="0"/>
      <w:divBdr>
        <w:top w:val="none" w:sz="0" w:space="0" w:color="auto"/>
        <w:left w:val="none" w:sz="0" w:space="0" w:color="auto"/>
        <w:bottom w:val="none" w:sz="0" w:space="0" w:color="auto"/>
        <w:right w:val="none" w:sz="0" w:space="0" w:color="auto"/>
      </w:divBdr>
    </w:div>
    <w:div w:id="1602180349">
      <w:bodyDiv w:val="1"/>
      <w:marLeft w:val="0"/>
      <w:marRight w:val="0"/>
      <w:marTop w:val="0"/>
      <w:marBottom w:val="0"/>
      <w:divBdr>
        <w:top w:val="none" w:sz="0" w:space="0" w:color="auto"/>
        <w:left w:val="none" w:sz="0" w:space="0" w:color="auto"/>
        <w:bottom w:val="none" w:sz="0" w:space="0" w:color="auto"/>
        <w:right w:val="none" w:sz="0" w:space="0" w:color="auto"/>
      </w:divBdr>
    </w:div>
    <w:div w:id="1621767548">
      <w:bodyDiv w:val="1"/>
      <w:marLeft w:val="0"/>
      <w:marRight w:val="0"/>
      <w:marTop w:val="0"/>
      <w:marBottom w:val="0"/>
      <w:divBdr>
        <w:top w:val="none" w:sz="0" w:space="0" w:color="auto"/>
        <w:left w:val="none" w:sz="0" w:space="0" w:color="auto"/>
        <w:bottom w:val="none" w:sz="0" w:space="0" w:color="auto"/>
        <w:right w:val="none" w:sz="0" w:space="0" w:color="auto"/>
      </w:divBdr>
    </w:div>
    <w:div w:id="1640307870">
      <w:bodyDiv w:val="1"/>
      <w:marLeft w:val="0"/>
      <w:marRight w:val="0"/>
      <w:marTop w:val="0"/>
      <w:marBottom w:val="0"/>
      <w:divBdr>
        <w:top w:val="none" w:sz="0" w:space="0" w:color="auto"/>
        <w:left w:val="none" w:sz="0" w:space="0" w:color="auto"/>
        <w:bottom w:val="none" w:sz="0" w:space="0" w:color="auto"/>
        <w:right w:val="none" w:sz="0" w:space="0" w:color="auto"/>
      </w:divBdr>
    </w:div>
    <w:div w:id="1673294271">
      <w:bodyDiv w:val="1"/>
      <w:marLeft w:val="0"/>
      <w:marRight w:val="0"/>
      <w:marTop w:val="0"/>
      <w:marBottom w:val="0"/>
      <w:divBdr>
        <w:top w:val="none" w:sz="0" w:space="0" w:color="auto"/>
        <w:left w:val="none" w:sz="0" w:space="0" w:color="auto"/>
        <w:bottom w:val="none" w:sz="0" w:space="0" w:color="auto"/>
        <w:right w:val="none" w:sz="0" w:space="0" w:color="auto"/>
      </w:divBdr>
    </w:div>
    <w:div w:id="1739397560">
      <w:bodyDiv w:val="1"/>
      <w:marLeft w:val="0"/>
      <w:marRight w:val="0"/>
      <w:marTop w:val="0"/>
      <w:marBottom w:val="0"/>
      <w:divBdr>
        <w:top w:val="none" w:sz="0" w:space="0" w:color="auto"/>
        <w:left w:val="none" w:sz="0" w:space="0" w:color="auto"/>
        <w:bottom w:val="none" w:sz="0" w:space="0" w:color="auto"/>
        <w:right w:val="none" w:sz="0" w:space="0" w:color="auto"/>
      </w:divBdr>
    </w:div>
    <w:div w:id="1750693866">
      <w:bodyDiv w:val="1"/>
      <w:marLeft w:val="0"/>
      <w:marRight w:val="0"/>
      <w:marTop w:val="0"/>
      <w:marBottom w:val="0"/>
      <w:divBdr>
        <w:top w:val="none" w:sz="0" w:space="0" w:color="auto"/>
        <w:left w:val="none" w:sz="0" w:space="0" w:color="auto"/>
        <w:bottom w:val="none" w:sz="0" w:space="0" w:color="auto"/>
        <w:right w:val="none" w:sz="0" w:space="0" w:color="auto"/>
      </w:divBdr>
    </w:div>
    <w:div w:id="1814640567">
      <w:bodyDiv w:val="1"/>
      <w:marLeft w:val="0"/>
      <w:marRight w:val="0"/>
      <w:marTop w:val="0"/>
      <w:marBottom w:val="0"/>
      <w:divBdr>
        <w:top w:val="none" w:sz="0" w:space="0" w:color="auto"/>
        <w:left w:val="none" w:sz="0" w:space="0" w:color="auto"/>
        <w:bottom w:val="none" w:sz="0" w:space="0" w:color="auto"/>
        <w:right w:val="none" w:sz="0" w:space="0" w:color="auto"/>
      </w:divBdr>
    </w:div>
    <w:div w:id="1822845487">
      <w:bodyDiv w:val="1"/>
      <w:marLeft w:val="0"/>
      <w:marRight w:val="0"/>
      <w:marTop w:val="0"/>
      <w:marBottom w:val="0"/>
      <w:divBdr>
        <w:top w:val="none" w:sz="0" w:space="0" w:color="auto"/>
        <w:left w:val="none" w:sz="0" w:space="0" w:color="auto"/>
        <w:bottom w:val="none" w:sz="0" w:space="0" w:color="auto"/>
        <w:right w:val="none" w:sz="0" w:space="0" w:color="auto"/>
      </w:divBdr>
    </w:div>
    <w:div w:id="1855532205">
      <w:bodyDiv w:val="1"/>
      <w:marLeft w:val="0"/>
      <w:marRight w:val="0"/>
      <w:marTop w:val="0"/>
      <w:marBottom w:val="0"/>
      <w:divBdr>
        <w:top w:val="none" w:sz="0" w:space="0" w:color="auto"/>
        <w:left w:val="none" w:sz="0" w:space="0" w:color="auto"/>
        <w:bottom w:val="none" w:sz="0" w:space="0" w:color="auto"/>
        <w:right w:val="none" w:sz="0" w:space="0" w:color="auto"/>
      </w:divBdr>
    </w:div>
    <w:div w:id="1934701863">
      <w:bodyDiv w:val="1"/>
      <w:marLeft w:val="0"/>
      <w:marRight w:val="0"/>
      <w:marTop w:val="0"/>
      <w:marBottom w:val="0"/>
      <w:divBdr>
        <w:top w:val="none" w:sz="0" w:space="0" w:color="auto"/>
        <w:left w:val="none" w:sz="0" w:space="0" w:color="auto"/>
        <w:bottom w:val="none" w:sz="0" w:space="0" w:color="auto"/>
        <w:right w:val="none" w:sz="0" w:space="0" w:color="auto"/>
      </w:divBdr>
    </w:div>
    <w:div w:id="1936592479">
      <w:bodyDiv w:val="1"/>
      <w:marLeft w:val="0"/>
      <w:marRight w:val="0"/>
      <w:marTop w:val="0"/>
      <w:marBottom w:val="0"/>
      <w:divBdr>
        <w:top w:val="none" w:sz="0" w:space="0" w:color="auto"/>
        <w:left w:val="none" w:sz="0" w:space="0" w:color="auto"/>
        <w:bottom w:val="none" w:sz="0" w:space="0" w:color="auto"/>
        <w:right w:val="none" w:sz="0" w:space="0" w:color="auto"/>
      </w:divBdr>
    </w:div>
    <w:div w:id="1948123806">
      <w:bodyDiv w:val="1"/>
      <w:marLeft w:val="0"/>
      <w:marRight w:val="0"/>
      <w:marTop w:val="0"/>
      <w:marBottom w:val="0"/>
      <w:divBdr>
        <w:top w:val="none" w:sz="0" w:space="0" w:color="auto"/>
        <w:left w:val="none" w:sz="0" w:space="0" w:color="auto"/>
        <w:bottom w:val="none" w:sz="0" w:space="0" w:color="auto"/>
        <w:right w:val="none" w:sz="0" w:space="0" w:color="auto"/>
      </w:divBdr>
    </w:div>
    <w:div w:id="1993672917">
      <w:bodyDiv w:val="1"/>
      <w:marLeft w:val="0"/>
      <w:marRight w:val="0"/>
      <w:marTop w:val="0"/>
      <w:marBottom w:val="0"/>
      <w:divBdr>
        <w:top w:val="none" w:sz="0" w:space="0" w:color="auto"/>
        <w:left w:val="none" w:sz="0" w:space="0" w:color="auto"/>
        <w:bottom w:val="none" w:sz="0" w:space="0" w:color="auto"/>
        <w:right w:val="none" w:sz="0" w:space="0" w:color="auto"/>
      </w:divBdr>
    </w:div>
    <w:div w:id="2054423432">
      <w:bodyDiv w:val="1"/>
      <w:marLeft w:val="0"/>
      <w:marRight w:val="0"/>
      <w:marTop w:val="0"/>
      <w:marBottom w:val="0"/>
      <w:divBdr>
        <w:top w:val="none" w:sz="0" w:space="0" w:color="auto"/>
        <w:left w:val="none" w:sz="0" w:space="0" w:color="auto"/>
        <w:bottom w:val="none" w:sz="0" w:space="0" w:color="auto"/>
        <w:right w:val="none" w:sz="0" w:space="0" w:color="auto"/>
      </w:divBdr>
    </w:div>
    <w:div w:id="2113820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gc.gov.au/sites/default/files/2025-06/2025%20Methodology%20Review_justice%20draft%20position%20paper.pdf" TargetMode="External"/><Relationship Id="rId18" Type="http://schemas.openxmlformats.org/officeDocument/2006/relationships/chart" Target="charts/chart2.xm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chart" Target="charts/chart3.xml"/><Relationship Id="rId7" Type="http://schemas.openxmlformats.org/officeDocument/2006/relationships/settings" Target="settings.xml"/><Relationship Id="rId12" Type="http://schemas.openxmlformats.org/officeDocument/2006/relationships/hyperlink" Target="https://www.cgc.gov.au/reports-for-government/2025-methodology-review/consultation/additional-information" TargetMode="External"/><Relationship Id="rId17" Type="http://schemas.openxmlformats.org/officeDocument/2006/relationships/chart" Target="charts/chart1.xm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cgc.gov.au/reports-for-government/2025-methodology-review/consultation/additional-information" TargetMode="External"/><Relationship Id="rId20" Type="http://schemas.openxmlformats.org/officeDocument/2006/relationships/image" Target="media/image2.sv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gc.gov.au/sites/default/files/2025-10/2025%20Methodology%20Review%20-%20Overview%20of%20the%20final%20draft%20justice%20assessment.pdf"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cgc.gov.au/sites/default/files/2023-06/2025%20Methodology%20Review%20-%20Consultation%20paper%20-%20Justice_Final.pdf"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gc.gov.au/sites/default/files/2024-07/2025%20Review%20-%20Draft%20Report%20-%20Justice__Final.pdf" TargetMode="External"/><Relationship Id="rId22" Type="http://schemas.openxmlformats.org/officeDocument/2006/relationships/header" Target="header1.xm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alrc.gov.au/publication/pathways-to-justice-inquiry-into-the-incarceration-rate-of-aboriginal-and-torres-strait-islander-peoples-alrc-report-133/2-context/social-determinants-of-incarceration/"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https://austreasury.sharepoint.com/sites/AS-SharePoint-PRD/U2026_Public/33215-Offender%20SES%20Tables%20and%20Figures.xlsx" TargetMode="External"/></Relationships>
</file>

<file path=word/charts/_rels/chart2.xml.rels><?xml version="1.0" encoding="UTF-8" standalone="yes"?>
<Relationships xmlns="http://schemas.openxmlformats.org/package/2006/relationships"><Relationship Id="rId3" Type="http://schemas.openxmlformats.org/officeDocument/2006/relationships/oleObject" Target="https://austreasury-my.sharepoint.com/personal/quang_phan_cgc_gov_au/Documents/Documents/prisons/graphing_2.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SES!$D$737</c:f>
              <c:strCache>
                <c:ptCount val="1"/>
                <c:pt idx="0">
                  <c:v>Most disadvantaged</c:v>
                </c:pt>
              </c:strCache>
            </c:strRef>
          </c:tx>
          <c:spPr>
            <a:solidFill>
              <a:schemeClr val="accent1"/>
            </a:solidFill>
            <a:ln>
              <a:noFill/>
            </a:ln>
            <a:effectLst/>
          </c:spPr>
          <c:invertIfNegative val="0"/>
          <c:dPt>
            <c:idx val="0"/>
            <c:invertIfNegative val="0"/>
            <c:bubble3D val="0"/>
            <c:spPr>
              <a:solidFill>
                <a:srgbClr val="006991"/>
              </a:solidFill>
              <a:ln>
                <a:solidFill>
                  <a:srgbClr val="006991"/>
                </a:solidFill>
              </a:ln>
              <a:effectLst/>
            </c:spPr>
            <c:extLst>
              <c:ext xmlns:c16="http://schemas.microsoft.com/office/drawing/2014/chart" uri="{C3380CC4-5D6E-409C-BE32-E72D297353CC}">
                <c16:uniqueId val="{00000001-CCEA-4EE3-B401-567EEDDE12FD}"/>
              </c:ext>
            </c:extLst>
          </c:dPt>
          <c:dPt>
            <c:idx val="1"/>
            <c:invertIfNegative val="0"/>
            <c:bubble3D val="0"/>
            <c:spPr>
              <a:solidFill>
                <a:srgbClr val="006991"/>
              </a:solidFill>
              <a:ln>
                <a:solidFill>
                  <a:srgbClr val="006991"/>
                </a:solidFill>
              </a:ln>
              <a:effectLst/>
            </c:spPr>
            <c:extLst>
              <c:ext xmlns:c16="http://schemas.microsoft.com/office/drawing/2014/chart" uri="{C3380CC4-5D6E-409C-BE32-E72D297353CC}">
                <c16:uniqueId val="{00000003-CCEA-4EE3-B401-567EEDDE12FD}"/>
              </c:ext>
            </c:extLst>
          </c:dPt>
          <c:cat>
            <c:strRef>
              <c:f>SES!$C$738:$C$739</c:f>
              <c:strCache>
                <c:ptCount val="2"/>
                <c:pt idx="0">
                  <c:v>First Nations</c:v>
                </c:pt>
                <c:pt idx="1">
                  <c:v>Non-Indigenous</c:v>
                </c:pt>
              </c:strCache>
            </c:strRef>
          </c:cat>
          <c:val>
            <c:numRef>
              <c:f>SES!$D$738:$D$739</c:f>
              <c:numCache>
                <c:formatCode>0</c:formatCode>
                <c:ptCount val="2"/>
                <c:pt idx="0">
                  <c:v>225.65779444809817</c:v>
                </c:pt>
                <c:pt idx="1">
                  <c:v>29.381724661490196</c:v>
                </c:pt>
              </c:numCache>
            </c:numRef>
          </c:val>
          <c:extLst>
            <c:ext xmlns:c16="http://schemas.microsoft.com/office/drawing/2014/chart" uri="{C3380CC4-5D6E-409C-BE32-E72D297353CC}">
              <c16:uniqueId val="{00000004-CCEA-4EE3-B401-567EEDDE12FD}"/>
            </c:ext>
          </c:extLst>
        </c:ser>
        <c:ser>
          <c:idx val="1"/>
          <c:order val="1"/>
          <c:tx>
            <c:strRef>
              <c:f>SES!$E$737</c:f>
              <c:strCache>
                <c:ptCount val="1"/>
                <c:pt idx="0">
                  <c:v>2nd most disadvantaged</c:v>
                </c:pt>
              </c:strCache>
            </c:strRef>
          </c:tx>
          <c:spPr>
            <a:solidFill>
              <a:srgbClr val="0092C8"/>
            </a:solidFill>
            <a:ln>
              <a:solidFill>
                <a:srgbClr val="0092C8"/>
              </a:solidFill>
            </a:ln>
            <a:effectLst/>
          </c:spPr>
          <c:invertIfNegative val="0"/>
          <c:cat>
            <c:strRef>
              <c:f>SES!$C$738:$C$739</c:f>
              <c:strCache>
                <c:ptCount val="2"/>
                <c:pt idx="0">
                  <c:v>First Nations</c:v>
                </c:pt>
                <c:pt idx="1">
                  <c:v>Non-Indigenous</c:v>
                </c:pt>
              </c:strCache>
            </c:strRef>
          </c:cat>
          <c:val>
            <c:numRef>
              <c:f>SES!$E$738:$E$739</c:f>
              <c:numCache>
                <c:formatCode>0</c:formatCode>
                <c:ptCount val="2"/>
                <c:pt idx="0">
                  <c:v>192.67032383958119</c:v>
                </c:pt>
                <c:pt idx="1">
                  <c:v>20.171974868496235</c:v>
                </c:pt>
              </c:numCache>
            </c:numRef>
          </c:val>
          <c:extLst>
            <c:ext xmlns:c16="http://schemas.microsoft.com/office/drawing/2014/chart" uri="{C3380CC4-5D6E-409C-BE32-E72D297353CC}">
              <c16:uniqueId val="{00000005-CCEA-4EE3-B401-567EEDDE12FD}"/>
            </c:ext>
          </c:extLst>
        </c:ser>
        <c:ser>
          <c:idx val="2"/>
          <c:order val="2"/>
          <c:tx>
            <c:strRef>
              <c:f>SES!$F$737</c:f>
              <c:strCache>
                <c:ptCount val="1"/>
                <c:pt idx="0">
                  <c:v>Middle quintile</c:v>
                </c:pt>
              </c:strCache>
            </c:strRef>
          </c:tx>
          <c:spPr>
            <a:solidFill>
              <a:srgbClr val="60B5D7"/>
            </a:solidFill>
            <a:ln>
              <a:solidFill>
                <a:srgbClr val="60B5D7"/>
              </a:solidFill>
            </a:ln>
            <a:effectLst/>
          </c:spPr>
          <c:invertIfNegative val="0"/>
          <c:cat>
            <c:strRef>
              <c:f>SES!$C$738:$C$739</c:f>
              <c:strCache>
                <c:ptCount val="2"/>
                <c:pt idx="0">
                  <c:v>First Nations</c:v>
                </c:pt>
                <c:pt idx="1">
                  <c:v>Non-Indigenous</c:v>
                </c:pt>
              </c:strCache>
            </c:strRef>
          </c:cat>
          <c:val>
            <c:numRef>
              <c:f>SES!$F$738:$F$739</c:f>
              <c:numCache>
                <c:formatCode>0</c:formatCode>
                <c:ptCount val="2"/>
                <c:pt idx="0">
                  <c:v>183.92673461452301</c:v>
                </c:pt>
                <c:pt idx="1">
                  <c:v>12.198609367635786</c:v>
                </c:pt>
              </c:numCache>
            </c:numRef>
          </c:val>
          <c:extLst>
            <c:ext xmlns:c16="http://schemas.microsoft.com/office/drawing/2014/chart" uri="{C3380CC4-5D6E-409C-BE32-E72D297353CC}">
              <c16:uniqueId val="{00000006-CCEA-4EE3-B401-567EEDDE12FD}"/>
            </c:ext>
          </c:extLst>
        </c:ser>
        <c:ser>
          <c:idx val="3"/>
          <c:order val="3"/>
          <c:tx>
            <c:strRef>
              <c:f>SES!$G$737</c:f>
              <c:strCache>
                <c:ptCount val="1"/>
                <c:pt idx="0">
                  <c:v>2nd least disadvantaged</c:v>
                </c:pt>
              </c:strCache>
            </c:strRef>
          </c:tx>
          <c:spPr>
            <a:solidFill>
              <a:srgbClr val="ADD6EA"/>
            </a:solidFill>
            <a:ln>
              <a:solidFill>
                <a:srgbClr val="ADD6EA"/>
              </a:solidFill>
            </a:ln>
            <a:effectLst/>
          </c:spPr>
          <c:invertIfNegative val="0"/>
          <c:cat>
            <c:strRef>
              <c:f>SES!$C$738:$C$739</c:f>
              <c:strCache>
                <c:ptCount val="2"/>
                <c:pt idx="0">
                  <c:v>First Nations</c:v>
                </c:pt>
                <c:pt idx="1">
                  <c:v>Non-Indigenous</c:v>
                </c:pt>
              </c:strCache>
            </c:strRef>
          </c:cat>
          <c:val>
            <c:numRef>
              <c:f>SES!$G$738:$G$739</c:f>
              <c:numCache>
                <c:formatCode>0</c:formatCode>
                <c:ptCount val="2"/>
                <c:pt idx="0">
                  <c:v>181.36283166919557</c:v>
                </c:pt>
                <c:pt idx="1">
                  <c:v>10.166105271863382</c:v>
                </c:pt>
              </c:numCache>
            </c:numRef>
          </c:val>
          <c:extLst>
            <c:ext xmlns:c16="http://schemas.microsoft.com/office/drawing/2014/chart" uri="{C3380CC4-5D6E-409C-BE32-E72D297353CC}">
              <c16:uniqueId val="{00000007-CCEA-4EE3-B401-567EEDDE12FD}"/>
            </c:ext>
          </c:extLst>
        </c:ser>
        <c:ser>
          <c:idx val="4"/>
          <c:order val="4"/>
          <c:tx>
            <c:strRef>
              <c:f>SES!$H$737</c:f>
              <c:strCache>
                <c:ptCount val="1"/>
                <c:pt idx="0">
                  <c:v>Least disadvantaged</c:v>
                </c:pt>
              </c:strCache>
            </c:strRef>
          </c:tx>
          <c:spPr>
            <a:solidFill>
              <a:srgbClr val="EBF3F5"/>
            </a:solidFill>
            <a:ln>
              <a:solidFill>
                <a:srgbClr val="EBF3F5"/>
              </a:solidFill>
            </a:ln>
            <a:effectLst/>
          </c:spPr>
          <c:invertIfNegative val="0"/>
          <c:cat>
            <c:strRef>
              <c:f>SES!$C$738:$C$739</c:f>
              <c:strCache>
                <c:ptCount val="2"/>
                <c:pt idx="0">
                  <c:v>First Nations</c:v>
                </c:pt>
                <c:pt idx="1">
                  <c:v>Non-Indigenous</c:v>
                </c:pt>
              </c:strCache>
            </c:strRef>
          </c:cat>
          <c:val>
            <c:numRef>
              <c:f>SES!$H$738:$H$739</c:f>
              <c:numCache>
                <c:formatCode>0</c:formatCode>
                <c:ptCount val="2"/>
                <c:pt idx="0">
                  <c:v>151.11328569197224</c:v>
                </c:pt>
                <c:pt idx="1">
                  <c:v>9.2158901716750652</c:v>
                </c:pt>
              </c:numCache>
            </c:numRef>
          </c:val>
          <c:extLst>
            <c:ext xmlns:c16="http://schemas.microsoft.com/office/drawing/2014/chart" uri="{C3380CC4-5D6E-409C-BE32-E72D297353CC}">
              <c16:uniqueId val="{00000008-CCEA-4EE3-B401-567EEDDE12FD}"/>
            </c:ext>
          </c:extLst>
        </c:ser>
        <c:dLbls>
          <c:showLegendKey val="0"/>
          <c:showVal val="0"/>
          <c:showCatName val="0"/>
          <c:showSerName val="0"/>
          <c:showPercent val="0"/>
          <c:showBubbleSize val="0"/>
        </c:dLbls>
        <c:gapWidth val="150"/>
        <c:axId val="676342144"/>
        <c:axId val="1901570640"/>
      </c:barChart>
      <c:catAx>
        <c:axId val="6763421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Work Sans" pitchFamily="2" charset="0"/>
                <a:ea typeface="+mn-ea"/>
                <a:cs typeface="+mn-cs"/>
              </a:defRPr>
            </a:pPr>
            <a:endParaRPr lang="en-US"/>
          </a:p>
        </c:txPr>
        <c:crossAx val="1901570640"/>
        <c:crosses val="autoZero"/>
        <c:auto val="1"/>
        <c:lblAlgn val="ctr"/>
        <c:lblOffset val="100"/>
        <c:noMultiLvlLbl val="0"/>
      </c:catAx>
      <c:valAx>
        <c:axId val="1901570640"/>
        <c:scaling>
          <c:orientation val="minMax"/>
        </c:scaling>
        <c:delete val="0"/>
        <c:axPos val="l"/>
        <c:majorGridlines>
          <c:spPr>
            <a:ln w="9525" cap="flat" cmpd="sng" algn="ctr">
              <a:solidFill>
                <a:schemeClr val="bg2"/>
              </a:solidFill>
              <a:round/>
            </a:ln>
            <a:effectLst/>
          </c:spPr>
        </c:majorGridlines>
        <c:title>
          <c:tx>
            <c:rich>
              <a:bodyPr rot="-5400000" spcFirstLastPara="1" vertOverflow="ellipsis" vert="horz" wrap="square" anchor="ctr" anchorCtr="1"/>
              <a:lstStyle/>
              <a:p>
                <a:pPr>
                  <a:defRPr sz="800" b="1" i="0" u="none" strike="noStrike" kern="1200" baseline="0">
                    <a:solidFill>
                      <a:sysClr val="windowText" lastClr="000000"/>
                    </a:solidFill>
                    <a:latin typeface="Work Sans" pitchFamily="2" charset="0"/>
                    <a:ea typeface="+mn-ea"/>
                    <a:cs typeface="+mn-cs"/>
                  </a:defRPr>
                </a:pPr>
                <a:r>
                  <a:rPr lang="en-AU" sz="800" b="1">
                    <a:solidFill>
                      <a:sysClr val="windowText" lastClr="000000"/>
                    </a:solidFill>
                  </a:rPr>
                  <a:t>Offenders per 1,000 persons</a:t>
                </a:r>
              </a:p>
            </c:rich>
          </c:tx>
          <c:layout>
            <c:manualLayout>
              <c:xMode val="edge"/>
              <c:yMode val="edge"/>
              <c:x val="1.9116416804116434E-2"/>
              <c:y val="0.27520483540209456"/>
            </c:manualLayout>
          </c:layout>
          <c:overlay val="0"/>
          <c:spPr>
            <a:noFill/>
            <a:ln>
              <a:noFill/>
            </a:ln>
            <a:effectLst/>
          </c:spPr>
          <c:txPr>
            <a:bodyPr rot="-5400000" spcFirstLastPara="1" vertOverflow="ellipsis" vert="horz" wrap="square" anchor="ctr" anchorCtr="1"/>
            <a:lstStyle/>
            <a:p>
              <a:pPr>
                <a:defRPr sz="800" b="1" i="0" u="none" strike="noStrike" kern="1200" baseline="0">
                  <a:solidFill>
                    <a:sysClr val="windowText" lastClr="000000"/>
                  </a:solidFill>
                  <a:latin typeface="Work Sans" pitchFamily="2" charset="0"/>
                  <a:ea typeface="+mn-ea"/>
                  <a:cs typeface="+mn-cs"/>
                </a:defRPr>
              </a:pPr>
              <a:endParaRPr lang="en-US"/>
            </a:p>
          </c:txPr>
        </c:title>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Work Sans" pitchFamily="2" charset="0"/>
                <a:ea typeface="+mn-ea"/>
                <a:cs typeface="+mn-cs"/>
              </a:defRPr>
            </a:pPr>
            <a:endParaRPr lang="en-US"/>
          </a:p>
        </c:txPr>
        <c:crossAx val="676342144"/>
        <c:crosses val="autoZero"/>
        <c:crossBetween val="between"/>
      </c:valAx>
      <c:spPr>
        <a:noFill/>
        <a:ln>
          <a:noFill/>
        </a:ln>
        <a:effectLst/>
      </c:spPr>
    </c:plotArea>
    <c:legend>
      <c:legendPos val="b"/>
      <c:layout>
        <c:manualLayout>
          <c:xMode val="edge"/>
          <c:yMode val="edge"/>
          <c:x val="0.16598217741172078"/>
          <c:y val="0.89585323624568991"/>
          <c:w val="0.71688854309489269"/>
          <c:h val="8.6334947694737263E-2"/>
        </c:manualLayout>
      </c:layout>
      <c:overlay val="0"/>
      <c:spPr>
        <a:solidFill>
          <a:schemeClr val="bg1"/>
        </a:solid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Work Sans" pitchFamily="2" charset="0"/>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rgbClr val="ADD6EA"/>
      </a:solidFill>
      <a:round/>
    </a:ln>
    <a:effectLst/>
  </c:spPr>
  <c:txPr>
    <a:bodyPr/>
    <a:lstStyle/>
    <a:p>
      <a:pPr>
        <a:defRPr>
          <a:latin typeface="Work Sans" pitchFamily="2" charset="0"/>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'Figure 2'!$C$3</c:f>
              <c:strCache>
                <c:ptCount val="1"/>
                <c:pt idx="0">
                  <c:v>Average of total2</c:v>
                </c:pt>
              </c:strCache>
            </c:strRef>
          </c:tx>
          <c:spPr>
            <a:solidFill>
              <a:srgbClr val="006991"/>
            </a:solidFill>
            <a:ln>
              <a:noFill/>
            </a:ln>
            <a:effectLst/>
          </c:spPr>
          <c:invertIfNegative val="0"/>
          <c:cat>
            <c:strRef>
              <c:f>[graphing_1.xlsx]pivot2!$A$4:$A$8</c:f>
              <c:strCache>
                <c:ptCount val="5"/>
                <c:pt idx="0">
                  <c:v>Major cities</c:v>
                </c:pt>
                <c:pt idx="1">
                  <c:v>Inner regional</c:v>
                </c:pt>
                <c:pt idx="2">
                  <c:v>Outer regional</c:v>
                </c:pt>
                <c:pt idx="3">
                  <c:v>Remote</c:v>
                </c:pt>
                <c:pt idx="4">
                  <c:v>Very remote</c:v>
                </c:pt>
              </c:strCache>
            </c:strRef>
          </c:cat>
          <c:val>
            <c:numRef>
              <c:f>'Figure 2'!$C$4:$C$8</c:f>
              <c:numCache>
                <c:formatCode>General</c:formatCode>
                <c:ptCount val="5"/>
                <c:pt idx="0">
                  <c:v>442.80584475092508</c:v>
                </c:pt>
                <c:pt idx="1">
                  <c:v>411.92620019331252</c:v>
                </c:pt>
                <c:pt idx="2">
                  <c:v>472.02230919524999</c:v>
                </c:pt>
                <c:pt idx="3">
                  <c:v>281.375</c:v>
                </c:pt>
                <c:pt idx="4">
                  <c:v>110.83333333333333</c:v>
                </c:pt>
              </c:numCache>
            </c:numRef>
          </c:val>
          <c:extLst>
            <c:ext xmlns:c16="http://schemas.microsoft.com/office/drawing/2014/chart" uri="{C3380CC4-5D6E-409C-BE32-E72D297353CC}">
              <c16:uniqueId val="{00000000-A71F-403A-AB29-A718CE6E5339}"/>
            </c:ext>
          </c:extLst>
        </c:ser>
        <c:dLbls>
          <c:showLegendKey val="0"/>
          <c:showVal val="0"/>
          <c:showCatName val="0"/>
          <c:showSerName val="0"/>
          <c:showPercent val="0"/>
          <c:showBubbleSize val="0"/>
        </c:dLbls>
        <c:gapWidth val="219"/>
        <c:overlap val="-27"/>
        <c:axId val="352488416"/>
        <c:axId val="352485056"/>
      </c:barChart>
      <c:scatterChart>
        <c:scatterStyle val="lineMarker"/>
        <c:varyColors val="0"/>
        <c:ser>
          <c:idx val="1"/>
          <c:order val="1"/>
          <c:tx>
            <c:strRef>
              <c:f>[graphing_1.xlsx]pivot2!$B$4:$B$8</c:f>
              <c:strCache>
                <c:ptCount val="5"/>
                <c:pt idx="0">
                  <c:v>40</c:v>
                </c:pt>
                <c:pt idx="1">
                  <c:v>40</c:v>
                </c:pt>
                <c:pt idx="2">
                  <c:v>14</c:v>
                </c:pt>
                <c:pt idx="3">
                  <c:v>4</c:v>
                </c:pt>
                <c:pt idx="4">
                  <c:v>3</c:v>
                </c:pt>
              </c:strCache>
            </c:strRef>
          </c:tx>
          <c:spPr>
            <a:ln w="25400" cap="rnd">
              <a:noFill/>
              <a:round/>
            </a:ln>
            <a:effectLst/>
          </c:spPr>
          <c:marker>
            <c:symbol val="none"/>
          </c:marker>
          <c:dLbls>
            <c:dLbl>
              <c:idx val="0"/>
              <c:layout>
                <c:manualLayout>
                  <c:x val="-6.2308724150106583E-2"/>
                  <c:y val="-0.8159338360296936"/>
                </c:manualLayout>
              </c:layout>
              <c:tx>
                <c:rich>
                  <a:bodyPr/>
                  <a:lstStyle/>
                  <a:p>
                    <a:r>
                      <a:rPr lang="en-US"/>
                      <a:t>Prisons: 40</a:t>
                    </a:r>
                  </a:p>
                </c:rich>
              </c:tx>
              <c:showLegendKey val="0"/>
              <c:showVal val="0"/>
              <c:showCatName val="0"/>
              <c:showSerName val="0"/>
              <c:showPercent val="0"/>
              <c:showBubbleSize val="0"/>
              <c:extLst>
                <c:ext xmlns:c15="http://schemas.microsoft.com/office/drawing/2012/chart" uri="{CE6537A1-D6FC-4f65-9D91-7224C49458BB}">
                  <c15:showDataLabelsRange val="1"/>
                </c:ext>
                <c:ext xmlns:c16="http://schemas.microsoft.com/office/drawing/2014/chart" uri="{C3380CC4-5D6E-409C-BE32-E72D297353CC}">
                  <c16:uniqueId val="{00000001-A71F-403A-AB29-A718CE6E5339}"/>
                </c:ext>
              </c:extLst>
            </c:dLbl>
            <c:dLbl>
              <c:idx val="1"/>
              <c:layout>
                <c:manualLayout>
                  <c:x val="-6.4534160892067233E-2"/>
                  <c:y val="-0.75662824755601199"/>
                </c:manualLayout>
              </c:layout>
              <c:tx>
                <c:rich>
                  <a:bodyPr/>
                  <a:lstStyle/>
                  <a:p>
                    <a:r>
                      <a:rPr lang="en-US"/>
                      <a:t>Prisons: 40</a:t>
                    </a:r>
                  </a:p>
                </c:rich>
              </c:tx>
              <c:showLegendKey val="0"/>
              <c:showVal val="0"/>
              <c:showCatName val="0"/>
              <c:showSerName val="0"/>
              <c:showPercent val="0"/>
              <c:showBubbleSize val="0"/>
              <c:extLst>
                <c:ext xmlns:c15="http://schemas.microsoft.com/office/drawing/2012/chart" uri="{CE6537A1-D6FC-4f65-9D91-7224C49458BB}">
                  <c15:showDataLabelsRange val="1"/>
                </c:ext>
                <c:ext xmlns:c16="http://schemas.microsoft.com/office/drawing/2014/chart" uri="{C3380CC4-5D6E-409C-BE32-E72D297353CC}">
                  <c16:uniqueId val="{00000002-A71F-403A-AB29-A718CE6E5339}"/>
                </c:ext>
              </c:extLst>
            </c:dLbl>
            <c:dLbl>
              <c:idx val="2"/>
              <c:layout>
                <c:manualLayout>
                  <c:x val="-6.2308899381346108E-2"/>
                  <c:y val="-0.85678888801107222"/>
                </c:manualLayout>
              </c:layout>
              <c:tx>
                <c:rich>
                  <a:bodyPr/>
                  <a:lstStyle/>
                  <a:p>
                    <a:r>
                      <a:rPr lang="en-US"/>
                      <a:t>Prisons: 14</a:t>
                    </a:r>
                  </a:p>
                </c:rich>
              </c:tx>
              <c:showLegendKey val="0"/>
              <c:showVal val="0"/>
              <c:showCatName val="0"/>
              <c:showSerName val="0"/>
              <c:showPercent val="0"/>
              <c:showBubbleSize val="0"/>
              <c:extLst>
                <c:ext xmlns:c15="http://schemas.microsoft.com/office/drawing/2012/chart" uri="{CE6537A1-D6FC-4f65-9D91-7224C49458BB}">
                  <c15:showDataLabelsRange val="1"/>
                </c:ext>
                <c:ext xmlns:c16="http://schemas.microsoft.com/office/drawing/2014/chart" uri="{C3380CC4-5D6E-409C-BE32-E72D297353CC}">
                  <c16:uniqueId val="{00000003-A71F-403A-AB29-A718CE6E5339}"/>
                </c:ext>
              </c:extLst>
            </c:dLbl>
            <c:dLbl>
              <c:idx val="3"/>
              <c:layout>
                <c:manualLayout>
                  <c:x val="-6.0083637870625102E-2"/>
                  <c:y val="-0.52674414862021846"/>
                </c:manualLayout>
              </c:layout>
              <c:tx>
                <c:rich>
                  <a:bodyPr/>
                  <a:lstStyle/>
                  <a:p>
                    <a:r>
                      <a:rPr lang="en-US"/>
                      <a:t>Prisons: 4</a:t>
                    </a:r>
                  </a:p>
                </c:rich>
              </c:tx>
              <c:showLegendKey val="0"/>
              <c:showVal val="0"/>
              <c:showCatName val="0"/>
              <c:showSerName val="0"/>
              <c:showPercent val="0"/>
              <c:showBubbleSize val="0"/>
              <c:extLst>
                <c:ext xmlns:c15="http://schemas.microsoft.com/office/drawing/2012/chart" uri="{CE6537A1-D6FC-4f65-9D91-7224C49458BB}">
                  <c15:showDataLabelsRange val="1"/>
                </c:ext>
                <c:ext xmlns:c16="http://schemas.microsoft.com/office/drawing/2014/chart" uri="{C3380CC4-5D6E-409C-BE32-E72D297353CC}">
                  <c16:uniqueId val="{00000004-A71F-403A-AB29-A718CE6E5339}"/>
                </c:ext>
              </c:extLst>
            </c:dLbl>
            <c:dLbl>
              <c:idx val="4"/>
              <c:layout>
                <c:manualLayout>
                  <c:x val="-6.0083454499004915E-2"/>
                  <c:y val="-0.21882247052409062"/>
                </c:manualLayout>
              </c:layout>
              <c:tx>
                <c:rich>
                  <a:bodyPr/>
                  <a:lstStyle/>
                  <a:p>
                    <a:r>
                      <a:rPr lang="en-US"/>
                      <a:t>Prisons: 3</a:t>
                    </a:r>
                  </a:p>
                </c:rich>
              </c:tx>
              <c:showLegendKey val="0"/>
              <c:showVal val="0"/>
              <c:showCatName val="0"/>
              <c:showSerName val="0"/>
              <c:showPercent val="0"/>
              <c:showBubbleSize val="0"/>
              <c:extLst>
                <c:ext xmlns:c15="http://schemas.microsoft.com/office/drawing/2012/chart" uri="{CE6537A1-D6FC-4f65-9D91-7224C49458BB}">
                  <c15:showDataLabelsRange val="1"/>
                </c:ext>
                <c:ext xmlns:c16="http://schemas.microsoft.com/office/drawing/2014/chart" uri="{C3380CC4-5D6E-409C-BE32-E72D297353CC}">
                  <c16:uniqueId val="{00000005-A71F-403A-AB29-A718CE6E5339}"/>
                </c:ext>
              </c:extLst>
            </c:dLbl>
            <c:spPr>
              <a:noFill/>
              <a:ln>
                <a:noFill/>
              </a:ln>
              <a:effectLst/>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Work Sans" pitchFamily="2" charset="0"/>
                    <a:ea typeface="+mn-ea"/>
                    <a:cs typeface="+mn-cs"/>
                  </a:defRPr>
                </a:pPr>
                <a:endParaRPr lang="en-US"/>
              </a:p>
            </c:txP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0"/>
              </c:ext>
            </c:extLst>
          </c:dLbls>
          <c:yVal>
            <c:numRef>
              <c:f>Sheet1!$C$2:$C$6</c:f>
              <c:numCache>
                <c:formatCode>General</c:formatCode>
                <c:ptCount val="5"/>
                <c:pt idx="0">
                  <c:v>0</c:v>
                </c:pt>
                <c:pt idx="1">
                  <c:v>0</c:v>
                </c:pt>
                <c:pt idx="2">
                  <c:v>0</c:v>
                </c:pt>
                <c:pt idx="3">
                  <c:v>0</c:v>
                </c:pt>
                <c:pt idx="4">
                  <c:v>0</c:v>
                </c:pt>
              </c:numCache>
            </c:numRef>
          </c:yVal>
          <c:smooth val="0"/>
          <c:extLst>
            <c:ext xmlns:c15="http://schemas.microsoft.com/office/drawing/2012/chart" uri="{02D57815-91ED-43cb-92C2-25804820EDAC}">
              <c15:datalabelsRange>
                <c15:f>Sheet1!$C$2:$C$6</c15:f>
                <c15:dlblRangeCache>
                  <c:ptCount val="5"/>
                  <c:pt idx="0">
                    <c:v>Prisons: 39</c:v>
                  </c:pt>
                  <c:pt idx="1">
                    <c:v>Prisons: 40</c:v>
                  </c:pt>
                  <c:pt idx="2">
                    <c:v>Prisons: 14</c:v>
                  </c:pt>
                  <c:pt idx="3">
                    <c:v>Prisons: 5</c:v>
                  </c:pt>
                  <c:pt idx="4">
                    <c:v>Prisons: 3</c:v>
                  </c:pt>
                </c15:dlblRangeCache>
              </c15:datalabelsRange>
            </c:ext>
            <c:ext xmlns:c16="http://schemas.microsoft.com/office/drawing/2014/chart" uri="{C3380CC4-5D6E-409C-BE32-E72D297353CC}">
              <c16:uniqueId val="{00000006-A71F-403A-AB29-A718CE6E5339}"/>
            </c:ext>
          </c:extLst>
        </c:ser>
        <c:dLbls>
          <c:showLegendKey val="0"/>
          <c:showVal val="0"/>
          <c:showCatName val="0"/>
          <c:showSerName val="0"/>
          <c:showPercent val="0"/>
          <c:showBubbleSize val="0"/>
        </c:dLbls>
        <c:axId val="352488416"/>
        <c:axId val="352485056"/>
      </c:scatterChart>
      <c:catAx>
        <c:axId val="3524884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Work Sans" pitchFamily="2" charset="0"/>
                <a:ea typeface="+mn-ea"/>
                <a:cs typeface="+mn-cs"/>
              </a:defRPr>
            </a:pPr>
            <a:endParaRPr lang="en-US"/>
          </a:p>
        </c:txPr>
        <c:crossAx val="352485056"/>
        <c:crosses val="autoZero"/>
        <c:auto val="1"/>
        <c:lblAlgn val="ctr"/>
        <c:lblOffset val="100"/>
        <c:noMultiLvlLbl val="0"/>
      </c:catAx>
      <c:valAx>
        <c:axId val="35248505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800" b="1" i="0" u="none" strike="noStrike" kern="1200" baseline="0">
                    <a:solidFill>
                      <a:schemeClr val="tx1">
                        <a:lumMod val="65000"/>
                        <a:lumOff val="35000"/>
                      </a:schemeClr>
                    </a:solidFill>
                    <a:latin typeface="Work Sans" pitchFamily="2" charset="0"/>
                    <a:ea typeface="+mn-ea"/>
                    <a:cs typeface="+mn-cs"/>
                  </a:defRPr>
                </a:pPr>
                <a:r>
                  <a:rPr lang="en-AU" sz="800" b="1">
                    <a:solidFill>
                      <a:sysClr val="windowText" lastClr="000000"/>
                    </a:solidFill>
                  </a:rPr>
                  <a:t>Average number of prisoners</a:t>
                </a:r>
              </a:p>
            </c:rich>
          </c:tx>
          <c:overlay val="0"/>
          <c:spPr>
            <a:noFill/>
            <a:ln>
              <a:noFill/>
            </a:ln>
            <a:effectLst/>
          </c:spPr>
          <c:txPr>
            <a:bodyPr rot="-5400000" spcFirstLastPara="1" vertOverflow="ellipsis" vert="horz" wrap="square" anchor="ctr" anchorCtr="1"/>
            <a:lstStyle/>
            <a:p>
              <a:pPr>
                <a:defRPr sz="800" b="1" i="0" u="none" strike="noStrike" kern="1200" baseline="0">
                  <a:solidFill>
                    <a:schemeClr val="tx1">
                      <a:lumMod val="65000"/>
                      <a:lumOff val="35000"/>
                    </a:schemeClr>
                  </a:solidFill>
                  <a:latin typeface="Work Sans" pitchFamily="2" charset="0"/>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Work Sans" pitchFamily="2" charset="0"/>
                <a:ea typeface="+mn-ea"/>
                <a:cs typeface="+mn-cs"/>
              </a:defRPr>
            </a:pPr>
            <a:endParaRPr lang="en-US"/>
          </a:p>
        </c:txPr>
        <c:crossAx val="352488416"/>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latin typeface="Work Sans" pitchFamily="2"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Sheet1!$H$28</c:f>
              <c:strCache>
                <c:ptCount val="1"/>
                <c:pt idx="0">
                  <c:v>2020 Review prisons gradient (regional costs and service delivery scale) - average of 2015–16 and 2016–17 data</c:v>
                </c:pt>
              </c:strCache>
            </c:strRef>
          </c:tx>
          <c:spPr>
            <a:ln w="28575" cap="rnd">
              <a:solidFill>
                <a:srgbClr val="ADD6EA"/>
              </a:solidFill>
              <a:round/>
            </a:ln>
            <a:effectLst/>
          </c:spPr>
          <c:marker>
            <c:symbol val="none"/>
          </c:marker>
          <c:cat>
            <c:strRef>
              <c:f>Sheet1!$G$29:$G$33</c:f>
              <c:strCache>
                <c:ptCount val="5"/>
                <c:pt idx="0">
                  <c:v>Major cities</c:v>
                </c:pt>
                <c:pt idx="1">
                  <c:v>Inner regional</c:v>
                </c:pt>
                <c:pt idx="2">
                  <c:v>Outer regional</c:v>
                </c:pt>
                <c:pt idx="3">
                  <c:v>Remote</c:v>
                </c:pt>
                <c:pt idx="4">
                  <c:v>Very remote</c:v>
                </c:pt>
              </c:strCache>
            </c:strRef>
          </c:cat>
          <c:val>
            <c:numRef>
              <c:f>Sheet1!$H$29:$H$33</c:f>
              <c:numCache>
                <c:formatCode>General</c:formatCode>
                <c:ptCount val="5"/>
                <c:pt idx="0">
                  <c:v>1</c:v>
                </c:pt>
                <c:pt idx="1">
                  <c:v>1</c:v>
                </c:pt>
                <c:pt idx="2">
                  <c:v>1</c:v>
                </c:pt>
                <c:pt idx="3">
                  <c:v>1.1720295602936766</c:v>
                </c:pt>
                <c:pt idx="4">
                  <c:v>1.1720295602936766</c:v>
                </c:pt>
              </c:numCache>
            </c:numRef>
          </c:val>
          <c:smooth val="0"/>
          <c:extLst>
            <c:ext xmlns:c16="http://schemas.microsoft.com/office/drawing/2014/chart" uri="{C3380CC4-5D6E-409C-BE32-E72D297353CC}">
              <c16:uniqueId val="{00000000-915B-4B3F-BC56-EE9D0FC5E76A}"/>
            </c:ext>
          </c:extLst>
        </c:ser>
        <c:ser>
          <c:idx val="1"/>
          <c:order val="1"/>
          <c:tx>
            <c:strRef>
              <c:f>Sheet1!$I$28</c:f>
              <c:strCache>
                <c:ptCount val="1"/>
                <c:pt idx="0">
                  <c:v>General service delivery scale gradient - 2023–24</c:v>
                </c:pt>
              </c:strCache>
            </c:strRef>
          </c:tx>
          <c:spPr>
            <a:ln w="28575" cap="rnd">
              <a:solidFill>
                <a:srgbClr val="0092C8"/>
              </a:solidFill>
              <a:round/>
            </a:ln>
            <a:effectLst/>
          </c:spPr>
          <c:marker>
            <c:symbol val="none"/>
          </c:marker>
          <c:cat>
            <c:strRef>
              <c:f>Sheet1!$G$29:$G$33</c:f>
              <c:strCache>
                <c:ptCount val="5"/>
                <c:pt idx="0">
                  <c:v>Major cities</c:v>
                </c:pt>
                <c:pt idx="1">
                  <c:v>Inner regional</c:v>
                </c:pt>
                <c:pt idx="2">
                  <c:v>Outer regional</c:v>
                </c:pt>
                <c:pt idx="3">
                  <c:v>Remote</c:v>
                </c:pt>
                <c:pt idx="4">
                  <c:v>Very remote</c:v>
                </c:pt>
              </c:strCache>
            </c:strRef>
          </c:cat>
          <c:val>
            <c:numRef>
              <c:f>Sheet1!$I$29:$I$33</c:f>
              <c:numCache>
                <c:formatCode>General</c:formatCode>
                <c:ptCount val="5"/>
                <c:pt idx="0">
                  <c:v>1</c:v>
                </c:pt>
                <c:pt idx="1">
                  <c:v>1.02812456224768</c:v>
                </c:pt>
                <c:pt idx="2">
                  <c:v>1.0599136617399401</c:v>
                </c:pt>
                <c:pt idx="3">
                  <c:v>1.08714651051003</c:v>
                </c:pt>
                <c:pt idx="4">
                  <c:v>1.2347663278246399</c:v>
                </c:pt>
              </c:numCache>
            </c:numRef>
          </c:val>
          <c:smooth val="0"/>
          <c:extLst>
            <c:ext xmlns:c16="http://schemas.microsoft.com/office/drawing/2014/chart" uri="{C3380CC4-5D6E-409C-BE32-E72D297353CC}">
              <c16:uniqueId val="{00000001-915B-4B3F-BC56-EE9D0FC5E76A}"/>
            </c:ext>
          </c:extLst>
        </c:ser>
        <c:ser>
          <c:idx val="2"/>
          <c:order val="2"/>
          <c:tx>
            <c:strRef>
              <c:f>Sheet1!$J$28</c:f>
              <c:strCache>
                <c:ptCount val="1"/>
                <c:pt idx="0">
                  <c:v>General regional and service delivery scale gradient - 2023–24</c:v>
                </c:pt>
              </c:strCache>
            </c:strRef>
          </c:tx>
          <c:spPr>
            <a:ln w="28575" cap="rnd">
              <a:solidFill>
                <a:srgbClr val="006991"/>
              </a:solidFill>
              <a:round/>
            </a:ln>
            <a:effectLst/>
          </c:spPr>
          <c:marker>
            <c:symbol val="none"/>
          </c:marker>
          <c:cat>
            <c:strRef>
              <c:f>Sheet1!$G$29:$G$33</c:f>
              <c:strCache>
                <c:ptCount val="5"/>
                <c:pt idx="0">
                  <c:v>Major cities</c:v>
                </c:pt>
                <c:pt idx="1">
                  <c:v>Inner regional</c:v>
                </c:pt>
                <c:pt idx="2">
                  <c:v>Outer regional</c:v>
                </c:pt>
                <c:pt idx="3">
                  <c:v>Remote</c:v>
                </c:pt>
                <c:pt idx="4">
                  <c:v>Very remote</c:v>
                </c:pt>
              </c:strCache>
            </c:strRef>
          </c:cat>
          <c:val>
            <c:numRef>
              <c:f>Sheet1!$J$29:$J$33</c:f>
              <c:numCache>
                <c:formatCode>General</c:formatCode>
                <c:ptCount val="5"/>
                <c:pt idx="0">
                  <c:v>1</c:v>
                </c:pt>
                <c:pt idx="1">
                  <c:v>1.0256700000000001</c:v>
                </c:pt>
                <c:pt idx="2">
                  <c:v>1.06036</c:v>
                </c:pt>
                <c:pt idx="3">
                  <c:v>1.19764</c:v>
                </c:pt>
                <c:pt idx="4">
                  <c:v>1.52677</c:v>
                </c:pt>
              </c:numCache>
            </c:numRef>
          </c:val>
          <c:smooth val="0"/>
          <c:extLst>
            <c:ext xmlns:c16="http://schemas.microsoft.com/office/drawing/2014/chart" uri="{C3380CC4-5D6E-409C-BE32-E72D297353CC}">
              <c16:uniqueId val="{00000002-915B-4B3F-BC56-EE9D0FC5E76A}"/>
            </c:ext>
          </c:extLst>
        </c:ser>
        <c:dLbls>
          <c:showLegendKey val="0"/>
          <c:showVal val="0"/>
          <c:showCatName val="0"/>
          <c:showSerName val="0"/>
          <c:showPercent val="0"/>
          <c:showBubbleSize val="0"/>
        </c:dLbls>
        <c:smooth val="0"/>
        <c:axId val="1484788816"/>
        <c:axId val="596747904"/>
      </c:lineChart>
      <c:catAx>
        <c:axId val="14847888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en-US"/>
          </a:p>
        </c:txPr>
        <c:crossAx val="596747904"/>
        <c:crosses val="autoZero"/>
        <c:auto val="0"/>
        <c:lblAlgn val="ctr"/>
        <c:lblOffset val="100"/>
        <c:noMultiLvlLbl val="0"/>
      </c:catAx>
      <c:valAx>
        <c:axId val="596747904"/>
        <c:scaling>
          <c:orientation val="minMax"/>
          <c:min val="1"/>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en-US"/>
          </a:p>
        </c:txPr>
        <c:crossAx val="14847888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rgbClr val="ADD6EA"/>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1622fae-410a-4414-898c-6e5842a53ab0">
      <Terms xmlns="http://schemas.microsoft.com/office/infopath/2007/PartnerControls"/>
    </lcf76f155ced4ddcb4097134ff3c332f>
    <TaxCatchAll xmlns="bf41d29e-d373-46fe-ac56-44f7870c462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F016F3E1D58024D8E71FAE188B3DBDA" ma:contentTypeVersion="11" ma:contentTypeDescription="Create a new document." ma:contentTypeScope="" ma:versionID="4615532de7251e6cbf06c48d7c3d6676">
  <xsd:schema xmlns:xsd="http://www.w3.org/2001/XMLSchema" xmlns:xs="http://www.w3.org/2001/XMLSchema" xmlns:p="http://schemas.microsoft.com/office/2006/metadata/properties" xmlns:ns2="d1622fae-410a-4414-898c-6e5842a53ab0" xmlns:ns3="bf41d29e-d373-46fe-ac56-44f7870c4624" targetNamespace="http://schemas.microsoft.com/office/2006/metadata/properties" ma:root="true" ma:fieldsID="0672eb73e4485cfdf3a7d9ace70929b4" ns2:_="" ns3:_="">
    <xsd:import namespace="d1622fae-410a-4414-898c-6e5842a53ab0"/>
    <xsd:import namespace="bf41d29e-d373-46fe-ac56-44f7870c462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622fae-410a-4414-898c-6e5842a53a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18240cd-c75f-40bd-87f4-262ac964b25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f41d29e-d373-46fe-ac56-44f7870c462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426ed26-c3b6-4d2c-a1e9-069e10861af6}" ma:internalName="TaxCatchAll" ma:showField="CatchAllData" ma:web="bf41d29e-d373-46fe-ac56-44f7870c46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7FBE10-0E61-4330-B314-5B6560842D8A}">
  <ds:schemaRefs>
    <ds:schemaRef ds:uri="http://schemas.microsoft.com/sharepoint/v3/contenttype/forms"/>
  </ds:schemaRefs>
</ds:datastoreItem>
</file>

<file path=customXml/itemProps2.xml><?xml version="1.0" encoding="utf-8"?>
<ds:datastoreItem xmlns:ds="http://schemas.openxmlformats.org/officeDocument/2006/customXml" ds:itemID="{94CE03BC-1B8D-4006-A0B1-7D50E4AC3D11}">
  <ds:schemaRefs>
    <ds:schemaRef ds:uri="http://schemas.microsoft.com/office/2006/metadata/properties"/>
    <ds:schemaRef ds:uri="http://schemas.microsoft.com/office/infopath/2007/PartnerControls"/>
    <ds:schemaRef ds:uri="d1622fae-410a-4414-898c-6e5842a53ab0"/>
    <ds:schemaRef ds:uri="bf41d29e-d373-46fe-ac56-44f7870c4624"/>
  </ds:schemaRefs>
</ds:datastoreItem>
</file>

<file path=customXml/itemProps3.xml><?xml version="1.0" encoding="utf-8"?>
<ds:datastoreItem xmlns:ds="http://schemas.openxmlformats.org/officeDocument/2006/customXml" ds:itemID="{C2256F45-492F-4C1B-88BF-548E64C66B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622fae-410a-4414-898c-6e5842a53ab0"/>
    <ds:schemaRef ds:uri="bf41d29e-d373-46fe-ac56-44f7870c46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9291E0D-5249-4EB3-A667-BC88029BF3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4792</TotalTime>
  <Pages>41</Pages>
  <Words>12970</Words>
  <Characters>73933</Characters>
  <Application>Microsoft Office Word</Application>
  <DocSecurity>0</DocSecurity>
  <Lines>616</Lines>
  <Paragraphs>173</Paragraphs>
  <ScaleCrop>false</ScaleCrop>
  <Company/>
  <LinksUpToDate>false</LinksUpToDate>
  <CharactersWithSpaces>86730</CharactersWithSpaces>
  <SharedDoc>false</SharedDoc>
  <HLinks>
    <vt:vector size="42" baseType="variant">
      <vt:variant>
        <vt:i4>1704009</vt:i4>
      </vt:variant>
      <vt:variant>
        <vt:i4>15</vt:i4>
      </vt:variant>
      <vt:variant>
        <vt:i4>0</vt:i4>
      </vt:variant>
      <vt:variant>
        <vt:i4>5</vt:i4>
      </vt:variant>
      <vt:variant>
        <vt:lpwstr>https://www.cgc.gov.au/reports-for-government/2025-methodology-review/consultation/additional-information</vt:lpwstr>
      </vt:variant>
      <vt:variant>
        <vt:lpwstr/>
      </vt:variant>
      <vt:variant>
        <vt:i4>5767271</vt:i4>
      </vt:variant>
      <vt:variant>
        <vt:i4>12</vt:i4>
      </vt:variant>
      <vt:variant>
        <vt:i4>0</vt:i4>
      </vt:variant>
      <vt:variant>
        <vt:i4>5</vt:i4>
      </vt:variant>
      <vt:variant>
        <vt:lpwstr>https://www.cgc.gov.au/sites/default/files/2023-06/2025 Methodology Review - Consultation paper - Justice_Final.pdf</vt:lpwstr>
      </vt:variant>
      <vt:variant>
        <vt:lpwstr/>
      </vt:variant>
      <vt:variant>
        <vt:i4>1638472</vt:i4>
      </vt:variant>
      <vt:variant>
        <vt:i4>9</vt:i4>
      </vt:variant>
      <vt:variant>
        <vt:i4>0</vt:i4>
      </vt:variant>
      <vt:variant>
        <vt:i4>5</vt:i4>
      </vt:variant>
      <vt:variant>
        <vt:lpwstr>https://www.cgc.gov.au/sites/default/files/2024-07/2025 Review - Draft Report - Justice__Final.pdf</vt:lpwstr>
      </vt:variant>
      <vt:variant>
        <vt:lpwstr/>
      </vt:variant>
      <vt:variant>
        <vt:i4>2818051</vt:i4>
      </vt:variant>
      <vt:variant>
        <vt:i4>6</vt:i4>
      </vt:variant>
      <vt:variant>
        <vt:i4>0</vt:i4>
      </vt:variant>
      <vt:variant>
        <vt:i4>5</vt:i4>
      </vt:variant>
      <vt:variant>
        <vt:lpwstr>https://www.cgc.gov.au/sites/default/files/2025-06/2025 Methodology Review_justice draft position paper.pdf</vt:lpwstr>
      </vt:variant>
      <vt:variant>
        <vt:lpwstr/>
      </vt:variant>
      <vt:variant>
        <vt:i4>4718609</vt:i4>
      </vt:variant>
      <vt:variant>
        <vt:i4>3</vt:i4>
      </vt:variant>
      <vt:variant>
        <vt:i4>0</vt:i4>
      </vt:variant>
      <vt:variant>
        <vt:i4>5</vt:i4>
      </vt:variant>
      <vt:variant>
        <vt:lpwstr>https://www.cgc.gov.au/reports-for-government/2025-methodology-review/consultation/additional-information</vt:lpwstr>
      </vt:variant>
      <vt:variant>
        <vt:lpwstr>:~:text=(112.18%20KB)-,State%20submissions,-NSW%20submission</vt:lpwstr>
      </vt:variant>
      <vt:variant>
        <vt:i4>7602287</vt:i4>
      </vt:variant>
      <vt:variant>
        <vt:i4>0</vt:i4>
      </vt:variant>
      <vt:variant>
        <vt:i4>0</vt:i4>
      </vt:variant>
      <vt:variant>
        <vt:i4>5</vt:i4>
      </vt:variant>
      <vt:variant>
        <vt:lpwstr>https://www.cgc.gov.au/sites/default/files/2025-10/2025 Methodology Review - Overview of the final draft justice assessment.pdf</vt:lpwstr>
      </vt:variant>
      <vt:variant>
        <vt:lpwstr/>
      </vt:variant>
      <vt:variant>
        <vt:i4>5308496</vt:i4>
      </vt:variant>
      <vt:variant>
        <vt:i4>0</vt:i4>
      </vt:variant>
      <vt:variant>
        <vt:i4>0</vt:i4>
      </vt:variant>
      <vt:variant>
        <vt:i4>5</vt:i4>
      </vt:variant>
      <vt:variant>
        <vt:lpwstr>https://www.alrc.gov.au/publication/pathways-to-justice-inquiry-into-the-incarceration-rate-of-aboriginal-and-torres-strait-islander-peoples-alrc-report-133/2-context/social-determinants-of-incarceration/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Baldock, Katrina</cp:lastModifiedBy>
  <cp:revision>1271</cp:revision>
  <cp:lastPrinted>2026-01-11T12:28:00Z</cp:lastPrinted>
  <dcterms:created xsi:type="dcterms:W3CDTF">2025-02-24T19:32:00Z</dcterms:created>
  <dcterms:modified xsi:type="dcterms:W3CDTF">2026-03-10T06:46:00Z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2025-02-08T04:32:30Z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72d6390b-7d94-4d29-ae75-074d77ff098f</vt:lpwstr>
  </property>
  <property fmtid="{D5CDD505-2E9C-101B-9397-08002B2CF9AE}" pid="8" name="MSIP_Label_4f932d64-9ab1-4d9b-81d2-a3a8b82dd47d_ContentBits">
    <vt:lpwstr>0</vt:lpwstr>
  </property>
  <property fmtid="{D5CDD505-2E9C-101B-9397-08002B2CF9AE}" pid="9" name="MSIP_Label_6e3dc468-5731-4ec9-b671-cf2147a52e3a_SetDate">
    <vt:lpwstr>2024-07-25T01:07:17Z</vt:lpwstr>
  </property>
  <property fmtid="{D5CDD505-2E9C-101B-9397-08002B2CF9AE}" pid="10" name="MSIP_Label_6e3dc468-5731-4ec9-b671-cf2147a52e3a_ActionId">
    <vt:lpwstr>cade5078-12c5-4b74-b25f-87bd1f3651b9</vt:lpwstr>
  </property>
  <property fmtid="{D5CDD505-2E9C-101B-9397-08002B2CF9AE}" pid="11" name="MediaServiceImageTags">
    <vt:lpwstr/>
  </property>
  <property fmtid="{D5CDD505-2E9C-101B-9397-08002B2CF9AE}" pid="12" name="xd_ProgID">
    <vt:lpwstr/>
  </property>
  <property fmtid="{D5CDD505-2E9C-101B-9397-08002B2CF9AE}" pid="13" name="ContentTypeId">
    <vt:lpwstr>0x0101009F016F3E1D58024D8E71FAE188B3DBDA</vt:lpwstr>
  </property>
  <property fmtid="{D5CDD505-2E9C-101B-9397-08002B2CF9AE}" pid="14" name="_ColorHex">
    <vt:lpwstr/>
  </property>
  <property fmtid="{D5CDD505-2E9C-101B-9397-08002B2CF9AE}" pid="15" name="ComplianceAssetId">
    <vt:lpwstr/>
  </property>
  <property fmtid="{D5CDD505-2E9C-101B-9397-08002B2CF9AE}" pid="16" name="TemplateUrl">
    <vt:lpwstr/>
  </property>
  <property fmtid="{D5CDD505-2E9C-101B-9397-08002B2CF9AE}" pid="17" name="ClassificationContentMarkingHeaderFontProps">
    <vt:lpwstr>#ff0000,12,Calibri</vt:lpwstr>
  </property>
  <property fmtid="{D5CDD505-2E9C-101B-9397-08002B2CF9AE}" pid="18" name="MSIP_Label_6e3dc468-5731-4ec9-b671-cf2147a52e3a_ContentBits">
    <vt:lpwstr>3</vt:lpwstr>
  </property>
  <property fmtid="{D5CDD505-2E9C-101B-9397-08002B2CF9AE}" pid="19" name="_ExtendedDescription">
    <vt:lpwstr/>
  </property>
  <property fmtid="{D5CDD505-2E9C-101B-9397-08002B2CF9AE}" pid="20" name="_ColorTag">
    <vt:lpwstr/>
  </property>
  <property fmtid="{D5CDD505-2E9C-101B-9397-08002B2CF9AE}" pid="21" name="ClassificationContentMarkingFooterShapeIds">
    <vt:lpwstr>4,5,6</vt:lpwstr>
  </property>
  <property fmtid="{D5CDD505-2E9C-101B-9397-08002B2CF9AE}" pid="22" name="xd_Signature">
    <vt:bool>false</vt:bool>
  </property>
  <property fmtid="{D5CDD505-2E9C-101B-9397-08002B2CF9AE}" pid="23" name="GUID">
    <vt:lpwstr>3835a335-fcb5-48e6-a9d3-093464786b9d</vt:lpwstr>
  </property>
  <property fmtid="{D5CDD505-2E9C-101B-9397-08002B2CF9AE}" pid="24" name="ClassificationContentMarkingHeaderShapeIds">
    <vt:lpwstr>1,2,3</vt:lpwstr>
  </property>
  <property fmtid="{D5CDD505-2E9C-101B-9397-08002B2CF9AE}" pid="25" name="MSIP_Label_6e3dc468-5731-4ec9-b671-cf2147a52e3a_Name">
    <vt:lpwstr>Official</vt:lpwstr>
  </property>
  <property fmtid="{D5CDD505-2E9C-101B-9397-08002B2CF9AE}" pid="26" name="ClassificationContentMarkingFooterFontProps">
    <vt:lpwstr>#ff0000,12,Calibri</vt:lpwstr>
  </property>
  <property fmtid="{D5CDD505-2E9C-101B-9397-08002B2CF9AE}" pid="27" name="_Emoji">
    <vt:lpwstr/>
  </property>
  <property fmtid="{D5CDD505-2E9C-101B-9397-08002B2CF9AE}" pid="28" name="MSIP_Label_6e3dc468-5731-4ec9-b671-cf2147a52e3a_Enabled">
    <vt:lpwstr>true</vt:lpwstr>
  </property>
  <property fmtid="{D5CDD505-2E9C-101B-9397-08002B2CF9AE}" pid="29" name="TriggerFlowInfo">
    <vt:lpwstr/>
  </property>
  <property fmtid="{D5CDD505-2E9C-101B-9397-08002B2CF9AE}" pid="30" name="ClassificationContentMarkingFooterText">
    <vt:lpwstr>OFFICIAL</vt:lpwstr>
  </property>
  <property fmtid="{D5CDD505-2E9C-101B-9397-08002B2CF9AE}" pid="31" name="MSIP_Label_6e3dc468-5731-4ec9-b671-cf2147a52e3a_SiteId">
    <vt:lpwstr>214f1646-2021-47cc-8397-e3d3a7ba7d9d</vt:lpwstr>
  </property>
  <property fmtid="{D5CDD505-2E9C-101B-9397-08002B2CF9AE}" pid="32" name="Order">
    <vt:r8>86000600</vt:r8>
  </property>
  <property fmtid="{D5CDD505-2E9C-101B-9397-08002B2CF9AE}" pid="33" name="MSIP_Label_6e3dc468-5731-4ec9-b671-cf2147a52e3a_Method">
    <vt:lpwstr>Privileged</vt:lpwstr>
  </property>
  <property fmtid="{D5CDD505-2E9C-101B-9397-08002B2CF9AE}" pid="34" name="ClassificationContentMarkingHeaderText">
    <vt:lpwstr>OFFICIAL</vt:lpwstr>
  </property>
  <property fmtid="{D5CDD505-2E9C-101B-9397-08002B2CF9AE}" pid="35" name="SharedWithUsers">
    <vt:lpwstr>32;#Greg Freeman;#21;#Stewart, Darcy;#35;#Julie Jasas;#45;#McQuestin, Dana</vt:lpwstr>
  </property>
</Properties>
</file>