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C6846" w14:textId="49AE23BC" w:rsidR="004C78B6" w:rsidRDefault="006E6000" w:rsidP="004C78B6">
      <w:r>
        <w:rPr>
          <w:noProof/>
        </w:rPr>
        <w:drawing>
          <wp:anchor distT="0" distB="0" distL="114300" distR="114300" simplePos="0" relativeHeight="251658240" behindDoc="1" locked="0" layoutInCell="1" allowOverlap="1" wp14:anchorId="10314E4F" wp14:editId="07CFB83D">
            <wp:simplePos x="0" y="0"/>
            <wp:positionH relativeFrom="column">
              <wp:posOffset>-900430</wp:posOffset>
            </wp:positionH>
            <wp:positionV relativeFrom="paragraph">
              <wp:posOffset>-1259132</wp:posOffset>
            </wp:positionV>
            <wp:extent cx="7725600" cy="10919713"/>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5600" cy="10919713"/>
                    </a:xfrm>
                    <a:prstGeom prst="rect">
                      <a:avLst/>
                    </a:prstGeom>
                  </pic:spPr>
                </pic:pic>
              </a:graphicData>
            </a:graphic>
            <wp14:sizeRelH relativeFrom="margin">
              <wp14:pctWidth>0</wp14:pctWidth>
            </wp14:sizeRelH>
            <wp14:sizeRelV relativeFrom="margin">
              <wp14:pctHeight>0</wp14:pctHeight>
            </wp14:sizeRelV>
          </wp:anchor>
        </w:drawing>
      </w:r>
      <w:r w:rsidR="004C78B6">
        <w:rPr>
          <w:noProof/>
        </w:rPr>
        <w:drawing>
          <wp:inline distT="0" distB="0" distL="0" distR="0" wp14:anchorId="53D88FA4" wp14:editId="0E91BB6B">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56AA9408" w14:textId="68FDD22B" w:rsidR="004C78B6" w:rsidRDefault="004C78B6" w:rsidP="00D838D7">
      <w:pPr>
        <w:jc w:val="center"/>
      </w:pPr>
    </w:p>
    <w:p w14:paraId="6C749E99" w14:textId="7E1F7331" w:rsidR="004C78B6" w:rsidRDefault="004C78B6" w:rsidP="00D838D7">
      <w:pPr>
        <w:jc w:val="center"/>
      </w:pPr>
    </w:p>
    <w:p w14:paraId="00648F61" w14:textId="301C9B33" w:rsidR="00D838D7" w:rsidRDefault="00D838D7" w:rsidP="00D838D7">
      <w:pPr>
        <w:jc w:val="center"/>
      </w:pPr>
    </w:p>
    <w:p w14:paraId="1CD4EF8B" w14:textId="77777777" w:rsidR="00AD53D2" w:rsidRDefault="00AD53D2" w:rsidP="00D838D7"/>
    <w:p w14:paraId="1BD893EE" w14:textId="24ACD4E5" w:rsidR="00AD53D2" w:rsidRDefault="00AD53D2" w:rsidP="00D838D7"/>
    <w:p w14:paraId="19848CF4" w14:textId="080F0B71" w:rsidR="00AD53D2" w:rsidRDefault="00AD53D2" w:rsidP="00D838D7"/>
    <w:p w14:paraId="28F21D3B" w14:textId="474CBA55" w:rsidR="00AD53D2" w:rsidRDefault="00AD53D2" w:rsidP="00D838D7"/>
    <w:p w14:paraId="2EF7ACB0" w14:textId="28943E75" w:rsidR="00AD53D2" w:rsidRDefault="00AD53D2" w:rsidP="00D838D7"/>
    <w:p w14:paraId="54AC5A81" w14:textId="77777777" w:rsidR="00AD53D2" w:rsidRDefault="00AD53D2" w:rsidP="00D838D7"/>
    <w:p w14:paraId="1F178C8B" w14:textId="78418FBA" w:rsidR="00AD53D2" w:rsidRDefault="00AD53D2" w:rsidP="00D838D7"/>
    <w:p w14:paraId="33F1EEB6" w14:textId="2B07D9AD" w:rsidR="00AD53D2" w:rsidRDefault="00B57FA9" w:rsidP="00D838D7">
      <w:r w:rsidRPr="00AD53D2">
        <w:rPr>
          <w:noProof/>
        </w:rPr>
        <mc:AlternateContent>
          <mc:Choice Requires="wps">
            <w:drawing>
              <wp:anchor distT="0" distB="0" distL="114300" distR="114300" simplePos="0" relativeHeight="251658241" behindDoc="0" locked="0" layoutInCell="1" allowOverlap="1" wp14:anchorId="13874347" wp14:editId="34BF4239">
                <wp:simplePos x="0" y="0"/>
                <wp:positionH relativeFrom="margin">
                  <wp:posOffset>-1933</wp:posOffset>
                </wp:positionH>
                <wp:positionV relativeFrom="paragraph">
                  <wp:posOffset>148866</wp:posOffset>
                </wp:positionV>
                <wp:extent cx="6257677" cy="1637969"/>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6257677" cy="1637969"/>
                        </a:xfrm>
                        <a:prstGeom prst="rect">
                          <a:avLst/>
                        </a:prstGeom>
                        <a:noFill/>
                        <a:ln w="6350">
                          <a:noFill/>
                        </a:ln>
                      </wps:spPr>
                      <wps:txbx>
                        <w:txbxContent>
                          <w:p w14:paraId="2B443CCE" w14:textId="5C2BFAFE" w:rsidR="00AD53D2" w:rsidRPr="00E00674" w:rsidRDefault="00012602" w:rsidP="00AD53D2">
                            <w:pPr>
                              <w:rPr>
                                <w:rFonts w:ascii="Work Sans" w:hAnsi="Work Sans" w:cs="Open Sans"/>
                                <w:b/>
                                <w:bCs/>
                                <w:color w:val="FFFFFF"/>
                                <w:sz w:val="82"/>
                                <w:szCs w:val="82"/>
                              </w:rPr>
                            </w:pPr>
                            <w:r w:rsidRPr="00E00674">
                              <w:rPr>
                                <w:rFonts w:ascii="Work Sans" w:hAnsi="Work Sans" w:cs="Open Sans"/>
                                <w:b/>
                                <w:bCs/>
                                <w:color w:val="FFFFFF"/>
                                <w:sz w:val="82"/>
                                <w:szCs w:val="82"/>
                              </w:rPr>
                              <w:t xml:space="preserve">Forward </w:t>
                            </w:r>
                            <w:r w:rsidR="004E272E">
                              <w:rPr>
                                <w:rFonts w:ascii="Work Sans" w:hAnsi="Work Sans" w:cs="Open Sans"/>
                                <w:b/>
                                <w:bCs/>
                                <w:color w:val="FFFFFF"/>
                                <w:sz w:val="82"/>
                                <w:szCs w:val="82"/>
                              </w:rPr>
                              <w:t>W</w:t>
                            </w:r>
                            <w:r w:rsidRPr="00E00674">
                              <w:rPr>
                                <w:rFonts w:ascii="Work Sans" w:hAnsi="Work Sans" w:cs="Open Sans"/>
                                <w:b/>
                                <w:bCs/>
                                <w:color w:val="FFFFFF"/>
                                <w:sz w:val="82"/>
                                <w:szCs w:val="82"/>
                              </w:rPr>
                              <w:t xml:space="preserve">ork </w:t>
                            </w:r>
                            <w:r w:rsidR="004E272E">
                              <w:rPr>
                                <w:rFonts w:ascii="Work Sans" w:hAnsi="Work Sans" w:cs="Open Sans"/>
                                <w:b/>
                                <w:bCs/>
                                <w:color w:val="FFFFFF"/>
                                <w:sz w:val="82"/>
                                <w:szCs w:val="82"/>
                              </w:rPr>
                              <w:t>P</w:t>
                            </w:r>
                            <w:r w:rsidRPr="00E00674">
                              <w:rPr>
                                <w:rFonts w:ascii="Work Sans" w:hAnsi="Work Sans" w:cs="Open Sans"/>
                                <w:b/>
                                <w:bCs/>
                                <w:color w:val="FFFFFF"/>
                                <w:sz w:val="82"/>
                                <w:szCs w:val="82"/>
                              </w:rPr>
                              <w:t>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74347" id="_x0000_t202" coordsize="21600,21600" o:spt="202" path="m,l,21600r21600,l21600,xe">
                <v:stroke joinstyle="miter"/>
                <v:path gradientshapeok="t" o:connecttype="rect"/>
              </v:shapetype>
              <v:shape id="Text Box 13" o:spid="_x0000_s1026" type="#_x0000_t202" style="position:absolute;margin-left:-.15pt;margin-top:11.7pt;width:492.75pt;height:128.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3D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" filled="f" stroked="f" strokeweight=".5pt">
                <v:textbox>
                  <w:txbxContent>
                    <w:p w14:paraId="2B443CCE" w14:textId="5C2BFAFE" w:rsidR="00AD53D2" w:rsidRPr="00E00674" w:rsidRDefault="00012602" w:rsidP="00AD53D2">
                      <w:pPr>
                        <w:rPr>
                          <w:rFonts w:ascii="Work Sans" w:hAnsi="Work Sans" w:cs="Open Sans"/>
                          <w:b/>
                          <w:bCs/>
                          <w:color w:val="FFFFFF"/>
                          <w:sz w:val="82"/>
                          <w:szCs w:val="82"/>
                        </w:rPr>
                      </w:pPr>
                      <w:r w:rsidRPr="00E00674">
                        <w:rPr>
                          <w:rFonts w:ascii="Work Sans" w:hAnsi="Work Sans" w:cs="Open Sans"/>
                          <w:b/>
                          <w:bCs/>
                          <w:color w:val="FFFFFF"/>
                          <w:sz w:val="82"/>
                          <w:szCs w:val="82"/>
                        </w:rPr>
                        <w:t xml:space="preserve">Forward </w:t>
                      </w:r>
                      <w:r w:rsidR="004E272E">
                        <w:rPr>
                          <w:rFonts w:ascii="Work Sans" w:hAnsi="Work Sans" w:cs="Open Sans"/>
                          <w:b/>
                          <w:bCs/>
                          <w:color w:val="FFFFFF"/>
                          <w:sz w:val="82"/>
                          <w:szCs w:val="82"/>
                        </w:rPr>
                        <w:t>W</w:t>
                      </w:r>
                      <w:r w:rsidRPr="00E00674">
                        <w:rPr>
                          <w:rFonts w:ascii="Work Sans" w:hAnsi="Work Sans" w:cs="Open Sans"/>
                          <w:b/>
                          <w:bCs/>
                          <w:color w:val="FFFFFF"/>
                          <w:sz w:val="82"/>
                          <w:szCs w:val="82"/>
                        </w:rPr>
                        <w:t xml:space="preserve">ork </w:t>
                      </w:r>
                      <w:r w:rsidR="004E272E">
                        <w:rPr>
                          <w:rFonts w:ascii="Work Sans" w:hAnsi="Work Sans" w:cs="Open Sans"/>
                          <w:b/>
                          <w:bCs/>
                          <w:color w:val="FFFFFF"/>
                          <w:sz w:val="82"/>
                          <w:szCs w:val="82"/>
                        </w:rPr>
                        <w:t>P</w:t>
                      </w:r>
                      <w:r w:rsidRPr="00E00674">
                        <w:rPr>
                          <w:rFonts w:ascii="Work Sans" w:hAnsi="Work Sans" w:cs="Open Sans"/>
                          <w:b/>
                          <w:bCs/>
                          <w:color w:val="FFFFFF"/>
                          <w:sz w:val="82"/>
                          <w:szCs w:val="82"/>
                        </w:rPr>
                        <w:t>rogram</w:t>
                      </w:r>
                    </w:p>
                  </w:txbxContent>
                </v:textbox>
                <w10:wrap anchorx="margin"/>
              </v:shape>
            </w:pict>
          </mc:Fallback>
        </mc:AlternateContent>
      </w:r>
    </w:p>
    <w:p w14:paraId="639E79F8" w14:textId="1F079D6D" w:rsidR="00AD53D2" w:rsidRDefault="00AD53D2" w:rsidP="00D838D7"/>
    <w:p w14:paraId="699217D6" w14:textId="0F9AFE3A" w:rsidR="00AD53D2" w:rsidRDefault="00AD53D2" w:rsidP="00D838D7"/>
    <w:p w14:paraId="0E2AC69D" w14:textId="1E4A1340" w:rsidR="00AD53D2" w:rsidRDefault="00AD53D2" w:rsidP="00D838D7"/>
    <w:p w14:paraId="45D6F931" w14:textId="44B9CCAD" w:rsidR="00AD53D2" w:rsidRDefault="00AD53D2" w:rsidP="00D838D7"/>
    <w:p w14:paraId="0568BBED" w14:textId="31F817E7" w:rsidR="00AD53D2" w:rsidRDefault="00AD53D2" w:rsidP="00D838D7"/>
    <w:p w14:paraId="39A7AC3F" w14:textId="2AC7941A" w:rsidR="00AD53D2" w:rsidRDefault="00B57FA9" w:rsidP="00D838D7">
      <w:r w:rsidRPr="00AD53D2">
        <w:rPr>
          <w:noProof/>
        </w:rPr>
        <mc:AlternateContent>
          <mc:Choice Requires="wps">
            <w:drawing>
              <wp:anchor distT="0" distB="0" distL="114300" distR="114300" simplePos="0" relativeHeight="251658242" behindDoc="0" locked="0" layoutInCell="1" allowOverlap="1" wp14:anchorId="17BEE366" wp14:editId="55587479">
                <wp:simplePos x="0" y="0"/>
                <wp:positionH relativeFrom="margin">
                  <wp:align>left</wp:align>
                </wp:positionH>
                <wp:positionV relativeFrom="paragraph">
                  <wp:posOffset>244475</wp:posOffset>
                </wp:positionV>
                <wp:extent cx="4381169" cy="6629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4381169" cy="662940"/>
                        </a:xfrm>
                        <a:prstGeom prst="rect">
                          <a:avLst/>
                        </a:prstGeom>
                        <a:noFill/>
                        <a:ln w="6350">
                          <a:noFill/>
                        </a:ln>
                      </wps:spPr>
                      <wps:txbx>
                        <w:txbxContent>
                          <w:p w14:paraId="73DD6A39" w14:textId="3EC75098" w:rsidR="00AD53D2" w:rsidRPr="00B417A0" w:rsidRDefault="00D41C67" w:rsidP="00AD53D2">
                            <w:pPr>
                              <w:rPr>
                                <w:rFonts w:ascii="Work Sans" w:hAnsi="Work Sans" w:cs="Open Sans"/>
                                <w:color w:val="FFFFFF"/>
                                <w:sz w:val="48"/>
                                <w:szCs w:val="48"/>
                              </w:rPr>
                            </w:pPr>
                            <w:r>
                              <w:rPr>
                                <w:rFonts w:ascii="Work Sans" w:hAnsi="Work Sans" w:cs="Open Sans"/>
                                <w:color w:val="FFFFFF"/>
                                <w:sz w:val="48"/>
                                <w:szCs w:val="48"/>
                              </w:rPr>
                              <w:t>Research Update</w:t>
                            </w:r>
                            <w:r w:rsidR="00012602">
                              <w:rPr>
                                <w:rFonts w:ascii="Work Sans" w:hAnsi="Work Sans" w:cs="Open Sans"/>
                                <w:color w:val="FFFFFF"/>
                                <w:sz w:val="48"/>
                                <w:szCs w:val="4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E366" id="Text Box 14" o:spid="_x0000_s1027" type="#_x0000_t202" style="position:absolute;margin-left:0;margin-top:19.25pt;width:344.95pt;height:52.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" filled="f" stroked="f" strokeweight=".5pt">
                <v:textbox>
                  <w:txbxContent>
                    <w:p w14:paraId="73DD6A39" w14:textId="3EC75098" w:rsidR="00AD53D2" w:rsidRPr="00B417A0" w:rsidRDefault="00D41C67" w:rsidP="00AD53D2">
                      <w:pPr>
                        <w:rPr>
                          <w:rFonts w:ascii="Work Sans" w:hAnsi="Work Sans" w:cs="Open Sans"/>
                          <w:color w:val="FFFFFF"/>
                          <w:sz w:val="48"/>
                          <w:szCs w:val="48"/>
                        </w:rPr>
                      </w:pPr>
                      <w:r>
                        <w:rPr>
                          <w:rFonts w:ascii="Work Sans" w:hAnsi="Work Sans" w:cs="Open Sans"/>
                          <w:color w:val="FFFFFF"/>
                          <w:sz w:val="48"/>
                          <w:szCs w:val="48"/>
                        </w:rPr>
                        <w:t>Research Update</w:t>
                      </w:r>
                      <w:r w:rsidR="00012602">
                        <w:rPr>
                          <w:rFonts w:ascii="Work Sans" w:hAnsi="Work Sans" w:cs="Open Sans"/>
                          <w:color w:val="FFFFFF"/>
                          <w:sz w:val="48"/>
                          <w:szCs w:val="48"/>
                        </w:rPr>
                        <w:t xml:space="preserve"> #1</w:t>
                      </w:r>
                    </w:p>
                  </w:txbxContent>
                </v:textbox>
                <w10:wrap anchorx="margin"/>
              </v:shape>
            </w:pict>
          </mc:Fallback>
        </mc:AlternateContent>
      </w:r>
    </w:p>
    <w:p w14:paraId="25834C5D" w14:textId="345043BF" w:rsidR="00AD53D2" w:rsidRDefault="00AD53D2" w:rsidP="00D838D7"/>
    <w:p w14:paraId="00E92AD7" w14:textId="60C9C5A8" w:rsidR="00AD53D2" w:rsidRDefault="00AD53D2" w:rsidP="00D838D7"/>
    <w:p w14:paraId="57BDAF8A" w14:textId="58B48E8D" w:rsidR="00AD53D2" w:rsidRDefault="00AD53D2" w:rsidP="00D838D7"/>
    <w:p w14:paraId="7310BB9F" w14:textId="77777777" w:rsidR="00AD53D2" w:rsidRDefault="00AD53D2" w:rsidP="00D838D7"/>
    <w:p w14:paraId="22A6B70E" w14:textId="77777777" w:rsidR="00AD53D2" w:rsidRDefault="00AD53D2" w:rsidP="00D838D7"/>
    <w:p w14:paraId="75078E44" w14:textId="15B9C3C6" w:rsidR="00AD53D2" w:rsidRDefault="00012602" w:rsidP="00D838D7">
      <w:r w:rsidRPr="00AD53D2">
        <w:rPr>
          <w:noProof/>
        </w:rPr>
        <mc:AlternateContent>
          <mc:Choice Requires="wps">
            <w:drawing>
              <wp:anchor distT="0" distB="0" distL="114300" distR="114300" simplePos="0" relativeHeight="251658243" behindDoc="0" locked="0" layoutInCell="1" allowOverlap="1" wp14:anchorId="0A5643A7" wp14:editId="58F4490B">
                <wp:simplePos x="0" y="0"/>
                <wp:positionH relativeFrom="column">
                  <wp:posOffset>6019</wp:posOffset>
                </wp:positionH>
                <wp:positionV relativeFrom="paragraph">
                  <wp:posOffset>75399</wp:posOffset>
                </wp:positionV>
                <wp:extent cx="2361537" cy="3416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2361537" cy="341630"/>
                        </a:xfrm>
                        <a:prstGeom prst="rect">
                          <a:avLst/>
                        </a:prstGeom>
                        <a:noFill/>
                        <a:ln w="6350">
                          <a:noFill/>
                        </a:ln>
                      </wps:spPr>
                      <wps:txbx>
                        <w:txbxContent>
                          <w:p w14:paraId="1041002D" w14:textId="2D1CA54B" w:rsidR="00AD53D2" w:rsidRPr="00B57FA9" w:rsidRDefault="000F43E9" w:rsidP="00AD53D2">
                            <w:pPr>
                              <w:rPr>
                                <w:rFonts w:ascii="Work Sans" w:hAnsi="Work Sans" w:cs="Open Sans"/>
                                <w:color w:val="FFFFFF"/>
                                <w:sz w:val="24"/>
                                <w:szCs w:val="24"/>
                              </w:rPr>
                            </w:pPr>
                            <w:r>
                              <w:rPr>
                                <w:rFonts w:ascii="Work Sans" w:hAnsi="Work Sans" w:cs="Open Sans"/>
                                <w:color w:val="FFFFFF"/>
                                <w:sz w:val="24"/>
                                <w:szCs w:val="24"/>
                              </w:rPr>
                              <w:t xml:space="preserve">May </w:t>
                            </w:r>
                            <w:r w:rsidR="00012602">
                              <w:rPr>
                                <w:rFonts w:ascii="Work Sans" w:hAnsi="Work Sans" w:cs="Open Sans"/>
                                <w:color w:val="FFFFFF"/>
                                <w:sz w:val="24"/>
                                <w:szCs w:val="24"/>
                              </w:rPr>
                              <w:t>202</w:t>
                            </w:r>
                            <w:r w:rsidR="004E272E">
                              <w:rPr>
                                <w:rFonts w:ascii="Work Sans" w:hAnsi="Work Sans" w:cs="Open Sans"/>
                                <w:color w:val="FFFFFF"/>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43A7" id="Text Box 15" o:spid="_x0000_s1028" type="#_x0000_t202" style="position:absolute;margin-left:.45pt;margin-top:5.95pt;width:185.95pt;height:26.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" filled="f" stroked="f" strokeweight=".5pt">
                <v:textbox>
                  <w:txbxContent>
                    <w:p w14:paraId="1041002D" w14:textId="2D1CA54B" w:rsidR="00AD53D2" w:rsidRPr="00B57FA9" w:rsidRDefault="000F43E9" w:rsidP="00AD53D2">
                      <w:pPr>
                        <w:rPr>
                          <w:rFonts w:ascii="Work Sans" w:hAnsi="Work Sans" w:cs="Open Sans"/>
                          <w:color w:val="FFFFFF"/>
                          <w:sz w:val="24"/>
                          <w:szCs w:val="24"/>
                        </w:rPr>
                      </w:pPr>
                      <w:r>
                        <w:rPr>
                          <w:rFonts w:ascii="Work Sans" w:hAnsi="Work Sans" w:cs="Open Sans"/>
                          <w:color w:val="FFFFFF"/>
                          <w:sz w:val="24"/>
                          <w:szCs w:val="24"/>
                        </w:rPr>
                        <w:t xml:space="preserve">May </w:t>
                      </w:r>
                      <w:r w:rsidR="00012602">
                        <w:rPr>
                          <w:rFonts w:ascii="Work Sans" w:hAnsi="Work Sans" w:cs="Open Sans"/>
                          <w:color w:val="FFFFFF"/>
                          <w:sz w:val="24"/>
                          <w:szCs w:val="24"/>
                        </w:rPr>
                        <w:t>202</w:t>
                      </w:r>
                      <w:r w:rsidR="004E272E">
                        <w:rPr>
                          <w:rFonts w:ascii="Work Sans" w:hAnsi="Work Sans" w:cs="Open Sans"/>
                          <w:color w:val="FFFFFF"/>
                          <w:sz w:val="24"/>
                          <w:szCs w:val="24"/>
                        </w:rPr>
                        <w:t>6</w:t>
                      </w:r>
                    </w:p>
                  </w:txbxContent>
                </v:textbox>
              </v:shape>
            </w:pict>
          </mc:Fallback>
        </mc:AlternateContent>
      </w:r>
    </w:p>
    <w:p w14:paraId="4AF9959E" w14:textId="77777777" w:rsidR="00AD53D2" w:rsidRDefault="00AD53D2" w:rsidP="00D838D7"/>
    <w:p w14:paraId="2E172C72" w14:textId="77777777" w:rsidR="00AD53D2" w:rsidRDefault="00AD53D2" w:rsidP="00D838D7"/>
    <w:p w14:paraId="06D8C5E2" w14:textId="77777777" w:rsidR="00AD53D2" w:rsidRDefault="00AD53D2" w:rsidP="00D838D7"/>
    <w:p w14:paraId="493FF90D" w14:textId="77777777" w:rsidR="00AD53D2" w:rsidRDefault="00AD53D2" w:rsidP="00D838D7"/>
    <w:p w14:paraId="24EE791A" w14:textId="77777777" w:rsidR="00AD53D2" w:rsidRDefault="00AD53D2" w:rsidP="00D838D7"/>
    <w:p w14:paraId="3E6770BD" w14:textId="77777777" w:rsidR="00AD53D2" w:rsidRDefault="00AD53D2" w:rsidP="00D838D7"/>
    <w:p w14:paraId="164D3A4A" w14:textId="5B388E40" w:rsidR="00D838D7" w:rsidRDefault="00D838D7" w:rsidP="00D838D7"/>
    <w:p w14:paraId="0B2861C2" w14:textId="77777777" w:rsidR="00893D17" w:rsidRDefault="00893D17" w:rsidP="00D838D7">
      <w:pPr>
        <w:sectPr w:rsidR="00893D17" w:rsidSect="004C78B6">
          <w:headerReference w:type="default" r:id="rId10"/>
          <w:footerReference w:type="even" r:id="rId11"/>
          <w:footerReference w:type="default" r:id="rId12"/>
          <w:headerReference w:type="first" r:id="rId13"/>
          <w:pgSz w:w="11900" w:h="16840"/>
          <w:pgMar w:top="1985" w:right="1418" w:bottom="1418" w:left="1418" w:header="709" w:footer="284" w:gutter="0"/>
          <w:pgNumType w:start="1"/>
          <w:cols w:space="708"/>
          <w:docGrid w:linePitch="360"/>
        </w:sectPr>
      </w:pPr>
    </w:p>
    <w:p w14:paraId="76C0A265" w14:textId="77777777" w:rsidR="005F0047" w:rsidRDefault="005F0047" w:rsidP="005F0047">
      <w:pPr>
        <w:pStyle w:val="NormalWeb"/>
        <w:rPr>
          <w:rFonts w:ascii="Work Sans" w:hAnsi="Work Sans"/>
          <w:b/>
          <w:bCs/>
          <w:color w:val="000000"/>
          <w:sz w:val="20"/>
          <w:szCs w:val="20"/>
        </w:rPr>
      </w:pPr>
    </w:p>
    <w:p w14:paraId="71B1CCF0" w14:textId="77777777" w:rsidR="005F0047" w:rsidRDefault="005F0047" w:rsidP="005F0047">
      <w:pPr>
        <w:pStyle w:val="NormalWeb"/>
        <w:rPr>
          <w:rFonts w:ascii="Work Sans" w:hAnsi="Work Sans"/>
          <w:b/>
          <w:bCs/>
          <w:color w:val="000000"/>
          <w:sz w:val="20"/>
          <w:szCs w:val="20"/>
        </w:rPr>
      </w:pPr>
    </w:p>
    <w:p w14:paraId="7D4BCF11" w14:textId="77777777" w:rsidR="005F0047" w:rsidRDefault="005F0047" w:rsidP="005F0047">
      <w:pPr>
        <w:pStyle w:val="NormalWeb"/>
        <w:rPr>
          <w:rFonts w:ascii="Work Sans" w:hAnsi="Work Sans"/>
          <w:b/>
          <w:bCs/>
          <w:color w:val="000000"/>
          <w:sz w:val="20"/>
          <w:szCs w:val="20"/>
        </w:rPr>
      </w:pPr>
    </w:p>
    <w:p w14:paraId="099F4A05" w14:textId="77777777" w:rsidR="005F0047" w:rsidRDefault="005F0047" w:rsidP="005F0047">
      <w:pPr>
        <w:pStyle w:val="NormalWeb"/>
        <w:rPr>
          <w:rFonts w:ascii="Work Sans" w:hAnsi="Work Sans"/>
          <w:b/>
          <w:bCs/>
          <w:color w:val="000000"/>
          <w:sz w:val="20"/>
          <w:szCs w:val="20"/>
        </w:rPr>
      </w:pPr>
    </w:p>
    <w:p w14:paraId="4A0823B4" w14:textId="02857068" w:rsidR="005F0047" w:rsidRDefault="009F0102" w:rsidP="005F0047">
      <w:pPr>
        <w:pStyle w:val="NormalWeb"/>
        <w:rPr>
          <w:rFonts w:ascii="Work Sans" w:hAnsi="Work Sans"/>
          <w:b/>
          <w:bCs/>
          <w:color w:val="000000"/>
          <w:sz w:val="20"/>
          <w:szCs w:val="20"/>
        </w:rPr>
      </w:pPr>
      <w:r>
        <w:rPr>
          <w:noProof/>
        </w:rPr>
        <mc:AlternateContent>
          <mc:Choice Requires="wps">
            <w:drawing>
              <wp:anchor distT="0" distB="0" distL="114300" distR="114300" simplePos="0" relativeHeight="251658244" behindDoc="1" locked="0" layoutInCell="1" allowOverlap="1" wp14:anchorId="53D59D21" wp14:editId="34896D45">
                <wp:simplePos x="0" y="0"/>
                <wp:positionH relativeFrom="margin">
                  <wp:posOffset>-113030</wp:posOffset>
                </wp:positionH>
                <wp:positionV relativeFrom="paragraph">
                  <wp:posOffset>-1282065</wp:posOffset>
                </wp:positionV>
                <wp:extent cx="5848249" cy="1542553"/>
                <wp:effectExtent l="0" t="0" r="635" b="6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249" cy="1542553"/>
                        </a:xfrm>
                        <a:prstGeom prst="rect">
                          <a:avLst/>
                        </a:prstGeom>
                        <a:solidFill>
                          <a:srgbClr val="FAE8CB"/>
                        </a:solidFill>
                        <a:ln>
                          <a:noFill/>
                        </a:ln>
                      </wps:spPr>
                      <wps:txbx>
                        <w:txbxContent>
                          <w:p w14:paraId="7E8598B8" w14:textId="77777777" w:rsidR="009F0102" w:rsidRPr="00707B3A" w:rsidRDefault="009F0102" w:rsidP="009F0102">
                            <w:pPr>
                              <w:pStyle w:val="Heading2"/>
                            </w:pPr>
                            <w:r>
                              <w:t>Acknowledgement of Country</w:t>
                            </w:r>
                          </w:p>
                          <w:p w14:paraId="6640CB32" w14:textId="3CA59979" w:rsidR="009F0102" w:rsidRPr="006B26D5" w:rsidRDefault="009F0102" w:rsidP="009F0102">
                            <w:pPr>
                              <w:pStyle w:val="BodyText"/>
                              <w:rPr>
                                <w:rFonts w:ascii="Work Sans" w:hAnsi="Work Sans"/>
                                <w:sz w:val="20"/>
                              </w:rPr>
                            </w:pPr>
                            <w:r w:rsidRPr="006B26D5">
                              <w:rPr>
                                <w:rFonts w:ascii="Work Sans" w:hAnsi="Work Sans"/>
                                <w:sz w:val="20"/>
                              </w:rPr>
                              <w:t xml:space="preserve">The Commonwealth Grants Commission acknowledges the Traditional Owners of Country throughout Australia, and their continuing connection to land, water and community. </w:t>
                            </w:r>
                            <w:r w:rsidR="00D22F66">
                              <w:rPr>
                                <w:rFonts w:ascii="Work Sans" w:hAnsi="Work Sans"/>
                                <w:sz w:val="20"/>
                              </w:rPr>
                              <w:br/>
                            </w:r>
                            <w:r w:rsidRPr="006B26D5">
                              <w:rPr>
                                <w:rFonts w:ascii="Work Sans" w:hAnsi="Work Sans"/>
                                <w:sz w:val="20"/>
                              </w:rPr>
                              <w:t>We pay our respects to them and their cultures and to Elders both past and present.</w:t>
                            </w:r>
                          </w:p>
                          <w:p w14:paraId="5EC01CD9" w14:textId="77777777" w:rsidR="009F0102" w:rsidRPr="00F579A2" w:rsidRDefault="009F0102" w:rsidP="009F0102">
                            <w:pPr>
                              <w:spacing w:line="252" w:lineRule="auto"/>
                              <w:rPr>
                                <w:lang w:bidi="hi-I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D59D21" id="Rectangle 23" o:spid="_x0000_s1029" style="position:absolute;margin-left:-8.9pt;margin-top:-100.95pt;width:460.5pt;height:121.4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" fillcolor="#fae8cb" stroked="f">
                <v:textbox>
                  <w:txbxContent>
                    <w:p w14:paraId="7E8598B8" w14:textId="77777777" w:rsidR="009F0102" w:rsidRPr="00707B3A" w:rsidRDefault="009F0102" w:rsidP="009F0102">
                      <w:pPr>
                        <w:pStyle w:val="Heading2"/>
                      </w:pPr>
                      <w:r>
                        <w:t>Acknowledgement of Country</w:t>
                      </w:r>
                    </w:p>
                    <w:p w14:paraId="6640CB32" w14:textId="3CA59979" w:rsidR="009F0102" w:rsidRPr="006B26D5" w:rsidRDefault="009F0102" w:rsidP="009F0102">
                      <w:pPr>
                        <w:pStyle w:val="BodyText"/>
                        <w:rPr>
                          <w:rFonts w:ascii="Work Sans" w:hAnsi="Work Sans"/>
                          <w:sz w:val="20"/>
                        </w:rPr>
                      </w:pPr>
                      <w:r w:rsidRPr="006B26D5">
                        <w:rPr>
                          <w:rFonts w:ascii="Work Sans" w:hAnsi="Work Sans"/>
                          <w:sz w:val="20"/>
                        </w:rPr>
                        <w:t xml:space="preserve">The Commonwealth Grants Commission acknowledges the Traditional Owners of Country throughout Australia, and their continuing connection to land, water and community. </w:t>
                      </w:r>
                      <w:r w:rsidR="00D22F66">
                        <w:rPr>
                          <w:rFonts w:ascii="Work Sans" w:hAnsi="Work Sans"/>
                          <w:sz w:val="20"/>
                        </w:rPr>
                        <w:br/>
                      </w:r>
                      <w:r w:rsidRPr="006B26D5">
                        <w:rPr>
                          <w:rFonts w:ascii="Work Sans" w:hAnsi="Work Sans"/>
                          <w:sz w:val="20"/>
                        </w:rPr>
                        <w:t>We pay our respects to them and their cultures and to Elders both past and present.</w:t>
                      </w:r>
                    </w:p>
                    <w:p w14:paraId="5EC01CD9" w14:textId="77777777" w:rsidR="009F0102" w:rsidRPr="00F579A2" w:rsidRDefault="009F0102" w:rsidP="009F0102">
                      <w:pPr>
                        <w:spacing w:line="252" w:lineRule="auto"/>
                        <w:rPr>
                          <w:lang w:bidi="hi-IN"/>
                        </w:rPr>
                      </w:pPr>
                    </w:p>
                  </w:txbxContent>
                </v:textbox>
                <w10:wrap anchorx="margin"/>
              </v:rect>
            </w:pict>
          </mc:Fallback>
        </mc:AlternateContent>
      </w:r>
    </w:p>
    <w:p w14:paraId="23898F0B" w14:textId="77777777" w:rsidR="005F0047" w:rsidRDefault="005F0047" w:rsidP="005F0047">
      <w:pPr>
        <w:pStyle w:val="NormalWeb"/>
        <w:rPr>
          <w:rFonts w:ascii="Work Sans" w:hAnsi="Work Sans"/>
          <w:b/>
          <w:bCs/>
          <w:color w:val="000000"/>
          <w:sz w:val="20"/>
          <w:szCs w:val="20"/>
        </w:rPr>
      </w:pPr>
    </w:p>
    <w:p w14:paraId="3B0502C1" w14:textId="77777777" w:rsidR="005F0047" w:rsidRDefault="005F0047" w:rsidP="005F0047">
      <w:pPr>
        <w:pStyle w:val="NormalWeb"/>
        <w:rPr>
          <w:rFonts w:ascii="Work Sans" w:hAnsi="Work Sans"/>
          <w:b/>
          <w:bCs/>
          <w:color w:val="000000"/>
          <w:sz w:val="20"/>
          <w:szCs w:val="20"/>
        </w:rPr>
      </w:pPr>
    </w:p>
    <w:p w14:paraId="3260D832" w14:textId="77777777" w:rsidR="005F0047" w:rsidRDefault="005F0047" w:rsidP="005F0047">
      <w:pPr>
        <w:pStyle w:val="NormalWeb"/>
        <w:rPr>
          <w:rFonts w:ascii="Work Sans" w:hAnsi="Work Sans"/>
          <w:b/>
          <w:bCs/>
          <w:color w:val="000000"/>
          <w:sz w:val="20"/>
          <w:szCs w:val="20"/>
        </w:rPr>
      </w:pPr>
    </w:p>
    <w:p w14:paraId="2A1F9DC3" w14:textId="77777777" w:rsidR="005F0047" w:rsidRDefault="005F0047" w:rsidP="005F0047">
      <w:pPr>
        <w:pStyle w:val="NormalWeb"/>
        <w:rPr>
          <w:rFonts w:ascii="Work Sans" w:hAnsi="Work Sans"/>
          <w:b/>
          <w:bCs/>
          <w:color w:val="000000"/>
          <w:sz w:val="20"/>
          <w:szCs w:val="20"/>
        </w:rPr>
      </w:pPr>
    </w:p>
    <w:p w14:paraId="450A718E" w14:textId="77777777" w:rsidR="005F0047" w:rsidRDefault="005F0047" w:rsidP="005F0047">
      <w:pPr>
        <w:pStyle w:val="NormalWeb"/>
        <w:rPr>
          <w:rFonts w:ascii="Work Sans" w:hAnsi="Work Sans"/>
          <w:b/>
          <w:bCs/>
          <w:color w:val="000000"/>
          <w:sz w:val="20"/>
          <w:szCs w:val="20"/>
        </w:rPr>
      </w:pPr>
    </w:p>
    <w:p w14:paraId="415959A6" w14:textId="77777777" w:rsidR="005F0047" w:rsidRDefault="005F0047" w:rsidP="005F0047">
      <w:pPr>
        <w:pStyle w:val="NormalWeb"/>
        <w:rPr>
          <w:rFonts w:ascii="Work Sans" w:hAnsi="Work Sans"/>
          <w:b/>
          <w:bCs/>
          <w:color w:val="000000"/>
          <w:sz w:val="20"/>
          <w:szCs w:val="20"/>
        </w:rPr>
      </w:pPr>
    </w:p>
    <w:p w14:paraId="3E221168" w14:textId="77777777" w:rsidR="005F0047" w:rsidRDefault="005F0047" w:rsidP="005F0047">
      <w:pPr>
        <w:pStyle w:val="NormalWeb"/>
        <w:rPr>
          <w:rFonts w:ascii="Work Sans" w:hAnsi="Work Sans"/>
          <w:b/>
          <w:bCs/>
          <w:color w:val="000000"/>
          <w:sz w:val="20"/>
          <w:szCs w:val="20"/>
        </w:rPr>
      </w:pPr>
    </w:p>
    <w:p w14:paraId="1A6CBE9A" w14:textId="3C029F05" w:rsidR="005F0047" w:rsidRPr="005B5F4E" w:rsidRDefault="005F0047" w:rsidP="005F0047">
      <w:pPr>
        <w:pStyle w:val="NormalWeb"/>
        <w:rPr>
          <w:rFonts w:ascii="Work Sans" w:hAnsi="Work Sans"/>
          <w:b/>
          <w:bCs/>
          <w:color w:val="000000"/>
          <w:sz w:val="20"/>
          <w:szCs w:val="20"/>
        </w:rPr>
      </w:pPr>
      <w:r w:rsidRPr="005B5F4E">
        <w:rPr>
          <w:rFonts w:ascii="Work Sans" w:hAnsi="Work Sans"/>
          <w:b/>
          <w:bCs/>
          <w:color w:val="000000"/>
          <w:sz w:val="20"/>
          <w:szCs w:val="20"/>
        </w:rPr>
        <w:t>Copyright</w:t>
      </w:r>
    </w:p>
    <w:p w14:paraId="58D8D2BD" w14:textId="32398BDA" w:rsidR="005F0047" w:rsidRPr="005B5F4E" w:rsidRDefault="005F0047" w:rsidP="005F0047">
      <w:pPr>
        <w:pStyle w:val="NormalWeb"/>
        <w:rPr>
          <w:rFonts w:ascii="Work Sans" w:hAnsi="Work Sans"/>
          <w:color w:val="000000"/>
          <w:sz w:val="20"/>
          <w:szCs w:val="20"/>
        </w:rPr>
      </w:pPr>
      <w:r w:rsidRPr="005B5F4E">
        <w:rPr>
          <w:rFonts w:ascii="Work Sans" w:hAnsi="Work Sans"/>
          <w:color w:val="000000"/>
          <w:sz w:val="20"/>
          <w:szCs w:val="20"/>
        </w:rPr>
        <w:t xml:space="preserve">© Commonwealth of Australia </w:t>
      </w:r>
      <w:r w:rsidRPr="000F7709">
        <w:rPr>
          <w:rFonts w:ascii="Work Sans" w:hAnsi="Work Sans"/>
          <w:color w:val="000000"/>
          <w:sz w:val="20"/>
          <w:szCs w:val="20"/>
        </w:rPr>
        <w:t>202</w:t>
      </w:r>
      <w:r w:rsidR="00A43FCD" w:rsidRPr="000F7709">
        <w:rPr>
          <w:rFonts w:ascii="Work Sans" w:hAnsi="Work Sans"/>
          <w:color w:val="000000"/>
          <w:sz w:val="20"/>
          <w:szCs w:val="20"/>
        </w:rPr>
        <w:t>6</w:t>
      </w:r>
    </w:p>
    <w:p w14:paraId="111990BA" w14:textId="77777777" w:rsidR="005F0047" w:rsidRPr="005B5F4E" w:rsidRDefault="005F0047" w:rsidP="005F0047">
      <w:pPr>
        <w:pStyle w:val="NormalWeb"/>
        <w:rPr>
          <w:rFonts w:ascii="Work Sans" w:hAnsi="Work Sans"/>
          <w:color w:val="000000"/>
          <w:sz w:val="20"/>
          <w:szCs w:val="20"/>
        </w:rPr>
      </w:pPr>
      <w:proofErr w:type="gramStart"/>
      <w:r w:rsidRPr="005B5F4E">
        <w:rPr>
          <w:rFonts w:ascii="Work Sans" w:hAnsi="Work Sans"/>
          <w:color w:val="000000"/>
          <w:sz w:val="20"/>
          <w:szCs w:val="20"/>
        </w:rPr>
        <w:t>With the exception of</w:t>
      </w:r>
      <w:proofErr w:type="gramEnd"/>
      <w:r w:rsidRPr="005B5F4E">
        <w:rPr>
          <w:rFonts w:ascii="Work Sans" w:hAnsi="Work Sans"/>
          <w:color w:val="000000"/>
          <w:sz w:val="20"/>
          <w:szCs w:val="20"/>
        </w:rPr>
        <w:t xml:space="preserve">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r:id="rId14" w:history="1">
        <w:r w:rsidRPr="005B5F4E">
          <w:rPr>
            <w:rStyle w:val="Hyperlink"/>
            <w:rFonts w:ascii="Work Sans" w:hAnsi="Work Sans"/>
            <w:sz w:val="20"/>
            <w:szCs w:val="20"/>
          </w:rPr>
          <w:t>https://creativecommons.org/licenses/by/4.0/legalcode</w:t>
        </w:r>
      </w:hyperlink>
      <w:r w:rsidRPr="005B5F4E">
        <w:rPr>
          <w:rFonts w:ascii="Work Sans" w:hAnsi="Work Sans"/>
          <w:color w:val="000000"/>
          <w:sz w:val="20"/>
          <w:szCs w:val="20"/>
        </w:rPr>
        <w:t>).</w:t>
      </w:r>
    </w:p>
    <w:p w14:paraId="1CD1F0E9" w14:textId="77777777" w:rsidR="005F0047" w:rsidRPr="005B5F4E" w:rsidRDefault="005F0047" w:rsidP="005F0047">
      <w:pPr>
        <w:pStyle w:val="NormalWeb"/>
        <w:rPr>
          <w:rFonts w:ascii="Work Sans" w:hAnsi="Work Sans"/>
          <w:color w:val="000000"/>
          <w:sz w:val="20"/>
          <w:szCs w:val="20"/>
        </w:rPr>
      </w:pPr>
      <w:r w:rsidRPr="00B6797E">
        <w:rPr>
          <w:rFonts w:ascii="Work Sans" w:hAnsi="Work Sans"/>
          <w:noProof/>
          <w:sz w:val="20"/>
          <w:szCs w:val="20"/>
        </w:rPr>
        <w:drawing>
          <wp:inline distT="0" distB="0" distL="0" distR="0" wp14:anchorId="2C8F5809" wp14:editId="1231299D">
            <wp:extent cx="828675" cy="295275"/>
            <wp:effectExtent l="19050" t="0" r="9525" b="0"/>
            <wp:docPr id="3" name="Picture 3"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5"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3D13DD1B" w14:textId="77777777" w:rsidR="005F0047" w:rsidRPr="005B5F4E" w:rsidRDefault="005F0047" w:rsidP="005F0047">
      <w:pPr>
        <w:pStyle w:val="NormalWeb"/>
        <w:rPr>
          <w:rFonts w:ascii="Work Sans" w:hAnsi="Work Sans"/>
          <w:b/>
          <w:bCs/>
          <w:color w:val="000000"/>
          <w:sz w:val="20"/>
          <w:szCs w:val="20"/>
        </w:rPr>
      </w:pPr>
      <w:r w:rsidRPr="005B5F4E">
        <w:rPr>
          <w:rFonts w:ascii="Work Sans" w:hAnsi="Work Sans"/>
          <w:b/>
          <w:bCs/>
          <w:color w:val="000000"/>
          <w:sz w:val="20"/>
          <w:szCs w:val="20"/>
        </w:rPr>
        <w:t>Attribution</w:t>
      </w:r>
    </w:p>
    <w:p w14:paraId="3E163312" w14:textId="2C4FDA2A" w:rsidR="005F0047" w:rsidRPr="005B5F4E" w:rsidRDefault="005F0047" w:rsidP="005F0047">
      <w:pPr>
        <w:pStyle w:val="NormalWeb"/>
        <w:rPr>
          <w:rFonts w:ascii="Work Sans" w:hAnsi="Work Sans"/>
          <w:color w:val="000000"/>
          <w:sz w:val="20"/>
          <w:szCs w:val="20"/>
        </w:rPr>
      </w:pPr>
      <w:r w:rsidRPr="005B5F4E">
        <w:rPr>
          <w:rFonts w:ascii="Work Sans" w:hAnsi="Work Sans"/>
          <w:color w:val="000000"/>
          <w:sz w:val="20"/>
          <w:szCs w:val="20"/>
        </w:rPr>
        <w:t>The recommended attribution for this document is Commonwealth Grants Commission,</w:t>
      </w:r>
      <w:r w:rsidRPr="00871213">
        <w:rPr>
          <w:rFonts w:ascii="Work Sans" w:hAnsi="Work Sans"/>
          <w:color w:val="000000"/>
          <w:sz w:val="20"/>
          <w:szCs w:val="20"/>
          <w:highlight w:val="yellow"/>
        </w:rPr>
        <w:t xml:space="preserve"> </w:t>
      </w:r>
      <w:r w:rsidRPr="00D22F66">
        <w:rPr>
          <w:rFonts w:ascii="Work Sans" w:hAnsi="Work Sans"/>
          <w:i/>
          <w:iCs/>
          <w:color w:val="000000"/>
          <w:sz w:val="20"/>
          <w:szCs w:val="20"/>
        </w:rPr>
        <w:t xml:space="preserve">Forward </w:t>
      </w:r>
      <w:r w:rsidR="009D7B4B" w:rsidRPr="00D22F66">
        <w:rPr>
          <w:rFonts w:ascii="Work Sans" w:hAnsi="Work Sans"/>
          <w:i/>
          <w:iCs/>
          <w:color w:val="000000"/>
          <w:sz w:val="20"/>
          <w:szCs w:val="20"/>
        </w:rPr>
        <w:t>Work Program</w:t>
      </w:r>
      <w:r w:rsidRPr="00D22F66">
        <w:rPr>
          <w:rFonts w:ascii="Work Sans" w:hAnsi="Work Sans"/>
          <w:i/>
          <w:iCs/>
          <w:color w:val="000000"/>
          <w:sz w:val="20"/>
          <w:szCs w:val="20"/>
        </w:rPr>
        <w:t>: Research Update #1</w:t>
      </w:r>
    </w:p>
    <w:p w14:paraId="74B20058" w14:textId="77777777" w:rsidR="005F0047" w:rsidRPr="005B5F4E" w:rsidRDefault="005F0047" w:rsidP="005F0047">
      <w:pPr>
        <w:pStyle w:val="NormalWeb"/>
        <w:rPr>
          <w:rFonts w:ascii="Work Sans" w:hAnsi="Work Sans"/>
          <w:color w:val="000000"/>
          <w:sz w:val="20"/>
          <w:szCs w:val="20"/>
        </w:rPr>
      </w:pPr>
      <w:r w:rsidRPr="005B5F4E">
        <w:rPr>
          <w:rFonts w:ascii="Work Sans" w:hAnsi="Work Sans"/>
          <w:b/>
          <w:bCs/>
          <w:color w:val="000000"/>
          <w:sz w:val="20"/>
          <w:szCs w:val="20"/>
        </w:rPr>
        <w:t>Contact us</w:t>
      </w:r>
      <w:r w:rsidRPr="005B5F4E">
        <w:rPr>
          <w:rFonts w:ascii="Work Sans" w:hAnsi="Work Sans"/>
          <w:color w:val="000000"/>
          <w:sz w:val="20"/>
          <w:szCs w:val="20"/>
        </w:rPr>
        <w:t xml:space="preserve"> </w:t>
      </w:r>
    </w:p>
    <w:p w14:paraId="6BC422C2" w14:textId="77777777" w:rsidR="005F0047" w:rsidRPr="005B5F4E" w:rsidRDefault="005F0047" w:rsidP="005F0047">
      <w:pPr>
        <w:pStyle w:val="NormalWeb"/>
        <w:rPr>
          <w:rFonts w:ascii="Work Sans" w:hAnsi="Work Sans"/>
          <w:color w:val="000000"/>
          <w:sz w:val="20"/>
          <w:szCs w:val="20"/>
        </w:rPr>
      </w:pPr>
      <w:r w:rsidRPr="005B5F4E">
        <w:rPr>
          <w:rFonts w:ascii="Work Sans" w:hAnsi="Work Sans"/>
          <w:color w:val="000000"/>
          <w:sz w:val="20"/>
          <w:szCs w:val="20"/>
        </w:rPr>
        <w:t>Inquiries regarding the use of this document should be directed to secretary@cgc.gov.au.</w:t>
      </w:r>
    </w:p>
    <w:p w14:paraId="5E7650CE" w14:textId="77777777" w:rsidR="005F0047" w:rsidRPr="005B5F4E" w:rsidRDefault="005F0047" w:rsidP="005F0047">
      <w:pPr>
        <w:pStyle w:val="NormalWeb"/>
        <w:rPr>
          <w:rFonts w:ascii="Work Sans" w:hAnsi="Work Sans"/>
          <w:b/>
          <w:bCs/>
          <w:color w:val="000000"/>
          <w:sz w:val="20"/>
          <w:szCs w:val="20"/>
        </w:rPr>
      </w:pPr>
      <w:r w:rsidRPr="005B5F4E">
        <w:rPr>
          <w:rFonts w:ascii="Work Sans" w:hAnsi="Work Sans"/>
          <w:b/>
          <w:bCs/>
          <w:color w:val="000000"/>
          <w:sz w:val="20"/>
          <w:szCs w:val="20"/>
        </w:rPr>
        <w:t xml:space="preserve">Internet </w:t>
      </w:r>
    </w:p>
    <w:p w14:paraId="273B166F" w14:textId="33E40A41" w:rsidR="00893D17" w:rsidRPr="009455DF" w:rsidRDefault="005F0047" w:rsidP="009455DF">
      <w:pPr>
        <w:pStyle w:val="NormalWeb"/>
        <w:rPr>
          <w:rFonts w:ascii="Work Sans" w:hAnsi="Work Sans"/>
          <w:color w:val="000000"/>
          <w:sz w:val="20"/>
          <w:szCs w:val="20"/>
        </w:rPr>
        <w:sectPr w:rsidR="00893D17" w:rsidRPr="009455DF" w:rsidSect="004C78B6">
          <w:pgSz w:w="11900" w:h="16840"/>
          <w:pgMar w:top="1985" w:right="1418" w:bottom="1418" w:left="1418" w:header="709" w:footer="284" w:gutter="0"/>
          <w:pgNumType w:start="1"/>
          <w:cols w:space="708"/>
          <w:docGrid w:linePitch="360"/>
        </w:sectPr>
      </w:pPr>
      <w:r w:rsidRPr="005B5F4E">
        <w:rPr>
          <w:rFonts w:ascii="Work Sans" w:hAnsi="Work Sans"/>
          <w:color w:val="000000"/>
          <w:sz w:val="20"/>
          <w:szCs w:val="20"/>
        </w:rPr>
        <w:t xml:space="preserve">A copy of this paper is available on the Commission’s website </w:t>
      </w:r>
      <w:hyperlink r:id="rId16" w:history="1">
        <w:r w:rsidRPr="0043203B">
          <w:rPr>
            <w:rStyle w:val="Hyperlink"/>
            <w:rFonts w:ascii="Work Sans" w:hAnsi="Work Sans"/>
            <w:sz w:val="20"/>
            <w:szCs w:val="20"/>
          </w:rPr>
          <w:t>(http://www.cgc.gov.au</w:t>
        </w:r>
      </w:hyperlink>
      <w:r w:rsidRPr="005B5F4E">
        <w:rPr>
          <w:rFonts w:ascii="Work Sans" w:hAnsi="Work Sans"/>
          <w:color w:val="000000"/>
          <w:sz w:val="20"/>
          <w:szCs w:val="20"/>
        </w:rPr>
        <w:t>).</w:t>
      </w:r>
    </w:p>
    <w:p w14:paraId="5B76C813" w14:textId="3C918051" w:rsidR="00012602" w:rsidRDefault="04EE972E" w:rsidP="00012602">
      <w:pPr>
        <w:pStyle w:val="Heading1"/>
      </w:pPr>
      <w:r>
        <w:lastRenderedPageBreak/>
        <w:t xml:space="preserve">The Commission’s </w:t>
      </w:r>
      <w:r w:rsidR="000F24DB">
        <w:t>F</w:t>
      </w:r>
      <w:r>
        <w:t xml:space="preserve">orward </w:t>
      </w:r>
      <w:r w:rsidR="000F24DB">
        <w:t>W</w:t>
      </w:r>
      <w:r>
        <w:t xml:space="preserve">ork </w:t>
      </w:r>
      <w:r w:rsidR="000F24DB">
        <w:t>P</w:t>
      </w:r>
      <w:r>
        <w:t>rogram</w:t>
      </w:r>
    </w:p>
    <w:p w14:paraId="259365CC" w14:textId="594E3FC5" w:rsidR="00233269" w:rsidRDefault="00233269" w:rsidP="00233269">
      <w:pPr>
        <w:tabs>
          <w:tab w:val="left" w:pos="6379"/>
        </w:tabs>
        <w:rPr>
          <w:rFonts w:ascii="Work Sans" w:hAnsi="Work Sans"/>
        </w:rPr>
      </w:pPr>
      <w:r w:rsidRPr="3E885A47">
        <w:rPr>
          <w:rFonts w:ascii="Work Sans" w:hAnsi="Work Sans"/>
        </w:rPr>
        <w:t>As part of the 2025 Methodology Review, the Commonwealth Grants Commission</w:t>
      </w:r>
      <w:r w:rsidR="000E2232">
        <w:rPr>
          <w:rFonts w:ascii="Work Sans" w:hAnsi="Work Sans"/>
        </w:rPr>
        <w:t xml:space="preserve"> (the Commission)</w:t>
      </w:r>
      <w:r w:rsidRPr="3E885A47">
        <w:rPr>
          <w:rFonts w:ascii="Work Sans" w:hAnsi="Work Sans"/>
        </w:rPr>
        <w:t xml:space="preserve"> outlined a </w:t>
      </w:r>
      <w:r w:rsidR="007C04F3">
        <w:rPr>
          <w:rFonts w:ascii="Work Sans" w:hAnsi="Work Sans"/>
        </w:rPr>
        <w:t>F</w:t>
      </w:r>
      <w:r w:rsidRPr="3E885A47">
        <w:rPr>
          <w:rFonts w:ascii="Work Sans" w:hAnsi="Work Sans"/>
        </w:rPr>
        <w:t xml:space="preserve">orward </w:t>
      </w:r>
      <w:r w:rsidR="007C04F3">
        <w:rPr>
          <w:rFonts w:ascii="Work Sans" w:hAnsi="Work Sans"/>
        </w:rPr>
        <w:t>W</w:t>
      </w:r>
      <w:r w:rsidRPr="3E885A47">
        <w:rPr>
          <w:rFonts w:ascii="Work Sans" w:hAnsi="Work Sans"/>
        </w:rPr>
        <w:t xml:space="preserve">ork </w:t>
      </w:r>
      <w:r w:rsidR="007C04F3">
        <w:rPr>
          <w:rFonts w:ascii="Work Sans" w:hAnsi="Work Sans"/>
        </w:rPr>
        <w:t>P</w:t>
      </w:r>
      <w:r w:rsidRPr="3E885A47">
        <w:rPr>
          <w:rFonts w:ascii="Work Sans" w:hAnsi="Work Sans"/>
        </w:rPr>
        <w:t>rogram.</w:t>
      </w:r>
    </w:p>
    <w:p w14:paraId="22B51B9A" w14:textId="52E58FBD" w:rsidR="00233269" w:rsidRDefault="00233269" w:rsidP="00233269">
      <w:pPr>
        <w:tabs>
          <w:tab w:val="left" w:pos="6379"/>
        </w:tabs>
        <w:rPr>
          <w:rFonts w:ascii="Work Sans" w:hAnsi="Work Sans"/>
        </w:rPr>
      </w:pPr>
      <w:r w:rsidRPr="3E885A47">
        <w:rPr>
          <w:rFonts w:ascii="Work Sans" w:hAnsi="Work Sans"/>
        </w:rPr>
        <w:t xml:space="preserve">The </w:t>
      </w:r>
      <w:r w:rsidR="007C04F3">
        <w:rPr>
          <w:rFonts w:ascii="Work Sans" w:hAnsi="Work Sans"/>
        </w:rPr>
        <w:t>F</w:t>
      </w:r>
      <w:r w:rsidRPr="3E885A47">
        <w:rPr>
          <w:rFonts w:ascii="Work Sans" w:hAnsi="Work Sans"/>
        </w:rPr>
        <w:t xml:space="preserve">orward </w:t>
      </w:r>
      <w:r w:rsidR="007C04F3">
        <w:rPr>
          <w:rFonts w:ascii="Work Sans" w:hAnsi="Work Sans"/>
        </w:rPr>
        <w:t>W</w:t>
      </w:r>
      <w:r w:rsidRPr="3E885A47">
        <w:rPr>
          <w:rFonts w:ascii="Work Sans" w:hAnsi="Work Sans"/>
        </w:rPr>
        <w:t xml:space="preserve">ork </w:t>
      </w:r>
      <w:r w:rsidR="007C04F3">
        <w:rPr>
          <w:rFonts w:ascii="Work Sans" w:hAnsi="Work Sans"/>
        </w:rPr>
        <w:t>P</w:t>
      </w:r>
      <w:r w:rsidRPr="3E885A47">
        <w:rPr>
          <w:rFonts w:ascii="Work Sans" w:hAnsi="Work Sans"/>
        </w:rPr>
        <w:t>rogram comprises a series of topics identified by the Commission and states and territories (states)</w:t>
      </w:r>
      <w:r w:rsidR="00E57B94">
        <w:rPr>
          <w:rFonts w:ascii="Work Sans" w:hAnsi="Work Sans"/>
        </w:rPr>
        <w:t>,</w:t>
      </w:r>
      <w:r w:rsidRPr="3E885A47">
        <w:rPr>
          <w:rFonts w:ascii="Work Sans" w:hAnsi="Work Sans"/>
        </w:rPr>
        <w:t xml:space="preserve"> where further research and analysis </w:t>
      </w:r>
      <w:r w:rsidR="005A527B">
        <w:rPr>
          <w:rFonts w:ascii="Work Sans" w:hAnsi="Work Sans"/>
        </w:rPr>
        <w:t>could</w:t>
      </w:r>
      <w:r w:rsidRPr="3E885A47">
        <w:rPr>
          <w:rFonts w:ascii="Work Sans" w:hAnsi="Work Sans"/>
        </w:rPr>
        <w:t xml:space="preserve"> be undertaken in preparation for the next methodology review. Some of the research projects involve emerging issues, while others are those where further detailed analysis </w:t>
      </w:r>
      <w:r w:rsidR="00132886">
        <w:rPr>
          <w:rFonts w:ascii="Work Sans" w:hAnsi="Work Sans"/>
        </w:rPr>
        <w:t>i</w:t>
      </w:r>
      <w:r w:rsidRPr="3E885A47">
        <w:rPr>
          <w:rFonts w:ascii="Work Sans" w:hAnsi="Work Sans"/>
        </w:rPr>
        <w:t xml:space="preserve">s required </w:t>
      </w:r>
      <w:r>
        <w:rPr>
          <w:rFonts w:ascii="Work Sans" w:hAnsi="Work Sans"/>
        </w:rPr>
        <w:t xml:space="preserve">in response to </w:t>
      </w:r>
      <w:r w:rsidRPr="3E885A47">
        <w:rPr>
          <w:rFonts w:ascii="Work Sans" w:hAnsi="Work Sans"/>
        </w:rPr>
        <w:t>issues identified during the 2025</w:t>
      </w:r>
      <w:r w:rsidRPr="3E885A47">
        <w:rPr>
          <w:rFonts w:ascii="Times New Roman" w:hAnsi="Times New Roman" w:cs="Times New Roman"/>
        </w:rPr>
        <w:t> </w:t>
      </w:r>
      <w:r w:rsidRPr="3E885A47">
        <w:rPr>
          <w:rFonts w:ascii="Work Sans" w:hAnsi="Work Sans"/>
        </w:rPr>
        <w:t>Methodology Review.</w:t>
      </w:r>
    </w:p>
    <w:p w14:paraId="18F0AA48" w14:textId="3A8F250F" w:rsidR="00233269" w:rsidRDefault="00233269" w:rsidP="00233269">
      <w:pPr>
        <w:tabs>
          <w:tab w:val="left" w:pos="6379"/>
        </w:tabs>
        <w:rPr>
          <w:rFonts w:ascii="Work Sans" w:hAnsi="Work Sans"/>
        </w:rPr>
      </w:pPr>
      <w:r w:rsidRPr="00925075">
        <w:rPr>
          <w:rFonts w:ascii="Work Sans" w:hAnsi="Work Sans"/>
          <w:szCs w:val="20"/>
        </w:rPr>
        <w:t xml:space="preserve">The Commission’s objective with the </w:t>
      </w:r>
      <w:r w:rsidR="008E7D70">
        <w:rPr>
          <w:rFonts w:ascii="Work Sans" w:hAnsi="Work Sans"/>
          <w:szCs w:val="20"/>
        </w:rPr>
        <w:t>F</w:t>
      </w:r>
      <w:r w:rsidRPr="00925075">
        <w:rPr>
          <w:rFonts w:ascii="Work Sans" w:hAnsi="Work Sans"/>
          <w:szCs w:val="20"/>
        </w:rPr>
        <w:t xml:space="preserve">orward </w:t>
      </w:r>
      <w:r w:rsidR="008E7D70">
        <w:rPr>
          <w:rFonts w:ascii="Work Sans" w:hAnsi="Work Sans"/>
          <w:szCs w:val="20"/>
        </w:rPr>
        <w:t>W</w:t>
      </w:r>
      <w:r w:rsidRPr="00925075">
        <w:rPr>
          <w:rFonts w:ascii="Work Sans" w:hAnsi="Work Sans"/>
          <w:szCs w:val="20"/>
        </w:rPr>
        <w:t xml:space="preserve">ork </w:t>
      </w:r>
      <w:r w:rsidR="008E7D70">
        <w:rPr>
          <w:rFonts w:ascii="Work Sans" w:hAnsi="Work Sans"/>
          <w:szCs w:val="20"/>
        </w:rPr>
        <w:t>P</w:t>
      </w:r>
      <w:r w:rsidRPr="00925075">
        <w:rPr>
          <w:rFonts w:ascii="Work Sans" w:hAnsi="Work Sans"/>
          <w:szCs w:val="20"/>
        </w:rPr>
        <w:t xml:space="preserve">rogram is to build a body of work and an evidence base that </w:t>
      </w:r>
      <w:r>
        <w:rPr>
          <w:rFonts w:ascii="Work Sans" w:hAnsi="Work Sans"/>
          <w:szCs w:val="20"/>
        </w:rPr>
        <w:t>will</w:t>
      </w:r>
      <w:r w:rsidRPr="00925075">
        <w:rPr>
          <w:rFonts w:ascii="Work Sans" w:hAnsi="Work Sans"/>
          <w:szCs w:val="20"/>
        </w:rPr>
        <w:t xml:space="preserve"> </w:t>
      </w:r>
      <w:r>
        <w:rPr>
          <w:rFonts w:ascii="Work Sans" w:hAnsi="Work Sans"/>
          <w:szCs w:val="20"/>
        </w:rPr>
        <w:t xml:space="preserve">inform </w:t>
      </w:r>
      <w:r w:rsidRPr="00925075">
        <w:rPr>
          <w:rFonts w:ascii="Work Sans" w:hAnsi="Work Sans"/>
          <w:szCs w:val="20"/>
        </w:rPr>
        <w:t>the next methodology review.</w:t>
      </w:r>
      <w:r>
        <w:rPr>
          <w:rFonts w:ascii="Work Sans" w:hAnsi="Work Sans"/>
          <w:szCs w:val="20"/>
        </w:rPr>
        <w:t xml:space="preserve"> </w:t>
      </w:r>
      <w:r w:rsidR="000E2232">
        <w:rPr>
          <w:rFonts w:ascii="Work Sans" w:hAnsi="Work Sans"/>
          <w:szCs w:val="20"/>
        </w:rPr>
        <w:t xml:space="preserve">The list of </w:t>
      </w:r>
      <w:r w:rsidR="00DC44EB">
        <w:rPr>
          <w:rFonts w:ascii="Work Sans" w:hAnsi="Work Sans"/>
          <w:szCs w:val="20"/>
        </w:rPr>
        <w:t>F</w:t>
      </w:r>
      <w:r w:rsidR="000E2232">
        <w:rPr>
          <w:rFonts w:ascii="Work Sans" w:hAnsi="Work Sans"/>
          <w:szCs w:val="20"/>
        </w:rPr>
        <w:t xml:space="preserve">orward </w:t>
      </w:r>
      <w:r w:rsidR="00DC44EB">
        <w:rPr>
          <w:rFonts w:ascii="Work Sans" w:hAnsi="Work Sans"/>
          <w:szCs w:val="20"/>
        </w:rPr>
        <w:t>W</w:t>
      </w:r>
      <w:r w:rsidR="000E2232">
        <w:rPr>
          <w:rFonts w:ascii="Work Sans" w:hAnsi="Work Sans"/>
          <w:szCs w:val="20"/>
        </w:rPr>
        <w:t xml:space="preserve">ork </w:t>
      </w:r>
      <w:r w:rsidR="00DC44EB">
        <w:rPr>
          <w:rFonts w:ascii="Work Sans" w:hAnsi="Work Sans"/>
          <w:szCs w:val="20"/>
        </w:rPr>
        <w:t>P</w:t>
      </w:r>
      <w:r w:rsidR="000E2232">
        <w:rPr>
          <w:rFonts w:ascii="Work Sans" w:hAnsi="Work Sans"/>
          <w:szCs w:val="20"/>
        </w:rPr>
        <w:t>rogram</w:t>
      </w:r>
      <w:r w:rsidR="0043368A">
        <w:rPr>
          <w:rFonts w:ascii="Work Sans" w:hAnsi="Work Sans"/>
          <w:szCs w:val="20"/>
        </w:rPr>
        <w:t xml:space="preserve"> projects </w:t>
      </w:r>
      <w:r>
        <w:rPr>
          <w:rFonts w:ascii="Work Sans" w:hAnsi="Work Sans"/>
        </w:rPr>
        <w:t>is at Attachment A</w:t>
      </w:r>
      <w:r w:rsidR="00DC44EB">
        <w:rPr>
          <w:rFonts w:ascii="Work Sans" w:hAnsi="Work Sans"/>
        </w:rPr>
        <w:t xml:space="preserve"> and</w:t>
      </w:r>
      <w:r>
        <w:rPr>
          <w:rFonts w:ascii="Work Sans" w:hAnsi="Work Sans"/>
        </w:rPr>
        <w:t xml:space="preserve"> </w:t>
      </w:r>
      <w:r w:rsidR="00DC44EB">
        <w:rPr>
          <w:rFonts w:ascii="Work Sans" w:hAnsi="Work Sans"/>
        </w:rPr>
        <w:t>f</w:t>
      </w:r>
      <w:r>
        <w:rPr>
          <w:rFonts w:ascii="Work Sans" w:hAnsi="Work Sans"/>
        </w:rPr>
        <w:t>urther background is</w:t>
      </w:r>
      <w:r w:rsidR="00DC44EB">
        <w:rPr>
          <w:rFonts w:ascii="Work Sans" w:hAnsi="Work Sans"/>
        </w:rPr>
        <w:t xml:space="preserve"> available</w:t>
      </w:r>
      <w:r>
        <w:rPr>
          <w:rFonts w:ascii="Work Sans" w:hAnsi="Work Sans"/>
        </w:rPr>
        <w:t xml:space="preserve"> in </w:t>
      </w:r>
      <w:r>
        <w:rPr>
          <w:rFonts w:ascii="Work Sans" w:hAnsi="Work Sans"/>
          <w:szCs w:val="20"/>
        </w:rPr>
        <w:t xml:space="preserve">the </w:t>
      </w:r>
      <w:hyperlink r:id="rId17" w:history="1">
        <w:r w:rsidRPr="00B91729">
          <w:rPr>
            <w:rStyle w:val="Hyperlink"/>
            <w:rFonts w:ascii="Work Sans" w:hAnsi="Work Sans"/>
            <w:szCs w:val="20"/>
          </w:rPr>
          <w:t>2025 Review Outcomes report</w:t>
        </w:r>
      </w:hyperlink>
      <w:r w:rsidRPr="00D33C43">
        <w:rPr>
          <w:rStyle w:val="FWPNormalChar"/>
        </w:rPr>
        <w:t>.</w:t>
      </w:r>
    </w:p>
    <w:p w14:paraId="63C13CA2" w14:textId="72C02981" w:rsidR="00233269" w:rsidRDefault="00233269" w:rsidP="00233269">
      <w:pPr>
        <w:tabs>
          <w:tab w:val="left" w:pos="6379"/>
          <w:tab w:val="left" w:pos="6521"/>
        </w:tabs>
        <w:rPr>
          <w:rFonts w:ascii="Work Sans" w:hAnsi="Work Sans"/>
          <w:szCs w:val="20"/>
        </w:rPr>
      </w:pPr>
      <w:r w:rsidRPr="00B91729">
        <w:rPr>
          <w:rFonts w:ascii="Work Sans" w:hAnsi="Work Sans"/>
          <w:szCs w:val="20"/>
        </w:rPr>
        <w:t xml:space="preserve">States </w:t>
      </w:r>
      <w:r>
        <w:rPr>
          <w:rFonts w:ascii="Work Sans" w:hAnsi="Work Sans"/>
          <w:szCs w:val="20"/>
        </w:rPr>
        <w:t xml:space="preserve">have been involved in the development of the </w:t>
      </w:r>
      <w:r w:rsidR="004C3B9D">
        <w:rPr>
          <w:rFonts w:ascii="Work Sans" w:hAnsi="Work Sans"/>
          <w:szCs w:val="20"/>
        </w:rPr>
        <w:t>F</w:t>
      </w:r>
      <w:r>
        <w:rPr>
          <w:rFonts w:ascii="Work Sans" w:hAnsi="Work Sans"/>
          <w:szCs w:val="20"/>
        </w:rPr>
        <w:t xml:space="preserve">orward </w:t>
      </w:r>
      <w:r w:rsidR="004C3B9D">
        <w:rPr>
          <w:rFonts w:ascii="Work Sans" w:hAnsi="Work Sans"/>
          <w:szCs w:val="20"/>
        </w:rPr>
        <w:t>W</w:t>
      </w:r>
      <w:r>
        <w:rPr>
          <w:rFonts w:ascii="Work Sans" w:hAnsi="Work Sans"/>
          <w:szCs w:val="20"/>
        </w:rPr>
        <w:t xml:space="preserve">ork </w:t>
      </w:r>
      <w:r w:rsidR="004C3B9D">
        <w:rPr>
          <w:rFonts w:ascii="Work Sans" w:hAnsi="Work Sans"/>
          <w:szCs w:val="20"/>
        </w:rPr>
        <w:t>P</w:t>
      </w:r>
      <w:r>
        <w:rPr>
          <w:rFonts w:ascii="Work Sans" w:hAnsi="Work Sans"/>
          <w:szCs w:val="20"/>
        </w:rPr>
        <w:t xml:space="preserve">rogram and </w:t>
      </w:r>
      <w:proofErr w:type="gramStart"/>
      <w:r>
        <w:rPr>
          <w:rFonts w:ascii="Work Sans" w:hAnsi="Work Sans"/>
          <w:szCs w:val="20"/>
        </w:rPr>
        <w:t>have the opportunity to</w:t>
      </w:r>
      <w:proofErr w:type="gramEnd"/>
      <w:r w:rsidRPr="00B91729">
        <w:rPr>
          <w:rFonts w:ascii="Work Sans" w:hAnsi="Work Sans"/>
          <w:szCs w:val="20"/>
        </w:rPr>
        <w:t xml:space="preserve"> </w:t>
      </w:r>
      <w:r>
        <w:rPr>
          <w:rFonts w:ascii="Work Sans" w:hAnsi="Work Sans"/>
          <w:szCs w:val="20"/>
        </w:rPr>
        <w:t xml:space="preserve">engage throughout each project, including on the scope, timing </w:t>
      </w:r>
      <w:r w:rsidRPr="00B91729">
        <w:rPr>
          <w:rFonts w:ascii="Work Sans" w:hAnsi="Work Sans"/>
          <w:szCs w:val="20"/>
        </w:rPr>
        <w:t xml:space="preserve">and </w:t>
      </w:r>
      <w:r>
        <w:rPr>
          <w:rFonts w:ascii="Work Sans" w:hAnsi="Work Sans"/>
          <w:szCs w:val="20"/>
        </w:rPr>
        <w:t>outcomes</w:t>
      </w:r>
      <w:r w:rsidRPr="00B91729">
        <w:rPr>
          <w:rFonts w:ascii="Work Sans" w:hAnsi="Work Sans"/>
          <w:szCs w:val="20"/>
        </w:rPr>
        <w:t xml:space="preserve">. No decisions on potential changes to assessment methods </w:t>
      </w:r>
      <w:r w:rsidRPr="00B91729" w:rsidDel="006F4FA9">
        <w:rPr>
          <w:rFonts w:ascii="Work Sans" w:hAnsi="Work Sans"/>
          <w:szCs w:val="20"/>
        </w:rPr>
        <w:t xml:space="preserve">will be made </w:t>
      </w:r>
      <w:r w:rsidRPr="00B91729">
        <w:rPr>
          <w:rFonts w:ascii="Work Sans" w:hAnsi="Work Sans"/>
          <w:szCs w:val="20"/>
        </w:rPr>
        <w:t xml:space="preserve">until the next review. </w:t>
      </w:r>
      <w:r>
        <w:rPr>
          <w:rFonts w:ascii="Work Sans" w:hAnsi="Work Sans"/>
          <w:szCs w:val="20"/>
        </w:rPr>
        <w:t xml:space="preserve">Consistent with </w:t>
      </w:r>
      <w:r w:rsidR="007117F8">
        <w:rPr>
          <w:rFonts w:ascii="Work Sans" w:hAnsi="Work Sans"/>
          <w:szCs w:val="20"/>
        </w:rPr>
        <w:t>existing practice</w:t>
      </w:r>
      <w:r>
        <w:rPr>
          <w:rFonts w:ascii="Work Sans" w:hAnsi="Work Sans"/>
          <w:szCs w:val="20"/>
        </w:rPr>
        <w:t>, s</w:t>
      </w:r>
      <w:r w:rsidRPr="00B91729">
        <w:rPr>
          <w:rFonts w:ascii="Work Sans" w:hAnsi="Work Sans"/>
          <w:szCs w:val="20"/>
        </w:rPr>
        <w:t>tates will be consulted on any potential changes to assessment methods</w:t>
      </w:r>
      <w:r w:rsidRPr="00B91729" w:rsidDel="007A17CC">
        <w:rPr>
          <w:rFonts w:ascii="Work Sans" w:hAnsi="Work Sans"/>
          <w:szCs w:val="20"/>
        </w:rPr>
        <w:t xml:space="preserve"> </w:t>
      </w:r>
      <w:r w:rsidRPr="00B91729">
        <w:rPr>
          <w:rFonts w:ascii="Work Sans" w:hAnsi="Work Sans"/>
          <w:szCs w:val="20"/>
        </w:rPr>
        <w:t>as part of the formal consultation process during the next review.</w:t>
      </w:r>
    </w:p>
    <w:p w14:paraId="3D679171" w14:textId="42B8F51D" w:rsidR="00233269" w:rsidRPr="00E93CE7" w:rsidRDefault="00233269" w:rsidP="00233269">
      <w:pPr>
        <w:tabs>
          <w:tab w:val="left" w:pos="6379"/>
          <w:tab w:val="left" w:pos="6521"/>
        </w:tabs>
        <w:rPr>
          <w:rFonts w:ascii="Work Sans" w:hAnsi="Work Sans"/>
          <w:szCs w:val="20"/>
        </w:rPr>
      </w:pPr>
      <w:r>
        <w:rPr>
          <w:rFonts w:ascii="Work Sans" w:hAnsi="Work Sans"/>
          <w:szCs w:val="20"/>
        </w:rPr>
        <w:t>This paper provides an outline and next steps for 3 projects</w:t>
      </w:r>
      <w:r w:rsidRPr="00E93CE7">
        <w:rPr>
          <w:rFonts w:ascii="Work Sans" w:hAnsi="Work Sans"/>
          <w:szCs w:val="20"/>
        </w:rPr>
        <w:t>:</w:t>
      </w:r>
    </w:p>
    <w:p w14:paraId="494381A7" w14:textId="65E6269F" w:rsidR="00233269" w:rsidRDefault="00233269" w:rsidP="00233269">
      <w:pPr>
        <w:pStyle w:val="CGCBullet1"/>
        <w:tabs>
          <w:tab w:val="left" w:pos="6379"/>
          <w:tab w:val="left" w:pos="6521"/>
        </w:tabs>
      </w:pPr>
      <w:r>
        <w:t>investigating the feasibility of introducing elasticity adjustments in revenue assessments</w:t>
      </w:r>
    </w:p>
    <w:p w14:paraId="3DD1C932" w14:textId="22FCB317" w:rsidR="00233269" w:rsidRPr="00E93CE7" w:rsidRDefault="00233269" w:rsidP="00233269">
      <w:pPr>
        <w:pStyle w:val="CGCBullet1"/>
        <w:tabs>
          <w:tab w:val="left" w:pos="6379"/>
          <w:tab w:val="left" w:pos="6521"/>
        </w:tabs>
      </w:pPr>
      <w:r>
        <w:t>r</w:t>
      </w:r>
      <w:r w:rsidRPr="00E93CE7">
        <w:t xml:space="preserve">e-evaluating the </w:t>
      </w:r>
      <w:r w:rsidR="00F07272">
        <w:t>U</w:t>
      </w:r>
      <w:r w:rsidRPr="00E93CE7">
        <w:t xml:space="preserve">rban </w:t>
      </w:r>
      <w:r w:rsidR="00F07272">
        <w:t>T</w:t>
      </w:r>
      <w:r w:rsidRPr="00E93CE7">
        <w:t xml:space="preserve">ransport </w:t>
      </w:r>
      <w:r w:rsidR="00F07272">
        <w:t>A</w:t>
      </w:r>
      <w:r w:rsidRPr="00E93CE7">
        <w:t>ssessment</w:t>
      </w:r>
    </w:p>
    <w:p w14:paraId="342061BA" w14:textId="1CA6B380" w:rsidR="00233269" w:rsidRPr="00511747" w:rsidRDefault="0074247F" w:rsidP="0074247F">
      <w:pPr>
        <w:pStyle w:val="CGCBullet1"/>
      </w:pPr>
      <w:bookmarkStart w:id="0" w:name="_Hlk225167178"/>
      <w:r w:rsidRPr="00511747">
        <w:t xml:space="preserve">considering the case for </w:t>
      </w:r>
      <w:r w:rsidR="00D117E8" w:rsidRPr="00511747">
        <w:t xml:space="preserve">separately </w:t>
      </w:r>
      <w:r w:rsidRPr="00511747">
        <w:t xml:space="preserve">assessing state </w:t>
      </w:r>
      <w:r w:rsidR="000E248A" w:rsidRPr="00CF12E8">
        <w:t>revenue and</w:t>
      </w:r>
      <w:r w:rsidR="000E248A" w:rsidRPr="00511747">
        <w:t xml:space="preserve"> </w:t>
      </w:r>
      <w:r w:rsidRPr="00511747">
        <w:t>expenditure relating to the transition to net zero emissions.</w:t>
      </w:r>
    </w:p>
    <w:bookmarkEnd w:id="0"/>
    <w:p w14:paraId="6B8E684A" w14:textId="73B2BF1B" w:rsidR="000A0812" w:rsidRPr="00985B43" w:rsidRDefault="000A0812" w:rsidP="00F42E57">
      <w:pPr>
        <w:tabs>
          <w:tab w:val="left" w:pos="6379"/>
          <w:tab w:val="left" w:pos="6521"/>
        </w:tabs>
      </w:pPr>
      <w:r w:rsidRPr="00F42E57">
        <w:rPr>
          <w:rFonts w:ascii="Work Sans" w:hAnsi="Work Sans"/>
          <w:szCs w:val="20"/>
        </w:rPr>
        <w:t>The</w:t>
      </w:r>
      <w:r>
        <w:rPr>
          <w:rFonts w:ascii="Work Sans" w:hAnsi="Work Sans"/>
          <w:szCs w:val="20"/>
        </w:rPr>
        <w:t>se</w:t>
      </w:r>
      <w:r w:rsidRPr="00F42E57">
        <w:rPr>
          <w:rFonts w:ascii="Work Sans" w:hAnsi="Work Sans"/>
          <w:szCs w:val="20"/>
        </w:rPr>
        <w:t xml:space="preserve"> research projects</w:t>
      </w:r>
      <w:r w:rsidR="005E1FEE">
        <w:rPr>
          <w:rFonts w:ascii="Work Sans" w:hAnsi="Work Sans"/>
          <w:szCs w:val="20"/>
        </w:rPr>
        <w:t xml:space="preserve"> have a broad</w:t>
      </w:r>
      <w:r w:rsidRPr="00F42E57">
        <w:rPr>
          <w:rFonts w:ascii="Work Sans" w:hAnsi="Work Sans"/>
          <w:szCs w:val="20"/>
        </w:rPr>
        <w:t xml:space="preserve"> impact on the Commission’s assessments of states</w:t>
      </w:r>
      <w:r w:rsidR="006225A6">
        <w:rPr>
          <w:rFonts w:ascii="Work Sans" w:hAnsi="Work Sans"/>
          <w:szCs w:val="20"/>
        </w:rPr>
        <w:t>’</w:t>
      </w:r>
      <w:r w:rsidRPr="00F42E57">
        <w:rPr>
          <w:rFonts w:ascii="Work Sans" w:hAnsi="Work Sans"/>
          <w:szCs w:val="20"/>
        </w:rPr>
        <w:t xml:space="preserve"> fiscal capacit</w:t>
      </w:r>
      <w:r w:rsidR="003A1196">
        <w:rPr>
          <w:rFonts w:ascii="Work Sans" w:hAnsi="Work Sans"/>
          <w:szCs w:val="20"/>
        </w:rPr>
        <w:t>ies</w:t>
      </w:r>
      <w:r w:rsidRPr="00F42E57">
        <w:rPr>
          <w:rFonts w:ascii="Work Sans" w:hAnsi="Work Sans"/>
          <w:szCs w:val="20"/>
        </w:rPr>
        <w:t xml:space="preserve">. Elasticity adjustments have the potential to affect all estimates of state </w:t>
      </w:r>
      <w:proofErr w:type="gramStart"/>
      <w:r w:rsidRPr="00F42E57">
        <w:rPr>
          <w:rFonts w:ascii="Work Sans" w:hAnsi="Work Sans"/>
          <w:szCs w:val="20"/>
        </w:rPr>
        <w:t>revenues,</w:t>
      </w:r>
      <w:proofErr w:type="gramEnd"/>
      <w:r w:rsidRPr="00F42E57">
        <w:rPr>
          <w:rFonts w:ascii="Work Sans" w:hAnsi="Work Sans"/>
          <w:szCs w:val="20"/>
        </w:rPr>
        <w:t xml:space="preserve"> urban transport is a significant expense </w:t>
      </w:r>
      <w:r w:rsidR="00611D2F">
        <w:rPr>
          <w:rFonts w:ascii="Work Sans" w:hAnsi="Work Sans"/>
          <w:szCs w:val="20"/>
        </w:rPr>
        <w:t xml:space="preserve">driver </w:t>
      </w:r>
      <w:r w:rsidR="001301EA">
        <w:rPr>
          <w:rFonts w:ascii="Work Sans" w:hAnsi="Work Sans"/>
          <w:szCs w:val="20"/>
        </w:rPr>
        <w:t>for</w:t>
      </w:r>
      <w:r w:rsidRPr="00F42E57">
        <w:rPr>
          <w:rFonts w:ascii="Work Sans" w:hAnsi="Work Sans"/>
          <w:szCs w:val="20"/>
        </w:rPr>
        <w:t xml:space="preserve"> state governments and </w:t>
      </w:r>
      <w:r w:rsidR="00541EDB" w:rsidRPr="00511747">
        <w:rPr>
          <w:rFonts w:ascii="Work Sans" w:hAnsi="Work Sans"/>
          <w:szCs w:val="20"/>
        </w:rPr>
        <w:t>net zero</w:t>
      </w:r>
      <w:r w:rsidR="00416637" w:rsidRPr="00511747">
        <w:rPr>
          <w:rFonts w:ascii="Work Sans" w:hAnsi="Work Sans"/>
          <w:szCs w:val="20"/>
        </w:rPr>
        <w:t xml:space="preserve"> </w:t>
      </w:r>
      <w:r w:rsidR="00402BF7" w:rsidRPr="00511747">
        <w:rPr>
          <w:rFonts w:ascii="Work Sans" w:hAnsi="Work Sans"/>
          <w:szCs w:val="20"/>
        </w:rPr>
        <w:t xml:space="preserve">policies </w:t>
      </w:r>
      <w:r w:rsidR="00226FE2" w:rsidRPr="00511747">
        <w:rPr>
          <w:rFonts w:ascii="Work Sans" w:hAnsi="Work Sans"/>
          <w:szCs w:val="20"/>
        </w:rPr>
        <w:t>are increasingly important for state</w:t>
      </w:r>
      <w:r w:rsidR="00F8111A">
        <w:rPr>
          <w:rFonts w:ascii="Work Sans" w:hAnsi="Work Sans"/>
          <w:szCs w:val="20"/>
        </w:rPr>
        <w:t> </w:t>
      </w:r>
      <w:r w:rsidR="00226FE2" w:rsidRPr="00511747">
        <w:rPr>
          <w:rFonts w:ascii="Work Sans" w:hAnsi="Work Sans"/>
          <w:szCs w:val="20"/>
        </w:rPr>
        <w:t xml:space="preserve">governments and </w:t>
      </w:r>
      <w:r w:rsidR="00855C5F" w:rsidRPr="00511747">
        <w:rPr>
          <w:rFonts w:ascii="Work Sans" w:hAnsi="Work Sans"/>
          <w:szCs w:val="20"/>
        </w:rPr>
        <w:t xml:space="preserve">continue to </w:t>
      </w:r>
      <w:r w:rsidR="00402BF7" w:rsidRPr="00511747">
        <w:rPr>
          <w:rFonts w:ascii="Work Sans" w:hAnsi="Work Sans"/>
          <w:szCs w:val="20"/>
        </w:rPr>
        <w:t>evolve</w:t>
      </w:r>
      <w:r w:rsidRPr="00511747">
        <w:rPr>
          <w:rFonts w:ascii="Work Sans" w:hAnsi="Work Sans"/>
          <w:szCs w:val="20"/>
        </w:rPr>
        <w:t>.</w:t>
      </w:r>
    </w:p>
    <w:p w14:paraId="503DBBD9" w14:textId="3B90FC85" w:rsidR="00E930FB" w:rsidRPr="00B91729" w:rsidRDefault="00E930FB" w:rsidP="00E930FB">
      <w:pPr>
        <w:tabs>
          <w:tab w:val="left" w:pos="6379"/>
          <w:tab w:val="left" w:pos="6521"/>
        </w:tabs>
        <w:rPr>
          <w:rFonts w:ascii="Work Sans" w:hAnsi="Work Sans"/>
          <w:szCs w:val="20"/>
        </w:rPr>
      </w:pPr>
      <w:r>
        <w:rPr>
          <w:rFonts w:ascii="Work Sans" w:hAnsi="Work Sans"/>
          <w:szCs w:val="20"/>
        </w:rPr>
        <w:t xml:space="preserve">The Commission will provide periodic updates on the progress </w:t>
      </w:r>
      <w:r w:rsidR="00427D0B">
        <w:rPr>
          <w:rFonts w:ascii="Work Sans" w:hAnsi="Work Sans"/>
          <w:szCs w:val="20"/>
        </w:rPr>
        <w:t>of</w:t>
      </w:r>
      <w:r w:rsidR="00870FC7">
        <w:rPr>
          <w:rFonts w:ascii="Work Sans" w:hAnsi="Work Sans"/>
          <w:szCs w:val="20"/>
        </w:rPr>
        <w:t xml:space="preserve"> all projects </w:t>
      </w:r>
      <w:r w:rsidR="005C0089">
        <w:rPr>
          <w:rFonts w:ascii="Work Sans" w:hAnsi="Work Sans"/>
          <w:szCs w:val="20"/>
        </w:rPr>
        <w:t xml:space="preserve">in </w:t>
      </w:r>
      <w:r>
        <w:rPr>
          <w:rFonts w:ascii="Work Sans" w:hAnsi="Work Sans"/>
          <w:szCs w:val="20"/>
        </w:rPr>
        <w:t xml:space="preserve">the </w:t>
      </w:r>
      <w:r w:rsidR="00A428F6">
        <w:rPr>
          <w:rFonts w:ascii="Work Sans" w:hAnsi="Work Sans"/>
          <w:szCs w:val="20"/>
        </w:rPr>
        <w:t>F</w:t>
      </w:r>
      <w:r>
        <w:rPr>
          <w:rFonts w:ascii="Work Sans" w:hAnsi="Work Sans"/>
          <w:szCs w:val="20"/>
        </w:rPr>
        <w:t xml:space="preserve">orward </w:t>
      </w:r>
      <w:r w:rsidR="00A428F6">
        <w:rPr>
          <w:rFonts w:ascii="Work Sans" w:hAnsi="Work Sans"/>
          <w:szCs w:val="20"/>
        </w:rPr>
        <w:t>W</w:t>
      </w:r>
      <w:r>
        <w:rPr>
          <w:rFonts w:ascii="Work Sans" w:hAnsi="Work Sans"/>
          <w:szCs w:val="20"/>
        </w:rPr>
        <w:t xml:space="preserve">ork </w:t>
      </w:r>
      <w:r w:rsidR="00A428F6">
        <w:rPr>
          <w:rFonts w:ascii="Work Sans" w:hAnsi="Work Sans"/>
          <w:szCs w:val="20"/>
        </w:rPr>
        <w:t>P</w:t>
      </w:r>
      <w:r>
        <w:rPr>
          <w:rFonts w:ascii="Work Sans" w:hAnsi="Work Sans"/>
          <w:szCs w:val="20"/>
        </w:rPr>
        <w:t>rogram.</w:t>
      </w:r>
    </w:p>
    <w:p w14:paraId="36E789CD" w14:textId="6AA2D8DF" w:rsidR="009455DF" w:rsidRPr="00C01D56" w:rsidRDefault="003C6ADE" w:rsidP="009455DF">
      <w:pPr>
        <w:tabs>
          <w:tab w:val="left" w:pos="6379"/>
          <w:tab w:val="left" w:pos="6521"/>
        </w:tabs>
        <w:rPr>
          <w:rFonts w:ascii="Work Sans" w:hAnsi="Work Sans"/>
          <w:szCs w:val="20"/>
        </w:rPr>
      </w:pPr>
      <w:r>
        <w:br w:type="page"/>
      </w:r>
    </w:p>
    <w:p w14:paraId="02CDA1FF" w14:textId="232F7B72" w:rsidR="006D7625" w:rsidRPr="006D7625" w:rsidRDefault="00D03C57" w:rsidP="006D7625">
      <w:pPr>
        <w:pStyle w:val="Heading2"/>
      </w:pPr>
      <w:r>
        <w:lastRenderedPageBreak/>
        <w:t>Elasticity adjustments</w:t>
      </w:r>
    </w:p>
    <w:p w14:paraId="189C8CB2" w14:textId="0CC8BD30" w:rsidR="00AD53D2" w:rsidRDefault="00D03C57" w:rsidP="006D7625">
      <w:pPr>
        <w:pStyle w:val="Heading3"/>
      </w:pPr>
      <w:r>
        <w:t>Background</w:t>
      </w:r>
    </w:p>
    <w:p w14:paraId="1EB1EB29" w14:textId="241655C9" w:rsidR="00B66853" w:rsidRDefault="00AA5553" w:rsidP="00E42A95">
      <w:pPr>
        <w:pStyle w:val="FWPNormal"/>
      </w:pPr>
      <w:r>
        <w:t>The Commission assesses each state’s capacity to raise revenue using total state revenue from the relevant taxes and each state’s assessed revenue base</w:t>
      </w:r>
      <w:r w:rsidR="00BC7649">
        <w:t xml:space="preserve"> for each tax</w:t>
      </w:r>
      <w:r>
        <w:t xml:space="preserve">. </w:t>
      </w:r>
      <w:r w:rsidR="0015275B">
        <w:t xml:space="preserve">However, this is a simplification because all states levy taxes at different rates </w:t>
      </w:r>
      <w:r w:rsidR="0015275B" w:rsidRPr="006021AF">
        <w:t>with different exemptions for certain activities</w:t>
      </w:r>
      <w:r w:rsidR="0015275B">
        <w:t>.</w:t>
      </w:r>
      <w:r w:rsidR="0015275B" w:rsidRPr="00AB02CA">
        <w:rPr>
          <w:rStyle w:val="FootnoteReference"/>
          <w:sz w:val="20"/>
          <w:szCs w:val="28"/>
          <w:vertAlign w:val="superscript"/>
        </w:rPr>
        <w:footnoteReference w:id="2"/>
      </w:r>
      <w:r w:rsidR="00396090">
        <w:t xml:space="preserve"> </w:t>
      </w:r>
      <w:r w:rsidR="00B66853">
        <w:t>In the 202</w:t>
      </w:r>
      <w:r w:rsidR="001E2D1B">
        <w:t>6</w:t>
      </w:r>
      <w:r w:rsidR="00CF1049">
        <w:t> </w:t>
      </w:r>
      <w:r w:rsidR="001E2D1B">
        <w:t>Update</w:t>
      </w:r>
      <w:r w:rsidR="00B66853">
        <w:t>, the Commission’s revenue assessments distributed $15.</w:t>
      </w:r>
      <w:r w:rsidR="001E2D1B">
        <w:t>9</w:t>
      </w:r>
      <w:r w:rsidR="00B66853">
        <w:t> billion ($</w:t>
      </w:r>
      <w:r w:rsidR="001E2D1B">
        <w:t>566</w:t>
      </w:r>
      <w:r w:rsidR="00B66853">
        <w:t xml:space="preserve"> per capita) away from an equal per capita </w:t>
      </w:r>
      <w:r w:rsidR="00B66853" w:rsidRPr="00655D2C">
        <w:t>share (</w:t>
      </w:r>
      <w:r w:rsidR="00AB43E9">
        <w:t>Table 1</w:t>
      </w:r>
      <w:r w:rsidR="00B66853" w:rsidRPr="00655D2C">
        <w:t>)</w:t>
      </w:r>
      <w:r w:rsidR="00B66853">
        <w:t>.</w:t>
      </w:r>
    </w:p>
    <w:p w14:paraId="1C90A713" w14:textId="2E495FDA" w:rsidR="00E42A95" w:rsidRPr="00655D2C" w:rsidRDefault="009044DF" w:rsidP="00E42A95">
      <w:pPr>
        <w:pStyle w:val="Caption"/>
      </w:pPr>
      <w:bookmarkStart w:id="1" w:name="_Ref210743342"/>
      <w:r w:rsidRPr="00655D2C">
        <w:t>Table</w:t>
      </w:r>
      <w:r>
        <w:t> </w:t>
      </w:r>
      <w:r w:rsidR="00E42A95" w:rsidRPr="00655D2C">
        <w:fldChar w:fldCharType="begin"/>
      </w:r>
      <w:r w:rsidR="00E42A95" w:rsidRPr="00655D2C">
        <w:instrText xml:space="preserve"> SEQ Table \* ARABIC </w:instrText>
      </w:r>
      <w:r w:rsidR="00E42A95" w:rsidRPr="00655D2C">
        <w:fldChar w:fldCharType="separate"/>
      </w:r>
      <w:r w:rsidR="007A5A34">
        <w:rPr>
          <w:noProof/>
        </w:rPr>
        <w:t>1</w:t>
      </w:r>
      <w:r w:rsidR="00E42A95" w:rsidRPr="00655D2C">
        <w:fldChar w:fldCharType="end"/>
      </w:r>
      <w:bookmarkEnd w:id="1"/>
      <w:r w:rsidR="00E42A95">
        <w:tab/>
      </w:r>
      <w:r w:rsidR="00E42A95" w:rsidRPr="00655D2C">
        <w:tab/>
      </w:r>
      <w:r w:rsidR="00C243F9" w:rsidRPr="00655D2C">
        <w:t>202</w:t>
      </w:r>
      <w:r w:rsidR="00C243F9">
        <w:t>6</w:t>
      </w:r>
      <w:r w:rsidR="00C243F9" w:rsidRPr="00655D2C">
        <w:t>–2</w:t>
      </w:r>
      <w:r w:rsidR="00C243F9">
        <w:t xml:space="preserve">7 </w:t>
      </w:r>
      <w:r w:rsidR="00E42A95" w:rsidRPr="00655D2C">
        <w:t>GST impact of revenue assessments</w:t>
      </w:r>
    </w:p>
    <w:tbl>
      <w:tblPr>
        <w:tblW w:w="8940" w:type="dxa"/>
        <w:tblLook w:val="04A0" w:firstRow="1" w:lastRow="0" w:firstColumn="1" w:lastColumn="0" w:noHBand="0" w:noVBand="1"/>
      </w:tblPr>
      <w:tblGrid>
        <w:gridCol w:w="1620"/>
        <w:gridCol w:w="800"/>
        <w:gridCol w:w="800"/>
        <w:gridCol w:w="880"/>
        <w:gridCol w:w="800"/>
        <w:gridCol w:w="700"/>
        <w:gridCol w:w="700"/>
        <w:gridCol w:w="700"/>
        <w:gridCol w:w="700"/>
        <w:gridCol w:w="1240"/>
      </w:tblGrid>
      <w:tr w:rsidR="00181BBF" w:rsidRPr="00D63EDB" w14:paraId="2D3FB4E3" w14:textId="77777777" w:rsidTr="00E92F17">
        <w:trPr>
          <w:trHeight w:val="379"/>
        </w:trPr>
        <w:tc>
          <w:tcPr>
            <w:tcW w:w="1620" w:type="dxa"/>
            <w:tcBorders>
              <w:top w:val="nil"/>
              <w:left w:val="nil"/>
              <w:bottom w:val="single" w:sz="4" w:space="0" w:color="FADDCA" w:themeColor="accent3" w:themeTint="33"/>
              <w:right w:val="nil"/>
            </w:tcBorders>
            <w:shd w:val="clear" w:color="auto" w:fill="CC5E12" w:themeFill="accent3"/>
            <w:vAlign w:val="center"/>
            <w:hideMark/>
          </w:tcPr>
          <w:p w14:paraId="7466477C" w14:textId="77777777" w:rsidR="00E42A95" w:rsidRPr="00D63EDB" w:rsidRDefault="00E42A95" w:rsidP="004B1E93">
            <w:pPr>
              <w:tabs>
                <w:tab w:val="clear" w:pos="567"/>
              </w:tabs>
              <w:spacing w:before="0" w:line="240" w:lineRule="auto"/>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 </w:t>
            </w:r>
          </w:p>
        </w:tc>
        <w:tc>
          <w:tcPr>
            <w:tcW w:w="800" w:type="dxa"/>
            <w:tcBorders>
              <w:top w:val="nil"/>
              <w:left w:val="nil"/>
              <w:bottom w:val="single" w:sz="4" w:space="0" w:color="FADDCA" w:themeColor="accent3" w:themeTint="33"/>
              <w:right w:val="nil"/>
            </w:tcBorders>
            <w:shd w:val="clear" w:color="auto" w:fill="CC5E12" w:themeFill="accent3"/>
            <w:vAlign w:val="center"/>
            <w:hideMark/>
          </w:tcPr>
          <w:p w14:paraId="12D15A1C"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NSW</w:t>
            </w:r>
          </w:p>
        </w:tc>
        <w:tc>
          <w:tcPr>
            <w:tcW w:w="800" w:type="dxa"/>
            <w:tcBorders>
              <w:top w:val="nil"/>
              <w:left w:val="nil"/>
              <w:bottom w:val="single" w:sz="4" w:space="0" w:color="FADDCA" w:themeColor="accent3" w:themeTint="33"/>
              <w:right w:val="nil"/>
            </w:tcBorders>
            <w:shd w:val="clear" w:color="auto" w:fill="CC5E12" w:themeFill="accent3"/>
            <w:vAlign w:val="center"/>
            <w:hideMark/>
          </w:tcPr>
          <w:p w14:paraId="047A939B"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Vic</w:t>
            </w:r>
          </w:p>
        </w:tc>
        <w:tc>
          <w:tcPr>
            <w:tcW w:w="880" w:type="dxa"/>
            <w:tcBorders>
              <w:top w:val="nil"/>
              <w:left w:val="nil"/>
              <w:bottom w:val="single" w:sz="4" w:space="0" w:color="FADDCA" w:themeColor="accent3" w:themeTint="33"/>
              <w:right w:val="nil"/>
            </w:tcBorders>
            <w:shd w:val="clear" w:color="auto" w:fill="CC5E12" w:themeFill="accent3"/>
            <w:vAlign w:val="center"/>
            <w:hideMark/>
          </w:tcPr>
          <w:p w14:paraId="6D7D53F5"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Qld</w:t>
            </w:r>
          </w:p>
        </w:tc>
        <w:tc>
          <w:tcPr>
            <w:tcW w:w="800" w:type="dxa"/>
            <w:tcBorders>
              <w:top w:val="nil"/>
              <w:left w:val="nil"/>
              <w:bottom w:val="single" w:sz="4" w:space="0" w:color="FADDCA" w:themeColor="accent3" w:themeTint="33"/>
              <w:right w:val="nil"/>
            </w:tcBorders>
            <w:shd w:val="clear" w:color="auto" w:fill="CC5E12" w:themeFill="accent3"/>
            <w:vAlign w:val="center"/>
            <w:hideMark/>
          </w:tcPr>
          <w:p w14:paraId="7C0AD61C"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4" w:space="0" w:color="FADDCA" w:themeColor="accent3" w:themeTint="33"/>
              <w:right w:val="nil"/>
            </w:tcBorders>
            <w:shd w:val="clear" w:color="auto" w:fill="CC5E12" w:themeFill="accent3"/>
            <w:vAlign w:val="center"/>
            <w:hideMark/>
          </w:tcPr>
          <w:p w14:paraId="46C4F6F8"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SA</w:t>
            </w:r>
          </w:p>
        </w:tc>
        <w:tc>
          <w:tcPr>
            <w:tcW w:w="700" w:type="dxa"/>
            <w:tcBorders>
              <w:top w:val="nil"/>
              <w:left w:val="nil"/>
              <w:bottom w:val="single" w:sz="4" w:space="0" w:color="FADDCA" w:themeColor="accent3" w:themeTint="33"/>
              <w:right w:val="nil"/>
            </w:tcBorders>
            <w:shd w:val="clear" w:color="auto" w:fill="CC5E12" w:themeFill="accent3"/>
            <w:vAlign w:val="center"/>
            <w:hideMark/>
          </w:tcPr>
          <w:p w14:paraId="0D43593F"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Tas</w:t>
            </w:r>
          </w:p>
        </w:tc>
        <w:tc>
          <w:tcPr>
            <w:tcW w:w="700" w:type="dxa"/>
            <w:tcBorders>
              <w:top w:val="nil"/>
              <w:left w:val="nil"/>
              <w:bottom w:val="single" w:sz="4" w:space="0" w:color="FADDCA" w:themeColor="accent3" w:themeTint="33"/>
              <w:right w:val="nil"/>
            </w:tcBorders>
            <w:shd w:val="clear" w:color="auto" w:fill="CC5E12" w:themeFill="accent3"/>
            <w:vAlign w:val="center"/>
            <w:hideMark/>
          </w:tcPr>
          <w:p w14:paraId="6BC36E7F"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ACT</w:t>
            </w:r>
          </w:p>
        </w:tc>
        <w:tc>
          <w:tcPr>
            <w:tcW w:w="700" w:type="dxa"/>
            <w:tcBorders>
              <w:top w:val="nil"/>
              <w:left w:val="nil"/>
              <w:bottom w:val="single" w:sz="4" w:space="0" w:color="FADDCA" w:themeColor="accent3" w:themeTint="33"/>
              <w:right w:val="nil"/>
            </w:tcBorders>
            <w:shd w:val="clear" w:color="auto" w:fill="CC5E12" w:themeFill="accent3"/>
            <w:vAlign w:val="center"/>
            <w:hideMark/>
          </w:tcPr>
          <w:p w14:paraId="4372E936"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NT</w:t>
            </w:r>
          </w:p>
        </w:tc>
        <w:tc>
          <w:tcPr>
            <w:tcW w:w="1240" w:type="dxa"/>
            <w:tcBorders>
              <w:top w:val="nil"/>
              <w:left w:val="nil"/>
              <w:bottom w:val="single" w:sz="4" w:space="0" w:color="FADDCA" w:themeColor="accent3" w:themeTint="33"/>
              <w:right w:val="nil"/>
            </w:tcBorders>
            <w:shd w:val="clear" w:color="auto" w:fill="CC5E12" w:themeFill="accent3"/>
            <w:vAlign w:val="center"/>
            <w:hideMark/>
          </w:tcPr>
          <w:p w14:paraId="2A6985D3"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63EDB">
              <w:rPr>
                <w:rFonts w:ascii="Open Sans Semibold" w:eastAsia="Times New Roman" w:hAnsi="Open Sans Semibold" w:cs="Open Sans Semibold"/>
                <w:color w:val="FFFFFF"/>
                <w:sz w:val="16"/>
                <w:szCs w:val="16"/>
                <w:lang w:eastAsia="en-AU"/>
              </w:rPr>
              <w:t>Total effect</w:t>
            </w:r>
          </w:p>
        </w:tc>
      </w:tr>
      <w:tr w:rsidR="00181BBF" w:rsidRPr="00D63EDB" w14:paraId="27F6C2C7" w14:textId="77777777" w:rsidTr="000D7351">
        <w:trPr>
          <w:trHeight w:val="259"/>
        </w:trPr>
        <w:tc>
          <w:tcPr>
            <w:tcW w:w="162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000B3C04" w14:textId="77777777" w:rsidR="00E42A95" w:rsidRPr="00D63EDB"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 </w:t>
            </w:r>
          </w:p>
        </w:tc>
        <w:tc>
          <w:tcPr>
            <w:tcW w:w="8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4A0A06DF"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8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7DB6734C"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88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5B7233BA"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8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47374FFF"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3004B2EB"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3F50AD93"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151FAFD4"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7BA9202B"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c>
          <w:tcPr>
            <w:tcW w:w="124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22440EC1"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($m)</w:t>
            </w:r>
          </w:p>
        </w:tc>
      </w:tr>
      <w:tr w:rsidR="00181BBF" w:rsidRPr="00D63EDB" w14:paraId="6F95BF16" w14:textId="77777777" w:rsidTr="00AF727D">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09B1CC4" w14:textId="77777777" w:rsidR="00AF727D" w:rsidRPr="00D63EDB" w:rsidRDefault="00AF727D" w:rsidP="00AF727D">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Payroll tax</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9AB6831" w14:textId="3D9C4EAE"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-460</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FC8E33C" w14:textId="36B8BB0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395</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8C260EB" w14:textId="3EBBA376"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642</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40CF556" w14:textId="65275CC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-1,721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02C8F2D" w14:textId="5314B73E"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797</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87D8E42" w14:textId="49E82F73"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279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3C75CCE" w14:textId="6FDF5F2E"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70</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2403B13" w14:textId="028A7301"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5274BDA" w14:textId="5A4742AA"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2,184</w:t>
            </w:r>
          </w:p>
        </w:tc>
      </w:tr>
      <w:tr w:rsidR="00181BBF" w:rsidRPr="00D63EDB" w14:paraId="548ECCB6" w14:textId="77777777" w:rsidTr="00AF727D">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ED0A77A" w14:textId="77777777" w:rsidR="00AF727D" w:rsidRPr="00D63EDB" w:rsidRDefault="00AF727D" w:rsidP="00AF727D">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Land tax</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5B5D029" w14:textId="67F70B3F"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-3,632</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AFF6A65" w14:textId="7DD50DE4"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-482</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3A172B2" w14:textId="426ABB9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1,892</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3B9CD84" w14:textId="1646A2C6"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1,004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A0DF2EF" w14:textId="4681873E"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643</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42D7438" w14:textId="72FDFBE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248</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ED0676D" w14:textId="7E5F5703"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218</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C1CADB1" w14:textId="75482C5D"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109</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3404B20" w14:textId="24A7C5BA"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4,114</w:t>
            </w:r>
          </w:p>
        </w:tc>
      </w:tr>
      <w:tr w:rsidR="00181BBF" w:rsidRPr="00D63EDB" w14:paraId="43B9366C" w14:textId="77777777" w:rsidTr="00AF727D">
        <w:trPr>
          <w:trHeight w:val="552"/>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55043E8" w14:textId="77777777" w:rsidR="00AF727D" w:rsidRPr="00D63EDB" w:rsidRDefault="00AF727D" w:rsidP="00AF727D">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Stamp duty on conveyances</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349C0F8" w14:textId="209191F6"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-2,288</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F7CD1F1" w14:textId="12E60220"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177</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28F0177" w14:textId="2C93F4EA"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333</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337EFE5" w14:textId="5B8F5B5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517</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3FB10D6" w14:textId="4C7E2470"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749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1C1CA1F" w14:textId="65C5F3C4"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307</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273BBCA" w14:textId="1A99560C"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CF7F486" w14:textId="57898846"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186</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F6C95BC" w14:textId="290A2745"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2,288</w:t>
            </w:r>
          </w:p>
        </w:tc>
      </w:tr>
      <w:tr w:rsidR="00181BBF" w:rsidRPr="00D63EDB" w14:paraId="2E6536F2" w14:textId="77777777" w:rsidTr="00AF727D">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369A101" w14:textId="77777777" w:rsidR="00AF727D" w:rsidRPr="00D63EDB" w:rsidRDefault="00AF727D" w:rsidP="00AF727D">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Insurance tax</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652800C" w14:textId="32BF3921"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-167</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60740A6" w14:textId="1F886781"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128</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F47F68B" w14:textId="05CBA563"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-6</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6CA3552" w14:textId="08ABEF70"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100</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66C6A54" w14:textId="63B15ACB"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-143</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837BC56" w14:textId="41DC4663"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41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D40DBF9" w14:textId="21CF22C0"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32</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C43CA28" w14:textId="7750E44F"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15</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FAF2D2E" w14:textId="22CDD454"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316</w:t>
            </w:r>
          </w:p>
        </w:tc>
      </w:tr>
      <w:tr w:rsidR="00181BBF" w:rsidRPr="00D63EDB" w14:paraId="0445A838" w14:textId="77777777" w:rsidTr="00AF727D">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BF9B7DA" w14:textId="77777777" w:rsidR="00AF727D" w:rsidRPr="00D63EDB" w:rsidRDefault="00AF727D" w:rsidP="00AF727D">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Motor taxes</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60F3383" w14:textId="291E5D89"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484</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037F240" w14:textId="7C33ED81"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-6</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D552390" w14:textId="6D1C7719"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-228</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64252DC" w14:textId="613ABC9D"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-291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9719A69" w14:textId="5982B186"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-24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63D9BD8" w14:textId="2DB7E35A"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-37</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4905DF2" w14:textId="5D867F7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83</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170FAC2" w14:textId="63EF57B7"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18</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650C942" w14:textId="083BE1D5"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586</w:t>
            </w:r>
          </w:p>
        </w:tc>
      </w:tr>
      <w:tr w:rsidR="00181BBF" w:rsidRPr="00D63EDB" w14:paraId="13A3B687" w14:textId="77777777" w:rsidTr="00AF727D">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F532B81" w14:textId="77777777" w:rsidR="00AF727D" w:rsidRPr="00D63EDB" w:rsidRDefault="00AF727D" w:rsidP="00AF727D">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Mining revenue</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4B8F8C9" w14:textId="2611658F"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4,382</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72D19DA" w14:textId="2048D2C0"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8,942</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8458A13" w14:textId="6EFC6F94"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-5,771</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ECED87C" w14:textId="029F7DEA"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-10,726</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054083A" w14:textId="236FE718"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1,874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2CC8A97" w14:textId="28C59BC3"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600</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BED7D73" w14:textId="430A6962"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627</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0F28043" w14:textId="3567E83D"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72</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22F823A" w14:textId="725C0DFA" w:rsidR="00AF727D" w:rsidRPr="00AF727D" w:rsidRDefault="00AF727D" w:rsidP="00AF727D">
            <w:pPr>
              <w:tabs>
                <w:tab w:val="clear" w:pos="567"/>
              </w:tabs>
              <w:spacing w:before="0" w:line="240" w:lineRule="auto"/>
              <w:jc w:val="right"/>
              <w:rPr>
                <w:rFonts w:eastAsia="Times New Roman" w:cs="Open Sans Light"/>
                <w:color w:val="000000"/>
                <w:sz w:val="16"/>
                <w:szCs w:val="16"/>
                <w:lang w:eastAsia="en-AU"/>
              </w:rPr>
            </w:pPr>
            <w:r w:rsidRPr="00AF727D">
              <w:rPr>
                <w:rFonts w:cs="Open Sans Light"/>
                <w:sz w:val="16"/>
                <w:szCs w:val="16"/>
              </w:rPr>
              <w:t>16,497</w:t>
            </w:r>
          </w:p>
        </w:tc>
      </w:tr>
      <w:tr w:rsidR="00051C59" w:rsidRPr="00D63EDB" w14:paraId="609ABB2C" w14:textId="77777777" w:rsidTr="00181BBF">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0A9E0927" w14:textId="77777777" w:rsidR="00181BBF" w:rsidRPr="00D63EDB" w:rsidRDefault="00181BBF" w:rsidP="00181BBF">
            <w:pPr>
              <w:tabs>
                <w:tab w:val="clear" w:pos="567"/>
              </w:tabs>
              <w:spacing w:before="0" w:line="240" w:lineRule="auto"/>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Total</w:t>
            </w:r>
          </w:p>
        </w:tc>
        <w:tc>
          <w:tcPr>
            <w:tcW w:w="8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6BD1C1CE" w14:textId="48BE8068"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-1,681</w:t>
            </w:r>
          </w:p>
        </w:tc>
        <w:tc>
          <w:tcPr>
            <w:tcW w:w="8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6904F538" w14:textId="6F223723"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9,154</w:t>
            </w:r>
          </w:p>
        </w:tc>
        <w:tc>
          <w:tcPr>
            <w:tcW w:w="88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7E404912" w14:textId="32FE43CF"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-3,138</w:t>
            </w:r>
          </w:p>
        </w:tc>
        <w:tc>
          <w:tcPr>
            <w:tcW w:w="8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03402EAE" w14:textId="3A999629"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-11,117</w:t>
            </w:r>
          </w:p>
        </w:tc>
        <w:tc>
          <w:tcPr>
            <w:tcW w:w="7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504B757E" w14:textId="11437F0D"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3,895</w:t>
            </w:r>
          </w:p>
        </w:tc>
        <w:tc>
          <w:tcPr>
            <w:tcW w:w="7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79E74A06" w14:textId="42A97A39"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1,439</w:t>
            </w:r>
          </w:p>
        </w:tc>
        <w:tc>
          <w:tcPr>
            <w:tcW w:w="7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390FC490" w14:textId="188EE54E"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1,050</w:t>
            </w:r>
          </w:p>
        </w:tc>
        <w:tc>
          <w:tcPr>
            <w:tcW w:w="70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2CF48FDF" w14:textId="354A323C"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398</w:t>
            </w:r>
          </w:p>
        </w:tc>
        <w:tc>
          <w:tcPr>
            <w:tcW w:w="1240" w:type="dxa"/>
            <w:tcBorders>
              <w:top w:val="single" w:sz="4" w:space="0" w:color="FADDCA" w:themeColor="accent3" w:themeTint="33"/>
              <w:left w:val="nil"/>
              <w:bottom w:val="single" w:sz="4" w:space="0" w:color="FADDCA" w:themeColor="accent3" w:themeTint="33"/>
              <w:right w:val="nil"/>
            </w:tcBorders>
            <w:shd w:val="clear" w:color="auto" w:fill="E09F71"/>
            <w:vAlign w:val="bottom"/>
            <w:hideMark/>
          </w:tcPr>
          <w:p w14:paraId="3D402365" w14:textId="1971FB30" w:rsidR="00181BBF" w:rsidRPr="00181BBF" w:rsidRDefault="00181BBF" w:rsidP="00181BBF">
            <w:pPr>
              <w:tabs>
                <w:tab w:val="clear" w:pos="567"/>
              </w:tabs>
              <w:spacing w:before="0" w:line="240" w:lineRule="auto"/>
              <w:jc w:val="right"/>
              <w:rPr>
                <w:rFonts w:ascii="Open Sans Semibold" w:eastAsia="Times New Roman" w:hAnsi="Open Sans Semibold" w:cs="Open Sans Semibold"/>
                <w:color w:val="000000"/>
                <w:sz w:val="16"/>
                <w:szCs w:val="18"/>
                <w:lang w:eastAsia="en-AU"/>
              </w:rPr>
            </w:pPr>
            <w:r w:rsidRPr="00181BBF">
              <w:rPr>
                <w:rFonts w:ascii="Open Sans Semibold" w:hAnsi="Open Sans Semibold" w:cs="Open Sans Semibold"/>
                <w:sz w:val="16"/>
                <w:szCs w:val="18"/>
              </w:rPr>
              <w:t>15,936</w:t>
            </w:r>
          </w:p>
        </w:tc>
      </w:tr>
      <w:tr w:rsidR="00181BBF" w:rsidRPr="00D63EDB" w14:paraId="4F2F081B" w14:textId="77777777" w:rsidTr="00990C8A">
        <w:trPr>
          <w:trHeight w:val="259"/>
        </w:trPr>
        <w:tc>
          <w:tcPr>
            <w:tcW w:w="162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2B0B6CE3" w14:textId="77777777" w:rsidR="00E42A95" w:rsidRPr="00D63EDB"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 </w:t>
            </w:r>
          </w:p>
        </w:tc>
        <w:tc>
          <w:tcPr>
            <w:tcW w:w="8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705D1B80"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8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3EF4F1F0"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88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55F26884"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8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4FA0721C"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59467410"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7EDF661F"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5B5DAB12"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70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3378BC76"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c>
          <w:tcPr>
            <w:tcW w:w="1240" w:type="dxa"/>
            <w:tcBorders>
              <w:top w:val="single" w:sz="4" w:space="0" w:color="FADDCA" w:themeColor="accent3" w:themeTint="33"/>
              <w:left w:val="nil"/>
              <w:bottom w:val="single" w:sz="4" w:space="0" w:color="FADDCA" w:themeColor="accent3" w:themeTint="33"/>
              <w:right w:val="nil"/>
            </w:tcBorders>
            <w:shd w:val="clear" w:color="auto" w:fill="FAE8CB"/>
            <w:vAlign w:val="bottom"/>
            <w:hideMark/>
          </w:tcPr>
          <w:p w14:paraId="39E2DC6D" w14:textId="77777777"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($pc)</w:t>
            </w:r>
          </w:p>
        </w:tc>
      </w:tr>
      <w:tr w:rsidR="00051C59" w:rsidRPr="00D63EDB" w14:paraId="1B2FA6AF" w14:textId="77777777" w:rsidTr="00051C59">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A56CAB9" w14:textId="77777777" w:rsidR="00051C59" w:rsidRPr="00D63EDB" w:rsidRDefault="00051C59" w:rsidP="00051C59">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Payroll tax</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EAC1005" w14:textId="5F588EB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-53</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9EF7079" w14:textId="046741EE"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55</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1BAB7F0" w14:textId="574F49FD"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111</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32F2DD4" w14:textId="15E4FA9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-551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3FE0E56" w14:textId="5867F123"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414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478B76E" w14:textId="1882CB18"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483</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621EE07" w14:textId="1F6AE83E"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141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EB527B5" w14:textId="68E75DC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-9</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6C12830" w14:textId="6FC4AEB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78</w:t>
            </w:r>
          </w:p>
        </w:tc>
      </w:tr>
      <w:tr w:rsidR="00051C59" w:rsidRPr="00D63EDB" w14:paraId="219CF6C9" w14:textId="77777777" w:rsidTr="00051C59">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E1A5AF9" w14:textId="77777777" w:rsidR="00051C59" w:rsidRPr="00D63EDB" w:rsidRDefault="00051C59" w:rsidP="00051C59">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Land tax</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420BC4E" w14:textId="49D93C9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-416</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6E4B882" w14:textId="3A6D4F26"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-67</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F87013B" w14:textId="37509E9A"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327</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9472281" w14:textId="227A6AA2"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322</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9038230" w14:textId="7DCF8B00"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334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6A61E51" w14:textId="157487A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429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DE5C9B7" w14:textId="19F64D2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441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378457A" w14:textId="3EFE41D6"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407</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80E248D" w14:textId="51339F72"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146</w:t>
            </w:r>
          </w:p>
        </w:tc>
      </w:tr>
      <w:tr w:rsidR="00051C59" w:rsidRPr="00D63EDB" w14:paraId="09B2FD1D" w14:textId="77777777" w:rsidTr="00051C59">
        <w:trPr>
          <w:trHeight w:val="552"/>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DB45463" w14:textId="77777777" w:rsidR="00051C59" w:rsidRPr="00D63EDB" w:rsidRDefault="00051C59" w:rsidP="00051C59">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Stamp duty on conveyances</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A162BDD" w14:textId="65BA150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-262</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F9D8538" w14:textId="5C34D58F"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24</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90C7735" w14:textId="625D5717"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57</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E45F920" w14:textId="6D610612"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165</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D734EC3" w14:textId="3C10A262"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389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BA17EB6" w14:textId="5571C203"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532</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D86C6DC" w14:textId="3982028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38</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687CF58" w14:textId="5B378A36"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693</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32A52B1" w14:textId="243C52D3"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81</w:t>
            </w:r>
          </w:p>
        </w:tc>
      </w:tr>
      <w:tr w:rsidR="00051C59" w:rsidRPr="00D63EDB" w14:paraId="071AEE37" w14:textId="77777777" w:rsidTr="00051C59">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2A4E67A" w14:textId="77777777" w:rsidR="00051C59" w:rsidRPr="00D63EDB" w:rsidRDefault="00051C59" w:rsidP="00051C59">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Insurance tax</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B2AB5D7" w14:textId="389FAB4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-19</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08F00C4" w14:textId="45C7372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18</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91D209D" w14:textId="093B1E6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D7916D3" w14:textId="449FA280"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32</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96D9D27" w14:textId="4E75D0F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-74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D32CEC9" w14:textId="16BC93E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71</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133EB43" w14:textId="4E007592"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66</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FD50E94" w14:textId="7C9E09FF"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54</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B9D282B" w14:textId="5035AA6C"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11</w:t>
            </w:r>
          </w:p>
        </w:tc>
      </w:tr>
      <w:tr w:rsidR="00051C59" w:rsidRPr="00D63EDB" w14:paraId="63DD6BAB" w14:textId="77777777" w:rsidTr="00051C59">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2F31595F" w14:textId="77777777" w:rsidR="00051C59" w:rsidRPr="00D63EDB" w:rsidRDefault="00051C59" w:rsidP="00051C59">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Motor taxes</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33E5D7E" w14:textId="31E71177"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55</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A95654B" w14:textId="7584EE9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05BC2C4" w14:textId="48D0F87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-39</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B4BAED9" w14:textId="6A9F526F"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-93</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17F85E9" w14:textId="5E02BAB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-12</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44115A3" w14:textId="69A325EC"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-64</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FE7C776" w14:textId="23DD8E32"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169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09DBCB05" w14:textId="1F4C1C14"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66</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008276D" w14:textId="6D0A216F"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21</w:t>
            </w:r>
          </w:p>
        </w:tc>
      </w:tr>
      <w:tr w:rsidR="00051C59" w:rsidRPr="00D63EDB" w14:paraId="728D84A9" w14:textId="77777777" w:rsidTr="00051C59">
        <w:trPr>
          <w:trHeight w:val="319"/>
        </w:trPr>
        <w:tc>
          <w:tcPr>
            <w:tcW w:w="162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0786E9D" w14:textId="77777777" w:rsidR="00051C59" w:rsidRPr="00D63EDB" w:rsidRDefault="00051C59" w:rsidP="00051C59">
            <w:pPr>
              <w:tabs>
                <w:tab w:val="clear" w:pos="567"/>
              </w:tabs>
              <w:spacing w:before="0" w:line="240" w:lineRule="auto"/>
              <w:rPr>
                <w:rFonts w:eastAsia="Times New Roman" w:cs="Open Sans Light"/>
                <w:color w:val="000000"/>
                <w:sz w:val="16"/>
                <w:szCs w:val="16"/>
                <w:lang w:eastAsia="en-AU"/>
              </w:rPr>
            </w:pPr>
            <w:r w:rsidRPr="00D63EDB">
              <w:rPr>
                <w:rFonts w:eastAsia="Times New Roman" w:cs="Open Sans Light"/>
                <w:color w:val="000000"/>
                <w:sz w:val="16"/>
                <w:szCs w:val="16"/>
                <w:lang w:eastAsia="en-AU"/>
              </w:rPr>
              <w:t>Mining revenue</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73861A9" w14:textId="0D4DFD51"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502</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79078E6C" w14:textId="6BE3F3C0"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1,238</w:t>
            </w:r>
          </w:p>
        </w:tc>
        <w:tc>
          <w:tcPr>
            <w:tcW w:w="88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1EFB301" w14:textId="79BAA14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-996</w:t>
            </w:r>
          </w:p>
        </w:tc>
        <w:tc>
          <w:tcPr>
            <w:tcW w:w="8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53B30B3F" w14:textId="78C3E7D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-3,435</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16C36095" w14:textId="094EF3FB"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973</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05CEECC" w14:textId="5C3D82B5"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1,039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6841EA90" w14:textId="3E5C57EE"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1,269</w:t>
            </w:r>
          </w:p>
        </w:tc>
        <w:tc>
          <w:tcPr>
            <w:tcW w:w="70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43D08A14" w14:textId="39DDCC39"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269</w:t>
            </w:r>
          </w:p>
        </w:tc>
        <w:tc>
          <w:tcPr>
            <w:tcW w:w="1240" w:type="dxa"/>
            <w:tcBorders>
              <w:top w:val="single" w:sz="4" w:space="0" w:color="FADDCA" w:themeColor="accent3" w:themeTint="33"/>
              <w:left w:val="nil"/>
              <w:bottom w:val="single" w:sz="4" w:space="0" w:color="FADDCA" w:themeColor="accent3" w:themeTint="33"/>
              <w:right w:val="nil"/>
            </w:tcBorders>
            <w:shd w:val="clear" w:color="000000" w:fill="FFFFFF"/>
            <w:vAlign w:val="bottom"/>
            <w:hideMark/>
          </w:tcPr>
          <w:p w14:paraId="324DED18" w14:textId="030CFAB0" w:rsidR="00051C59" w:rsidRPr="00051C59" w:rsidRDefault="00051C59" w:rsidP="00051C59">
            <w:pPr>
              <w:tabs>
                <w:tab w:val="clear" w:pos="567"/>
              </w:tabs>
              <w:spacing w:before="0" w:line="240" w:lineRule="auto"/>
              <w:jc w:val="right"/>
              <w:rPr>
                <w:rFonts w:eastAsia="Times New Roman" w:cs="Open Sans Light"/>
                <w:color w:val="000000"/>
                <w:sz w:val="16"/>
                <w:szCs w:val="16"/>
                <w:lang w:eastAsia="en-AU"/>
              </w:rPr>
            </w:pPr>
            <w:r w:rsidRPr="00051C59">
              <w:rPr>
                <w:rFonts w:cs="Open Sans Light"/>
                <w:sz w:val="16"/>
                <w:szCs w:val="16"/>
              </w:rPr>
              <w:t>586</w:t>
            </w:r>
          </w:p>
        </w:tc>
      </w:tr>
      <w:tr w:rsidR="00181BBF" w:rsidRPr="00D63EDB" w14:paraId="22180BC8" w14:textId="77777777" w:rsidTr="00D74BF9">
        <w:trPr>
          <w:trHeight w:val="319"/>
        </w:trPr>
        <w:tc>
          <w:tcPr>
            <w:tcW w:w="1620" w:type="dxa"/>
            <w:tcBorders>
              <w:top w:val="single" w:sz="4" w:space="0" w:color="FADDCA" w:themeColor="accent3" w:themeTint="33"/>
              <w:left w:val="nil"/>
              <w:right w:val="nil"/>
            </w:tcBorders>
            <w:shd w:val="clear" w:color="auto" w:fill="E09F71"/>
            <w:vAlign w:val="bottom"/>
            <w:hideMark/>
          </w:tcPr>
          <w:p w14:paraId="3A274A85" w14:textId="77777777" w:rsidR="00E42A95" w:rsidRPr="00D63EDB"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Total</w:t>
            </w:r>
          </w:p>
        </w:tc>
        <w:tc>
          <w:tcPr>
            <w:tcW w:w="800" w:type="dxa"/>
            <w:tcBorders>
              <w:top w:val="single" w:sz="4" w:space="0" w:color="FADDCA" w:themeColor="accent3" w:themeTint="33"/>
              <w:left w:val="nil"/>
              <w:right w:val="nil"/>
            </w:tcBorders>
            <w:shd w:val="clear" w:color="auto" w:fill="E09F71"/>
            <w:vAlign w:val="bottom"/>
            <w:hideMark/>
          </w:tcPr>
          <w:p w14:paraId="1062A55D" w14:textId="6A79E640"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-19</w:t>
            </w:r>
            <w:r w:rsidR="00DF2A11">
              <w:rPr>
                <w:rFonts w:ascii="Open Sans Semibold" w:eastAsia="Times New Roman" w:hAnsi="Open Sans Semibold" w:cs="Open Sans Semibold"/>
                <w:color w:val="000000"/>
                <w:sz w:val="16"/>
                <w:szCs w:val="16"/>
                <w:lang w:eastAsia="en-AU"/>
              </w:rPr>
              <w:t>2</w:t>
            </w:r>
          </w:p>
        </w:tc>
        <w:tc>
          <w:tcPr>
            <w:tcW w:w="800" w:type="dxa"/>
            <w:tcBorders>
              <w:top w:val="single" w:sz="4" w:space="0" w:color="FADDCA" w:themeColor="accent3" w:themeTint="33"/>
              <w:left w:val="nil"/>
              <w:right w:val="nil"/>
            </w:tcBorders>
            <w:shd w:val="clear" w:color="auto" w:fill="E09F71"/>
            <w:vAlign w:val="bottom"/>
            <w:hideMark/>
          </w:tcPr>
          <w:p w14:paraId="336E9A7B" w14:textId="58526585"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1,2</w:t>
            </w:r>
            <w:r w:rsidR="00DF2A11">
              <w:rPr>
                <w:rFonts w:ascii="Open Sans Semibold" w:eastAsia="Times New Roman" w:hAnsi="Open Sans Semibold" w:cs="Open Sans Semibold"/>
                <w:color w:val="000000"/>
                <w:sz w:val="16"/>
                <w:szCs w:val="16"/>
                <w:lang w:eastAsia="en-AU"/>
              </w:rPr>
              <w:t>67</w:t>
            </w:r>
          </w:p>
        </w:tc>
        <w:tc>
          <w:tcPr>
            <w:tcW w:w="880" w:type="dxa"/>
            <w:tcBorders>
              <w:top w:val="single" w:sz="4" w:space="0" w:color="FADDCA" w:themeColor="accent3" w:themeTint="33"/>
              <w:left w:val="nil"/>
              <w:right w:val="nil"/>
            </w:tcBorders>
            <w:shd w:val="clear" w:color="auto" w:fill="E09F71"/>
            <w:vAlign w:val="bottom"/>
            <w:hideMark/>
          </w:tcPr>
          <w:p w14:paraId="35293547" w14:textId="6B835158"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w:t>
            </w:r>
            <w:r w:rsidR="00DF2A11">
              <w:rPr>
                <w:rFonts w:ascii="Open Sans Semibold" w:eastAsia="Times New Roman" w:hAnsi="Open Sans Semibold" w:cs="Open Sans Semibold"/>
                <w:color w:val="000000"/>
                <w:sz w:val="16"/>
                <w:szCs w:val="16"/>
                <w:lang w:eastAsia="en-AU"/>
              </w:rPr>
              <w:t>542</w:t>
            </w:r>
          </w:p>
        </w:tc>
        <w:tc>
          <w:tcPr>
            <w:tcW w:w="800" w:type="dxa"/>
            <w:tcBorders>
              <w:top w:val="single" w:sz="4" w:space="0" w:color="FADDCA" w:themeColor="accent3" w:themeTint="33"/>
              <w:left w:val="nil"/>
              <w:right w:val="nil"/>
            </w:tcBorders>
            <w:shd w:val="clear" w:color="auto" w:fill="E09F71"/>
            <w:vAlign w:val="bottom"/>
            <w:hideMark/>
          </w:tcPr>
          <w:p w14:paraId="08EDC168" w14:textId="3255ED84"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-3,</w:t>
            </w:r>
            <w:r w:rsidR="00DF2A11">
              <w:rPr>
                <w:rFonts w:ascii="Open Sans Semibold" w:eastAsia="Times New Roman" w:hAnsi="Open Sans Semibold" w:cs="Open Sans Semibold"/>
                <w:color w:val="000000"/>
                <w:sz w:val="16"/>
                <w:szCs w:val="16"/>
                <w:lang w:eastAsia="en-AU"/>
              </w:rPr>
              <w:t>560</w:t>
            </w:r>
          </w:p>
        </w:tc>
        <w:tc>
          <w:tcPr>
            <w:tcW w:w="700" w:type="dxa"/>
            <w:tcBorders>
              <w:top w:val="single" w:sz="4" w:space="0" w:color="FADDCA" w:themeColor="accent3" w:themeTint="33"/>
              <w:left w:val="nil"/>
              <w:right w:val="nil"/>
            </w:tcBorders>
            <w:shd w:val="clear" w:color="auto" w:fill="E09F71"/>
            <w:vAlign w:val="bottom"/>
            <w:hideMark/>
          </w:tcPr>
          <w:p w14:paraId="242179BE" w14:textId="01BD295E"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2,0</w:t>
            </w:r>
            <w:r w:rsidR="00DF2A11">
              <w:rPr>
                <w:rFonts w:ascii="Open Sans Semibold" w:eastAsia="Times New Roman" w:hAnsi="Open Sans Semibold" w:cs="Open Sans Semibold"/>
                <w:color w:val="000000"/>
                <w:sz w:val="16"/>
                <w:szCs w:val="16"/>
                <w:lang w:eastAsia="en-AU"/>
              </w:rPr>
              <w:t>23</w:t>
            </w:r>
          </w:p>
        </w:tc>
        <w:tc>
          <w:tcPr>
            <w:tcW w:w="700" w:type="dxa"/>
            <w:tcBorders>
              <w:top w:val="single" w:sz="4" w:space="0" w:color="FADDCA" w:themeColor="accent3" w:themeTint="33"/>
              <w:left w:val="nil"/>
              <w:right w:val="nil"/>
            </w:tcBorders>
            <w:shd w:val="clear" w:color="auto" w:fill="E09F71"/>
            <w:vAlign w:val="bottom"/>
            <w:hideMark/>
          </w:tcPr>
          <w:p w14:paraId="33482206" w14:textId="56BC40A2"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2,4</w:t>
            </w:r>
            <w:r w:rsidR="00DF2A11">
              <w:rPr>
                <w:rFonts w:ascii="Open Sans Semibold" w:eastAsia="Times New Roman" w:hAnsi="Open Sans Semibold" w:cs="Open Sans Semibold"/>
                <w:color w:val="000000"/>
                <w:sz w:val="16"/>
                <w:szCs w:val="16"/>
                <w:lang w:eastAsia="en-AU"/>
              </w:rPr>
              <w:t>91</w:t>
            </w:r>
          </w:p>
        </w:tc>
        <w:tc>
          <w:tcPr>
            <w:tcW w:w="700" w:type="dxa"/>
            <w:tcBorders>
              <w:top w:val="single" w:sz="4" w:space="0" w:color="FADDCA" w:themeColor="accent3" w:themeTint="33"/>
              <w:left w:val="nil"/>
              <w:right w:val="nil"/>
            </w:tcBorders>
            <w:shd w:val="clear" w:color="auto" w:fill="E09F71"/>
            <w:vAlign w:val="bottom"/>
            <w:hideMark/>
          </w:tcPr>
          <w:p w14:paraId="714E1C44" w14:textId="52D82365" w:rsidR="00E42A95" w:rsidRPr="00D63EDB" w:rsidRDefault="00DF2A11"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2</w:t>
            </w:r>
            <w:r w:rsidR="00E42A95" w:rsidRPr="00D63EDB">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124</w:t>
            </w:r>
          </w:p>
        </w:tc>
        <w:tc>
          <w:tcPr>
            <w:tcW w:w="700" w:type="dxa"/>
            <w:tcBorders>
              <w:top w:val="single" w:sz="4" w:space="0" w:color="FADDCA" w:themeColor="accent3" w:themeTint="33"/>
              <w:left w:val="nil"/>
              <w:right w:val="nil"/>
            </w:tcBorders>
            <w:shd w:val="clear" w:color="auto" w:fill="E09F71"/>
            <w:vAlign w:val="bottom"/>
            <w:hideMark/>
          </w:tcPr>
          <w:p w14:paraId="5C9F3F9B" w14:textId="6A229168" w:rsidR="00E42A95" w:rsidRPr="00D63EDB" w:rsidRDefault="00DF2A11"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Pr>
                <w:rFonts w:ascii="Open Sans Semibold" w:eastAsia="Times New Roman" w:hAnsi="Open Sans Semibold" w:cs="Open Sans Semibold"/>
                <w:color w:val="000000"/>
                <w:sz w:val="16"/>
                <w:szCs w:val="16"/>
                <w:lang w:eastAsia="en-AU"/>
              </w:rPr>
              <w:t>1</w:t>
            </w:r>
            <w:r w:rsidR="00E42A95" w:rsidRPr="00D63EDB">
              <w:rPr>
                <w:rFonts w:ascii="Open Sans Semibold" w:eastAsia="Times New Roman" w:hAnsi="Open Sans Semibold" w:cs="Open Sans Semibold"/>
                <w:color w:val="000000"/>
                <w:sz w:val="16"/>
                <w:szCs w:val="16"/>
                <w:lang w:eastAsia="en-AU"/>
              </w:rPr>
              <w:t>,</w:t>
            </w:r>
            <w:r>
              <w:rPr>
                <w:rFonts w:ascii="Open Sans Semibold" w:eastAsia="Times New Roman" w:hAnsi="Open Sans Semibold" w:cs="Open Sans Semibold"/>
                <w:color w:val="000000"/>
                <w:sz w:val="16"/>
                <w:szCs w:val="16"/>
                <w:lang w:eastAsia="en-AU"/>
              </w:rPr>
              <w:t>480</w:t>
            </w:r>
          </w:p>
        </w:tc>
        <w:tc>
          <w:tcPr>
            <w:tcW w:w="1240" w:type="dxa"/>
            <w:tcBorders>
              <w:top w:val="single" w:sz="4" w:space="0" w:color="FADDCA" w:themeColor="accent3" w:themeTint="33"/>
              <w:left w:val="nil"/>
              <w:right w:val="nil"/>
            </w:tcBorders>
            <w:shd w:val="clear" w:color="auto" w:fill="E09F71"/>
            <w:vAlign w:val="bottom"/>
            <w:hideMark/>
          </w:tcPr>
          <w:p w14:paraId="64581485" w14:textId="3678564D" w:rsidR="00E42A95" w:rsidRPr="00D63ED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63EDB">
              <w:rPr>
                <w:rFonts w:ascii="Open Sans Semibold" w:eastAsia="Times New Roman" w:hAnsi="Open Sans Semibold" w:cs="Open Sans Semibold"/>
                <w:color w:val="000000"/>
                <w:sz w:val="16"/>
                <w:szCs w:val="16"/>
                <w:lang w:eastAsia="en-AU"/>
              </w:rPr>
              <w:t>5</w:t>
            </w:r>
            <w:r w:rsidR="001E2D1B">
              <w:rPr>
                <w:rFonts w:ascii="Open Sans Semibold" w:eastAsia="Times New Roman" w:hAnsi="Open Sans Semibold" w:cs="Open Sans Semibold"/>
                <w:color w:val="000000"/>
                <w:sz w:val="16"/>
                <w:szCs w:val="16"/>
                <w:lang w:eastAsia="en-AU"/>
              </w:rPr>
              <w:t>66</w:t>
            </w:r>
          </w:p>
        </w:tc>
      </w:tr>
    </w:tbl>
    <w:p w14:paraId="0F88CCDA" w14:textId="77777777" w:rsidR="00E42A95" w:rsidRPr="004445B3" w:rsidRDefault="00E42A95" w:rsidP="00E42A95">
      <w:pPr>
        <w:pStyle w:val="CGCTablenote"/>
        <w:ind w:left="510" w:hanging="397"/>
      </w:pPr>
      <w:r w:rsidRPr="004445B3">
        <w:t xml:space="preserve">Note: Total effect shows ‘gross impacts’ (the positive or negative impact for each state). These cancel each other out because GST distribution is zero sum. </w:t>
      </w:r>
    </w:p>
    <w:p w14:paraId="0F03FBB8" w14:textId="496493BA" w:rsidR="00E318C9" w:rsidRDefault="00E318C9" w:rsidP="00E318C9">
      <w:pPr>
        <w:pStyle w:val="FWPNormal"/>
      </w:pPr>
      <w:r>
        <w:t>T</w:t>
      </w:r>
      <w:r w:rsidRPr="006021AF">
        <w:t xml:space="preserve">he Commission seeks to measure state revenue raising capacity under </w:t>
      </w:r>
      <w:r>
        <w:t>the principle of policy neutrality.</w:t>
      </w:r>
      <w:r w:rsidRPr="00AB02CA">
        <w:rPr>
          <w:rStyle w:val="FootnoteReference"/>
          <w:sz w:val="20"/>
          <w:szCs w:val="28"/>
          <w:vertAlign w:val="superscript"/>
        </w:rPr>
        <w:footnoteReference w:id="3"/>
      </w:r>
      <w:r w:rsidRPr="00AB02CA">
        <w:rPr>
          <w:rStyle w:val="FootnoteReference"/>
          <w:sz w:val="20"/>
          <w:szCs w:val="28"/>
          <w:vertAlign w:val="superscript"/>
        </w:rPr>
        <w:t xml:space="preserve"> </w:t>
      </w:r>
      <w:r>
        <w:t>The Commission reduces the influence of state policy choices by measuring the national average effective tax rate</w:t>
      </w:r>
      <w:r w:rsidR="00DB68CE">
        <w:t xml:space="preserve"> for each </w:t>
      </w:r>
      <w:r w:rsidR="00624C38">
        <w:t>tax being assessed</w:t>
      </w:r>
      <w:r>
        <w:t>. It also reduces the inconsistencies from different data collection methods by using ABS and state data on realised tax revenue and state estimates of tax bases, excluding commonly exempt activities</w:t>
      </w:r>
      <w:r w:rsidRPr="006021AF">
        <w:t xml:space="preserve"> such as </w:t>
      </w:r>
      <w:r>
        <w:t xml:space="preserve">land tax exemptions for </w:t>
      </w:r>
      <w:r w:rsidRPr="006021AF">
        <w:t>charities.</w:t>
      </w:r>
    </w:p>
    <w:p w14:paraId="26DC7EB0" w14:textId="1C144987" w:rsidR="00E318C9" w:rsidRDefault="00E318C9" w:rsidP="00E318C9">
      <w:pPr>
        <w:pStyle w:val="FWPNormal"/>
      </w:pPr>
      <w:r>
        <w:t>E</w:t>
      </w:r>
      <w:r w:rsidRPr="006021AF" w:rsidDel="00D347A4">
        <w:t>conomic</w:t>
      </w:r>
      <w:r w:rsidRPr="006021AF">
        <w:t xml:space="preserve"> theory </w:t>
      </w:r>
      <w:r>
        <w:t>assumes</w:t>
      </w:r>
      <w:r w:rsidRPr="006021AF">
        <w:t xml:space="preserve"> that taxes affect consumer and firm</w:t>
      </w:r>
      <w:r>
        <w:t xml:space="preserve"> (actor)</w:t>
      </w:r>
      <w:r w:rsidRPr="006021AF">
        <w:t xml:space="preserve"> behaviour, incentivising or disincentivising relevant activities</w:t>
      </w:r>
      <w:r>
        <w:t>.</w:t>
      </w:r>
      <w:r w:rsidRPr="00AB02CA">
        <w:rPr>
          <w:rStyle w:val="FootnoteReference"/>
          <w:sz w:val="20"/>
          <w:szCs w:val="28"/>
          <w:vertAlign w:val="superscript"/>
        </w:rPr>
        <w:footnoteReference w:id="4"/>
      </w:r>
      <w:r w:rsidRPr="00355E5E">
        <w:rPr>
          <w:vertAlign w:val="superscript"/>
        </w:rPr>
        <w:t xml:space="preserve"> </w:t>
      </w:r>
      <w:r>
        <w:t xml:space="preserve">The magnitude of the impact of a tax on </w:t>
      </w:r>
      <w:r>
        <w:lastRenderedPageBreak/>
        <w:t>its tax base depends on whether actors are able to change their behaviour through offering lower prices or changing preferences in response to the tax rate (elasticity).</w:t>
      </w:r>
      <w:r w:rsidRPr="00857364">
        <w:rPr>
          <w:rStyle w:val="FootnoteReference"/>
          <w:sz w:val="20"/>
          <w:szCs w:val="28"/>
          <w:vertAlign w:val="superscript"/>
        </w:rPr>
        <w:footnoteReference w:id="5"/>
      </w:r>
      <w:r w:rsidRPr="00355E5E">
        <w:rPr>
          <w:vertAlign w:val="superscript"/>
        </w:rPr>
        <w:t xml:space="preserve"> </w:t>
      </w:r>
      <w:r>
        <w:t>Consequently, d</w:t>
      </w:r>
      <w:r w:rsidRPr="006021AF">
        <w:t xml:space="preserve">ifferences in state tax policies </w:t>
      </w:r>
      <w:r>
        <w:t>are expected to</w:t>
      </w:r>
      <w:r w:rsidRPr="006021AF">
        <w:t xml:space="preserve"> </w:t>
      </w:r>
      <w:r>
        <w:t>result in</w:t>
      </w:r>
      <w:r w:rsidRPr="006021AF">
        <w:t xml:space="preserve"> policy driven differences in </w:t>
      </w:r>
      <w:r>
        <w:t>t</w:t>
      </w:r>
      <w:r w:rsidRPr="006021AF">
        <w:t xml:space="preserve">he observed </w:t>
      </w:r>
      <w:r w:rsidR="00A25BF7">
        <w:t>tax</w:t>
      </w:r>
      <w:r w:rsidRPr="006021AF">
        <w:t xml:space="preserve"> bases</w:t>
      </w:r>
      <w:r>
        <w:t>.</w:t>
      </w:r>
    </w:p>
    <w:p w14:paraId="73F4EC4B" w14:textId="62AD3334" w:rsidR="00E318C9" w:rsidRDefault="00CF7B4A" w:rsidP="00E318C9">
      <w:pPr>
        <w:pStyle w:val="FWPNormal"/>
      </w:pPr>
      <w:r>
        <w:t>Currently, t</w:t>
      </w:r>
      <w:r w:rsidR="00E318C9">
        <w:t xml:space="preserve">he Commission does not adjust state </w:t>
      </w:r>
      <w:r w:rsidR="00A25BF7">
        <w:t>tax</w:t>
      </w:r>
      <w:r w:rsidR="00E318C9">
        <w:t xml:space="preserve"> bases to account for the influence of differences in state tax rates. Policy influenced tax bases could lead to a worse equalisation outcome if a state received a larger share of GST because it was assessed to have a smaller tax base due to high tax rates.</w:t>
      </w:r>
    </w:p>
    <w:p w14:paraId="72A387A6" w14:textId="31C2DF16" w:rsidR="00217390" w:rsidRDefault="14A07F39" w:rsidP="00E318C9">
      <w:pPr>
        <w:pStyle w:val="FWPNormal"/>
      </w:pPr>
      <w:r>
        <w:t>The absence of an adjustment for elasticity effects may</w:t>
      </w:r>
      <w:r w:rsidR="006110E9">
        <w:t xml:space="preserve"> also</w:t>
      </w:r>
      <w:r>
        <w:t xml:space="preserve"> create a disincentive for states to undertake tax reform. States may avoid lowering tax rates on highly elastic tax bases, as doing so may increase the observed tax base and result in the state’s assessed revenue raising capacity being overestimated, leading to a reduction in its assessed GST share.</w:t>
      </w:r>
    </w:p>
    <w:p w14:paraId="1619E898" w14:textId="283B00D6" w:rsidR="00E318C9" w:rsidRDefault="002063A1" w:rsidP="00E318C9">
      <w:pPr>
        <w:pStyle w:val="FWPNormal"/>
      </w:pPr>
      <w:r>
        <w:t>T</w:t>
      </w:r>
      <w:r w:rsidR="14A07F39">
        <w:t>here are a number of uncertainties</w:t>
      </w:r>
      <w:r w:rsidR="00554DE2">
        <w:t xml:space="preserve"> </w:t>
      </w:r>
      <w:r w:rsidR="14A07F39">
        <w:t xml:space="preserve">associated with elasticity </w:t>
      </w:r>
      <w:proofErr w:type="gramStart"/>
      <w:r w:rsidR="14A07F39">
        <w:t>estimates</w:t>
      </w:r>
      <w:r w:rsidR="009F3336">
        <w:t>,</w:t>
      </w:r>
      <w:r w:rsidR="14A07F39">
        <w:t xml:space="preserve"> and</w:t>
      </w:r>
      <w:proofErr w:type="gramEnd"/>
      <w:r w:rsidR="14A07F39">
        <w:t xml:space="preserve"> inclu</w:t>
      </w:r>
      <w:r>
        <w:t xml:space="preserve">ding </w:t>
      </w:r>
      <w:r w:rsidR="00D653B8">
        <w:t>them</w:t>
      </w:r>
      <w:r w:rsidR="14A07F39">
        <w:t xml:space="preserve"> would </w:t>
      </w:r>
      <w:r w:rsidR="00BF3524">
        <w:t>increase assessment</w:t>
      </w:r>
      <w:r w:rsidR="14A07F39">
        <w:t xml:space="preserve"> complexity.</w:t>
      </w:r>
      <w:r w:rsidR="00E318C9" w:rsidRPr="00857364">
        <w:rPr>
          <w:rStyle w:val="FootnoteReference"/>
          <w:sz w:val="20"/>
          <w:vertAlign w:val="superscript"/>
        </w:rPr>
        <w:footnoteReference w:id="6"/>
      </w:r>
      <w:r w:rsidR="00A5540B" w:rsidRPr="53BF2023">
        <w:rPr>
          <w:vertAlign w:val="superscript"/>
        </w:rPr>
        <w:t xml:space="preserve"> </w:t>
      </w:r>
      <w:r w:rsidR="00A5540B" w:rsidRPr="00496842">
        <w:t>Therefore</w:t>
      </w:r>
      <w:r w:rsidR="00A5540B">
        <w:t>,</w:t>
      </w:r>
      <w:r w:rsidR="00A5540B" w:rsidRPr="00496842">
        <w:t xml:space="preserve"> </w:t>
      </w:r>
      <w:r w:rsidR="00A5540B">
        <w:t>j</w:t>
      </w:r>
      <w:r w:rsidR="14A07F39">
        <w:t xml:space="preserve">udgement is required </w:t>
      </w:r>
      <w:r w:rsidR="5C0D859F">
        <w:t xml:space="preserve">as to </w:t>
      </w:r>
      <w:r w:rsidR="0028378D">
        <w:t>whether</w:t>
      </w:r>
      <w:r w:rsidR="003314E1">
        <w:t xml:space="preserve">, after allowing for the uncertainties </w:t>
      </w:r>
      <w:r w:rsidR="0024089C">
        <w:t>of the</w:t>
      </w:r>
      <w:r w:rsidR="003314E1">
        <w:t xml:space="preserve"> elasticity </w:t>
      </w:r>
      <w:r w:rsidR="00381949">
        <w:t>estimates</w:t>
      </w:r>
      <w:r w:rsidR="003314E1">
        <w:t xml:space="preserve">, </w:t>
      </w:r>
      <w:r w:rsidR="00381949">
        <w:t xml:space="preserve">the improvement in the assessment of state </w:t>
      </w:r>
      <w:r w:rsidR="14A07F39">
        <w:t>revenue</w:t>
      </w:r>
      <w:r w:rsidR="0024089C">
        <w:t xml:space="preserve"> raising capacity</w:t>
      </w:r>
      <w:r w:rsidR="14A07F39">
        <w:t xml:space="preserve"> and </w:t>
      </w:r>
      <w:r w:rsidR="00467610">
        <w:t>h</w:t>
      </w:r>
      <w:r w:rsidR="00381949">
        <w:t xml:space="preserve">orizontal </w:t>
      </w:r>
      <w:r w:rsidR="00467610">
        <w:t>f</w:t>
      </w:r>
      <w:r w:rsidR="00381949">
        <w:t xml:space="preserve">iscal </w:t>
      </w:r>
      <w:r w:rsidR="00467610">
        <w:t>e</w:t>
      </w:r>
      <w:r w:rsidR="00381949">
        <w:t>qualisation</w:t>
      </w:r>
      <w:r w:rsidR="14A07F39">
        <w:t xml:space="preserve"> justifies the additional complexity.</w:t>
      </w:r>
    </w:p>
    <w:p w14:paraId="7AFCBFB2" w14:textId="618FB77A" w:rsidR="00E318C9" w:rsidRDefault="14A07F39" w:rsidP="00E318C9">
      <w:pPr>
        <w:pStyle w:val="FWPNormal"/>
      </w:pPr>
      <w:r>
        <w:t>In 2018, the Commission engaged the Australian National University’s</w:t>
      </w:r>
      <w:r w:rsidR="008C7C14">
        <w:t xml:space="preserve"> </w:t>
      </w:r>
      <w:r w:rsidR="008C7C14" w:rsidRPr="008C7C14">
        <w:t xml:space="preserve">Tax and Transfer Policy Institute to </w:t>
      </w:r>
      <w:r w:rsidR="008E404D">
        <w:t>produce</w:t>
      </w:r>
      <w:r w:rsidR="008C7C14" w:rsidRPr="008C7C14">
        <w:t xml:space="preserve"> empirical estimates of the effect</w:t>
      </w:r>
      <w:r>
        <w:t xml:space="preserve"> of state taxes on the Commission’s assessed </w:t>
      </w:r>
      <w:r w:rsidR="00A25BF7">
        <w:t>tax</w:t>
      </w:r>
      <w:r>
        <w:t xml:space="preserve"> bases.</w:t>
      </w:r>
      <w:r w:rsidR="00E318C9" w:rsidRPr="00857364">
        <w:rPr>
          <w:rStyle w:val="FootnoteReference"/>
          <w:sz w:val="20"/>
          <w:vertAlign w:val="superscript"/>
        </w:rPr>
        <w:footnoteReference w:id="7"/>
      </w:r>
      <w:r>
        <w:t xml:space="preserve"> That work found statistically significant elasticity effects </w:t>
      </w:r>
      <w:r w:rsidDel="00590C74">
        <w:t>for</w:t>
      </w:r>
      <w:r>
        <w:t>:</w:t>
      </w:r>
    </w:p>
    <w:p w14:paraId="4D52FD82" w14:textId="18974A8D" w:rsidR="00E318C9" w:rsidRPr="00C46B7A" w:rsidRDefault="00913EDD" w:rsidP="00E318C9">
      <w:pPr>
        <w:pStyle w:val="CGCBullet1"/>
      </w:pPr>
      <w:r>
        <w:t>s</w:t>
      </w:r>
      <w:r w:rsidR="00E318C9" w:rsidRPr="00C46B7A">
        <w:t xml:space="preserve">tamp </w:t>
      </w:r>
      <w:r>
        <w:t>d</w:t>
      </w:r>
      <w:r w:rsidR="00E318C9" w:rsidRPr="00C46B7A">
        <w:t xml:space="preserve">uty on </w:t>
      </w:r>
      <w:r>
        <w:t>c</w:t>
      </w:r>
      <w:r w:rsidR="00E318C9" w:rsidRPr="00C46B7A">
        <w:t>onveyances</w:t>
      </w:r>
    </w:p>
    <w:p w14:paraId="03D44929" w14:textId="10CF5110" w:rsidR="00E318C9" w:rsidRPr="00C46B7A" w:rsidRDefault="00913EDD" w:rsidP="00E318C9">
      <w:pPr>
        <w:pStyle w:val="CGCBullet1"/>
      </w:pPr>
      <w:r>
        <w:t>l</w:t>
      </w:r>
      <w:r w:rsidR="00E318C9" w:rsidRPr="00C46B7A">
        <w:t xml:space="preserve">and </w:t>
      </w:r>
      <w:r>
        <w:t>t</w:t>
      </w:r>
      <w:r w:rsidR="00E318C9" w:rsidRPr="00C46B7A">
        <w:t>ax</w:t>
      </w:r>
    </w:p>
    <w:p w14:paraId="020750B6" w14:textId="2AEDE7FD" w:rsidR="00E318C9" w:rsidRPr="00C46B7A" w:rsidRDefault="00913EDD" w:rsidP="00E318C9">
      <w:pPr>
        <w:pStyle w:val="CGCBullet1"/>
      </w:pPr>
      <w:r>
        <w:t>m</w:t>
      </w:r>
      <w:r w:rsidR="00E318C9" w:rsidRPr="00C46B7A">
        <w:t xml:space="preserve">otor </w:t>
      </w:r>
      <w:r>
        <w:t>t</w:t>
      </w:r>
      <w:r w:rsidR="00E318C9" w:rsidRPr="00C46B7A">
        <w:t>ax</w:t>
      </w:r>
      <w:r w:rsidR="00E318C9">
        <w:t xml:space="preserve"> (light vehicle registration)</w:t>
      </w:r>
    </w:p>
    <w:p w14:paraId="6DB00D0A" w14:textId="6EC0A82C" w:rsidR="00E318C9" w:rsidRDefault="00913EDD" w:rsidP="00E318C9">
      <w:pPr>
        <w:pStyle w:val="CGCBullet1"/>
      </w:pPr>
      <w:r>
        <w:t>i</w:t>
      </w:r>
      <w:r w:rsidR="00E318C9" w:rsidRPr="00C46B7A">
        <w:t xml:space="preserve">nsurance </w:t>
      </w:r>
      <w:r>
        <w:t>t</w:t>
      </w:r>
      <w:r w:rsidR="00E318C9" w:rsidRPr="00C46B7A">
        <w:t>ax</w:t>
      </w:r>
      <w:r w:rsidR="00E318C9">
        <w:t>.</w:t>
      </w:r>
    </w:p>
    <w:p w14:paraId="15F117F2" w14:textId="0575DC28" w:rsidR="00E318C9" w:rsidRDefault="00E318C9" w:rsidP="00E318C9">
      <w:pPr>
        <w:pStyle w:val="Bullet"/>
        <w:numPr>
          <w:ilvl w:val="0"/>
          <w:numId w:val="0"/>
        </w:numPr>
      </w:pPr>
      <w:r>
        <w:t>It did not find a measurable</w:t>
      </w:r>
      <w:r w:rsidR="00B25492">
        <w:t xml:space="preserve"> elasticity</w:t>
      </w:r>
      <w:r>
        <w:t xml:space="preserve"> effect </w:t>
      </w:r>
      <w:r w:rsidR="00B25492">
        <w:t xml:space="preserve">for </w:t>
      </w:r>
      <w:r w:rsidR="00913EDD">
        <w:t>p</w:t>
      </w:r>
      <w:r>
        <w:t xml:space="preserve">ayroll </w:t>
      </w:r>
      <w:r w:rsidR="006C5993">
        <w:t>t</w:t>
      </w:r>
      <w:r>
        <w:t>ax on labour market outcomes</w:t>
      </w:r>
      <w:r w:rsidR="00B25492">
        <w:t>. It also</w:t>
      </w:r>
      <w:r>
        <w:t xml:space="preserve"> concluded there were no data to reliably measure the effect of mineral royalty rates on the value of mineral production.</w:t>
      </w:r>
    </w:p>
    <w:p w14:paraId="5D306B44" w14:textId="49B56FAF" w:rsidR="00E318C9" w:rsidRDefault="00E318C9" w:rsidP="00E318C9">
      <w:pPr>
        <w:pStyle w:val="FWPNormal"/>
      </w:pPr>
      <w:r>
        <w:t xml:space="preserve">In the </w:t>
      </w:r>
      <w:r w:rsidR="00F175C0">
        <w:t>2020 </w:t>
      </w:r>
      <w:r>
        <w:t>Methodology Review, the Commission decided not to introduce any elasticity adjustments due to concerns about the reliability of the estimates and the additional complexity of applying them to Commission measures of state tax bases and effective tax rates.</w:t>
      </w:r>
    </w:p>
    <w:p w14:paraId="0AD7260A" w14:textId="3997BADC" w:rsidR="00E42A95" w:rsidRPr="00E42A95" w:rsidRDefault="00E318C9" w:rsidP="00E318C9">
      <w:pPr>
        <w:pStyle w:val="FWPNormal"/>
      </w:pPr>
      <w:r>
        <w:t xml:space="preserve">In the </w:t>
      </w:r>
      <w:r w:rsidR="00F175C0">
        <w:t>2025 </w:t>
      </w:r>
      <w:r>
        <w:t xml:space="preserve">Methodology Review, the Commission </w:t>
      </w:r>
      <w:r w:rsidR="00251E94">
        <w:t>noted</w:t>
      </w:r>
      <w:r>
        <w:t xml:space="preserve"> that state tax bases are sensitive to state tax policies, including tax rates. However, it decided not to introduce elasticity adjustments because of the complexities and uncertainties involved in implementing them, the differences in state views</w:t>
      </w:r>
      <w:r w:rsidR="00AA11A3">
        <w:t xml:space="preserve"> on the need to include </w:t>
      </w:r>
      <w:r w:rsidR="00D47C51">
        <w:t xml:space="preserve">such </w:t>
      </w:r>
      <w:r w:rsidR="00AA11A3">
        <w:t>adjustments</w:t>
      </w:r>
      <w:r>
        <w:t xml:space="preserve">, and the limited time available for the </w:t>
      </w:r>
      <w:r w:rsidR="001879FC">
        <w:t>methodology</w:t>
      </w:r>
      <w:r>
        <w:t xml:space="preserve"> review. Instead,</w:t>
      </w:r>
      <w:r w:rsidRPr="00542251">
        <w:t xml:space="preserve"> </w:t>
      </w:r>
      <w:r>
        <w:t xml:space="preserve">it decided to consider how the </w:t>
      </w:r>
      <w:r w:rsidRPr="00542251">
        <w:t xml:space="preserve">complexities </w:t>
      </w:r>
      <w:r>
        <w:t xml:space="preserve">might be addressed as part of its </w:t>
      </w:r>
      <w:r w:rsidR="009D7B4B">
        <w:t>F</w:t>
      </w:r>
      <w:r>
        <w:t xml:space="preserve">orward </w:t>
      </w:r>
      <w:r w:rsidR="009D7B4B">
        <w:t>W</w:t>
      </w:r>
      <w:r>
        <w:t xml:space="preserve">ork </w:t>
      </w:r>
      <w:r w:rsidR="009D7B4B">
        <w:t>P</w:t>
      </w:r>
      <w:r>
        <w:t xml:space="preserve">rogram </w:t>
      </w:r>
      <w:r w:rsidRPr="00542251">
        <w:t xml:space="preserve">in preparation for the next </w:t>
      </w:r>
      <w:r>
        <w:t xml:space="preserve">methodology </w:t>
      </w:r>
      <w:r w:rsidRPr="00542251">
        <w:t>review.</w:t>
      </w:r>
    </w:p>
    <w:p w14:paraId="4E0CC1D3" w14:textId="74DA3F30" w:rsidR="00D03C57" w:rsidRDefault="00D03C57" w:rsidP="00D03C57">
      <w:pPr>
        <w:pStyle w:val="Heading3"/>
      </w:pPr>
      <w:r>
        <w:t>Scope of project</w:t>
      </w:r>
    </w:p>
    <w:p w14:paraId="6754E1CD" w14:textId="089A5D29" w:rsidR="0038279D" w:rsidRDefault="0038279D" w:rsidP="0038279D">
      <w:pPr>
        <w:pStyle w:val="FWPNormal"/>
      </w:pPr>
      <w:r>
        <w:rPr>
          <w:color w:val="auto"/>
        </w:rPr>
        <w:lastRenderedPageBreak/>
        <w:t>The project</w:t>
      </w:r>
      <w:r w:rsidR="00F3024E">
        <w:rPr>
          <w:color w:val="auto"/>
        </w:rPr>
        <w:t xml:space="preserve"> is</w:t>
      </w:r>
      <w:r>
        <w:rPr>
          <w:color w:val="auto"/>
        </w:rPr>
        <w:t xml:space="preserve"> </w:t>
      </w:r>
      <w:r w:rsidRPr="002464FD">
        <w:t>investigat</w:t>
      </w:r>
      <w:r w:rsidR="00F3024E">
        <w:t>ing</w:t>
      </w:r>
      <w:r w:rsidRPr="002464FD">
        <w:t xml:space="preserve"> the complexities and uncertainties</w:t>
      </w:r>
      <w:r w:rsidR="00AB2C24">
        <w:t xml:space="preserve"> associated </w:t>
      </w:r>
      <w:r w:rsidR="00A64EAF">
        <w:t>with implementing elasticity adjustments</w:t>
      </w:r>
      <w:r w:rsidRPr="002464FD">
        <w:t xml:space="preserve"> </w:t>
      </w:r>
      <w:r w:rsidR="00A64EAF">
        <w:t xml:space="preserve">in the </w:t>
      </w:r>
      <w:r w:rsidR="006466FE">
        <w:t>Commission’s revenue assessments</w:t>
      </w:r>
      <w:r w:rsidR="000C0041">
        <w:t>, including those</w:t>
      </w:r>
      <w:r w:rsidR="006466FE">
        <w:t xml:space="preserve"> </w:t>
      </w:r>
      <w:r w:rsidRPr="002464FD">
        <w:t>raised by states in the 2025</w:t>
      </w:r>
      <w:r w:rsidR="00EE6A12">
        <w:t xml:space="preserve"> Methodology</w:t>
      </w:r>
      <w:r>
        <w:t> </w:t>
      </w:r>
      <w:r w:rsidRPr="002464FD">
        <w:t xml:space="preserve">Review. </w:t>
      </w:r>
      <w:r>
        <w:t>Issues</w:t>
      </w:r>
      <w:r w:rsidR="0065034A">
        <w:t xml:space="preserve"> being</w:t>
      </w:r>
      <w:r>
        <w:t xml:space="preserve"> considered relate to:</w:t>
      </w:r>
    </w:p>
    <w:p w14:paraId="3E676B8F" w14:textId="4B5F1441" w:rsidR="0038279D" w:rsidRPr="00D435D8" w:rsidRDefault="0038279D" w:rsidP="0038279D">
      <w:pPr>
        <w:pStyle w:val="CGCBullet1"/>
      </w:pPr>
      <w:r>
        <w:t>the accuracy and fitness</w:t>
      </w:r>
      <w:r w:rsidR="005B02E3">
        <w:t xml:space="preserve"> </w:t>
      </w:r>
      <w:r>
        <w:t>for</w:t>
      </w:r>
      <w:r w:rsidR="00E55838">
        <w:t xml:space="preserve"> </w:t>
      </w:r>
      <w:r>
        <w:t>purpose of the estimates of elasticity effects, including:</w:t>
      </w:r>
    </w:p>
    <w:p w14:paraId="209630FB" w14:textId="32842AFA" w:rsidR="0038279D" w:rsidRDefault="0038279D" w:rsidP="0038279D">
      <w:pPr>
        <w:pStyle w:val="CGCBullet2"/>
      </w:pPr>
      <w:r w:rsidRPr="00523558">
        <w:t>statistical uncertainty</w:t>
      </w:r>
      <w:r w:rsidR="00421094">
        <w:t xml:space="preserve"> and significance</w:t>
      </w:r>
      <w:r w:rsidRPr="00523558">
        <w:t xml:space="preserve"> of the </w:t>
      </w:r>
      <w:r>
        <w:t xml:space="preserve">elasticity </w:t>
      </w:r>
      <w:r w:rsidRPr="00523558">
        <w:t>estimates</w:t>
      </w:r>
    </w:p>
    <w:p w14:paraId="3CE1D378" w14:textId="77777777" w:rsidR="0038279D" w:rsidRDefault="0038279D" w:rsidP="0038279D">
      <w:pPr>
        <w:pStyle w:val="CGCBullet2"/>
      </w:pPr>
      <w:r w:rsidRPr="00523558">
        <w:t xml:space="preserve">uncertainty around whether </w:t>
      </w:r>
      <w:r>
        <w:t>national elasticity</w:t>
      </w:r>
      <w:r w:rsidRPr="00523558">
        <w:t xml:space="preserve"> estimates are applicable</w:t>
      </w:r>
      <w:r>
        <w:t xml:space="preserve"> for all states and all value ranges</w:t>
      </w:r>
    </w:p>
    <w:p w14:paraId="3E7A649B" w14:textId="73DB5026" w:rsidR="0038279D" w:rsidRPr="00D435D8" w:rsidRDefault="0038279D" w:rsidP="0038279D">
      <w:pPr>
        <w:pStyle w:val="CGCBullet2"/>
      </w:pPr>
      <w:r>
        <w:t>uncertainty of the cross-elasticity (spill over) effects of taxes on other tax bases</w:t>
      </w:r>
    </w:p>
    <w:p w14:paraId="7872691E" w14:textId="77777777" w:rsidR="0038279D" w:rsidRDefault="0038279D" w:rsidP="0038279D">
      <w:pPr>
        <w:pStyle w:val="CGCBullet1"/>
      </w:pPr>
      <w:r>
        <w:t xml:space="preserve">the </w:t>
      </w:r>
      <w:r w:rsidRPr="00D435D8">
        <w:t>impact of data revisions on elasticity adjustments and assessment volatility</w:t>
      </w:r>
      <w:r>
        <w:t>, including:</w:t>
      </w:r>
    </w:p>
    <w:p w14:paraId="5837A9CB" w14:textId="5145A212" w:rsidR="0038279D" w:rsidRPr="00D435D8" w:rsidRDefault="0038279D" w:rsidP="0038279D">
      <w:pPr>
        <w:pStyle w:val="CGCBullet2"/>
      </w:pPr>
      <w:r>
        <w:t>sensitivity of the adjustment to classifications of state revenue</w:t>
      </w:r>
    </w:p>
    <w:p w14:paraId="6A79C15C" w14:textId="2EB86A86" w:rsidR="0038279D" w:rsidRPr="00D435D8" w:rsidRDefault="0038279D" w:rsidP="0038279D">
      <w:pPr>
        <w:pStyle w:val="CGCBullet2"/>
      </w:pPr>
      <w:r>
        <w:t>the potential for volatility in an assessment</w:t>
      </w:r>
    </w:p>
    <w:p w14:paraId="5BFBE6D9" w14:textId="13717B96" w:rsidR="0038279D" w:rsidRPr="00D435D8" w:rsidRDefault="0038279D" w:rsidP="0038279D">
      <w:pPr>
        <w:pStyle w:val="CGCBullet1"/>
      </w:pPr>
      <w:r>
        <w:t>t</w:t>
      </w:r>
      <w:r w:rsidRPr="00D435D8">
        <w:t xml:space="preserve">he </w:t>
      </w:r>
      <w:r>
        <w:t xml:space="preserve">increase in assessment complexity from </w:t>
      </w:r>
      <w:r w:rsidRPr="00D435D8">
        <w:t>inclu</w:t>
      </w:r>
      <w:r>
        <w:t>ding</w:t>
      </w:r>
      <w:r w:rsidRPr="00D435D8">
        <w:t xml:space="preserve"> an elasticity adjustment</w:t>
      </w:r>
    </w:p>
    <w:p w14:paraId="714419C1" w14:textId="50D31E4B" w:rsidR="00E42A95" w:rsidRPr="00E42A95" w:rsidRDefault="00AE3A5B" w:rsidP="0038279D">
      <w:pPr>
        <w:pStyle w:val="CGCBullet1"/>
      </w:pPr>
      <w:r>
        <w:t>whether other</w:t>
      </w:r>
      <w:r w:rsidR="0038279D">
        <w:t xml:space="preserve"> non-tax state policy influences on tax</w:t>
      </w:r>
      <w:r w:rsidR="006A4810">
        <w:t> </w:t>
      </w:r>
      <w:r w:rsidR="0038279D">
        <w:t>bases</w:t>
      </w:r>
      <w:r>
        <w:t xml:space="preserve"> should be considered</w:t>
      </w:r>
      <w:r w:rsidR="0038279D">
        <w:t>.</w:t>
      </w:r>
    </w:p>
    <w:p w14:paraId="215AEA8A" w14:textId="4BACE624" w:rsidR="00D03C57" w:rsidRDefault="00D03C57" w:rsidP="00D03C57">
      <w:pPr>
        <w:pStyle w:val="Heading3"/>
      </w:pPr>
      <w:r>
        <w:t>Next steps</w:t>
      </w:r>
    </w:p>
    <w:p w14:paraId="6C8CE421" w14:textId="1369F44A" w:rsidR="00A92E70" w:rsidRDefault="27323D18" w:rsidP="00B92F3F">
      <w:pPr>
        <w:pStyle w:val="FWPNormal"/>
      </w:pPr>
      <w:r>
        <w:t xml:space="preserve">The Commission </w:t>
      </w:r>
      <w:r w:rsidR="007A507A">
        <w:t>is</w:t>
      </w:r>
      <w:r w:rsidR="007A507A" w:rsidRPr="00D122FD">
        <w:t xml:space="preserve"> </w:t>
      </w:r>
      <w:r>
        <w:t>updat</w:t>
      </w:r>
      <w:r w:rsidR="007A507A">
        <w:t xml:space="preserve">ing </w:t>
      </w:r>
      <w:r>
        <w:t xml:space="preserve">the estimates of elasticities for </w:t>
      </w:r>
      <w:r w:rsidR="008C68B1">
        <w:t>s</w:t>
      </w:r>
      <w:r>
        <w:t xml:space="preserve">tamp </w:t>
      </w:r>
      <w:r w:rsidR="008C68B1">
        <w:t>d</w:t>
      </w:r>
      <w:r>
        <w:t xml:space="preserve">uty on </w:t>
      </w:r>
      <w:r w:rsidR="008C68B1">
        <w:t>c</w:t>
      </w:r>
      <w:r>
        <w:t xml:space="preserve">onveyances, </w:t>
      </w:r>
      <w:r w:rsidR="008C68B1">
        <w:t>l</w:t>
      </w:r>
      <w:r>
        <w:t xml:space="preserve">and </w:t>
      </w:r>
      <w:r w:rsidR="008C68B1">
        <w:t>t</w:t>
      </w:r>
      <w:r>
        <w:t xml:space="preserve">ax, </w:t>
      </w:r>
      <w:r w:rsidR="008C68B1">
        <w:t>m</w:t>
      </w:r>
      <w:r>
        <w:t xml:space="preserve">otor </w:t>
      </w:r>
      <w:r w:rsidR="008C68B1">
        <w:t>t</w:t>
      </w:r>
      <w:r>
        <w:t xml:space="preserve">axes and </w:t>
      </w:r>
      <w:r w:rsidR="008C68B1">
        <w:t>i</w:t>
      </w:r>
      <w:r>
        <w:t xml:space="preserve">nsurance </w:t>
      </w:r>
      <w:r w:rsidR="008C68B1">
        <w:t>t</w:t>
      </w:r>
      <w:r>
        <w:t>ax</w:t>
      </w:r>
      <w:r w:rsidR="00C12E3A">
        <w:t>es</w:t>
      </w:r>
      <w:r w:rsidR="002B7A3C">
        <w:t xml:space="preserve"> using</w:t>
      </w:r>
      <w:r w:rsidR="003C69C6">
        <w:t xml:space="preserve"> </w:t>
      </w:r>
      <w:r>
        <w:t xml:space="preserve">methods </w:t>
      </w:r>
      <w:proofErr w:type="gramStart"/>
      <w:r>
        <w:t>similar to</w:t>
      </w:r>
      <w:proofErr w:type="gramEnd"/>
      <w:r>
        <w:t xml:space="preserve"> those used in </w:t>
      </w:r>
      <w:r w:rsidR="009C19F0">
        <w:t xml:space="preserve">the </w:t>
      </w:r>
      <w:r>
        <w:t>2018</w:t>
      </w:r>
      <w:r w:rsidR="009C19F0">
        <w:t xml:space="preserve"> consultancy</w:t>
      </w:r>
      <w:r w:rsidR="003835B6">
        <w:t xml:space="preserve"> with reference to</w:t>
      </w:r>
      <w:r w:rsidR="003835B6" w:rsidRPr="003835B6">
        <w:t xml:space="preserve"> </w:t>
      </w:r>
      <w:r w:rsidR="003835B6" w:rsidRPr="00D122FD">
        <w:t>relevant literature</w:t>
      </w:r>
      <w:r w:rsidR="00B92F3F">
        <w:t xml:space="preserve"> and updated data</w:t>
      </w:r>
      <w:r w:rsidR="00B146FC">
        <w:t>.</w:t>
      </w:r>
      <w:r w:rsidR="003835B6" w:rsidRPr="003D69CE">
        <w:rPr>
          <w:rStyle w:val="FootnoteReference"/>
          <w:sz w:val="20"/>
          <w:vertAlign w:val="superscript"/>
        </w:rPr>
        <w:footnoteReference w:id="8"/>
      </w:r>
    </w:p>
    <w:p w14:paraId="0A8F15FA" w14:textId="715921AD" w:rsidR="00E50A2B" w:rsidRDefault="00E50A2B" w:rsidP="00B92F3F">
      <w:pPr>
        <w:pStyle w:val="FWPNormal"/>
      </w:pPr>
      <w:r w:rsidRPr="00C12E3A">
        <w:t xml:space="preserve">The Commission is </w:t>
      </w:r>
      <w:r w:rsidR="00A426EE" w:rsidRPr="00C12E3A">
        <w:t xml:space="preserve">also </w:t>
      </w:r>
      <w:r w:rsidRPr="00C12E3A">
        <w:t>investigating whether</w:t>
      </w:r>
      <w:r w:rsidR="004A3126" w:rsidRPr="00C12E3A">
        <w:t xml:space="preserve"> it can develop</w:t>
      </w:r>
      <w:r w:rsidRPr="00C12E3A">
        <w:t xml:space="preserve"> reliable elasticity estimates for </w:t>
      </w:r>
      <w:r w:rsidR="00467385" w:rsidRPr="00C12E3A">
        <w:t>p</w:t>
      </w:r>
      <w:r w:rsidRPr="00C12E3A">
        <w:t>ayroll</w:t>
      </w:r>
      <w:r w:rsidR="00B258FA" w:rsidRPr="00C12E3A">
        <w:t xml:space="preserve"> tax</w:t>
      </w:r>
      <w:r w:rsidRPr="00C12E3A">
        <w:t xml:space="preserve"> and </w:t>
      </w:r>
      <w:r w:rsidR="00467385" w:rsidRPr="00C12E3A">
        <w:t>m</w:t>
      </w:r>
      <w:r w:rsidRPr="00C12E3A">
        <w:t xml:space="preserve">ining </w:t>
      </w:r>
      <w:r w:rsidR="00B258FA" w:rsidRPr="00C12E3A">
        <w:t>royalties</w:t>
      </w:r>
      <w:r w:rsidRPr="00C12E3A">
        <w:t>.</w:t>
      </w:r>
    </w:p>
    <w:p w14:paraId="418B2165" w14:textId="45DCF766" w:rsidR="00D07831" w:rsidRDefault="00D07831" w:rsidP="00D07831">
      <w:pPr>
        <w:pStyle w:val="FWPNormal"/>
      </w:pPr>
      <w:r>
        <w:t xml:space="preserve">The Commission </w:t>
      </w:r>
      <w:r w:rsidR="00AD3751">
        <w:t>is</w:t>
      </w:r>
      <w:r>
        <w:t xml:space="preserve"> </w:t>
      </w:r>
      <w:r w:rsidR="0093111A">
        <w:t>considering</w:t>
      </w:r>
      <w:r w:rsidR="00D7690D">
        <w:t xml:space="preserve"> options</w:t>
      </w:r>
      <w:r>
        <w:t xml:space="preserve"> for peer review of its research on elasticity adjustments.</w:t>
      </w:r>
    </w:p>
    <w:p w14:paraId="0460F4FE" w14:textId="77777777" w:rsidR="003C6ADE" w:rsidRDefault="003C6ADE">
      <w:pPr>
        <w:tabs>
          <w:tab w:val="clear" w:pos="567"/>
        </w:tabs>
        <w:spacing w:before="0" w:line="240" w:lineRule="auto"/>
        <w:rPr>
          <w:rFonts w:ascii="Work Sans" w:eastAsiaTheme="majorEastAsia" w:hAnsi="Work Sans" w:cs="Open Sans"/>
          <w:b/>
          <w:bCs/>
          <w:color w:val="CC5E12" w:themeColor="accent3"/>
          <w:sz w:val="36"/>
          <w:szCs w:val="36"/>
        </w:rPr>
      </w:pPr>
      <w:r>
        <w:br w:type="page"/>
      </w:r>
    </w:p>
    <w:p w14:paraId="6DE8309D" w14:textId="57AF8A7E" w:rsidR="00D03C57" w:rsidRDefault="00D03C57" w:rsidP="00D03C57">
      <w:pPr>
        <w:pStyle w:val="Heading2"/>
      </w:pPr>
      <w:r>
        <w:lastRenderedPageBreak/>
        <w:t>Urban transport</w:t>
      </w:r>
    </w:p>
    <w:p w14:paraId="4B08C05B" w14:textId="77777777" w:rsidR="00D03C57" w:rsidRDefault="00D03C57" w:rsidP="00D03C57">
      <w:pPr>
        <w:pStyle w:val="Heading3"/>
      </w:pPr>
      <w:r>
        <w:t>Background</w:t>
      </w:r>
    </w:p>
    <w:p w14:paraId="5D1891D5" w14:textId="3A11589D" w:rsidR="002B3CBB" w:rsidRPr="00EE2D38" w:rsidRDefault="002B3CBB" w:rsidP="00145188">
      <w:pPr>
        <w:pStyle w:val="FWPNormal"/>
        <w:rPr>
          <w:rFonts w:asciiTheme="minorHAnsi" w:hAnsiTheme="minorHAnsi"/>
          <w:color w:val="auto"/>
          <w:sz w:val="24"/>
          <w:szCs w:val="24"/>
        </w:rPr>
      </w:pPr>
      <w:bookmarkStart w:id="2" w:name="_Ref210049780"/>
      <w:bookmarkStart w:id="3" w:name="_Ref174012389"/>
      <w:bookmarkStart w:id="4" w:name="_Ref210743304"/>
      <w:r w:rsidRPr="004445B3">
        <w:t xml:space="preserve">The Commission’s </w:t>
      </w:r>
      <w:r w:rsidR="00381079">
        <w:t>U</w:t>
      </w:r>
      <w:r w:rsidRPr="004445B3">
        <w:t xml:space="preserve">rban </w:t>
      </w:r>
      <w:r w:rsidR="000F3925">
        <w:t>T</w:t>
      </w:r>
      <w:r w:rsidRPr="004445B3">
        <w:t xml:space="preserve">ransport </w:t>
      </w:r>
      <w:r w:rsidR="00D077F5">
        <w:t>A</w:t>
      </w:r>
      <w:r w:rsidRPr="004445B3">
        <w:t xml:space="preserve">ssessment </w:t>
      </w:r>
      <w:r w:rsidR="00485264">
        <w:t>includes</w:t>
      </w:r>
      <w:r w:rsidR="00485264" w:rsidRPr="004445B3">
        <w:t xml:space="preserve"> </w:t>
      </w:r>
      <w:r w:rsidRPr="004445B3">
        <w:t xml:space="preserve">expenditure on public transport services used to travel within an urban area, such as bus, light and heavy rail (passenger and freight) and ferry services. Services used to travel between urban areas are assessed in the </w:t>
      </w:r>
      <w:r w:rsidR="000C2E28">
        <w:t>N</w:t>
      </w:r>
      <w:r w:rsidRPr="004445B3">
        <w:t xml:space="preserve">on-urban </w:t>
      </w:r>
      <w:r w:rsidR="000C2E28">
        <w:t>T</w:t>
      </w:r>
      <w:r w:rsidRPr="004445B3">
        <w:t xml:space="preserve">ransport </w:t>
      </w:r>
      <w:r w:rsidR="00D077F5">
        <w:t>A</w:t>
      </w:r>
      <w:r w:rsidRPr="004445B3">
        <w:t>ssessment. Urban transport is a major driver of state spending</w:t>
      </w:r>
      <w:r w:rsidR="00745082">
        <w:t>. In</w:t>
      </w:r>
      <w:r w:rsidR="005C73E1">
        <w:t xml:space="preserve"> </w:t>
      </w:r>
      <w:r w:rsidRPr="004445B3">
        <w:t>202</w:t>
      </w:r>
      <w:r w:rsidR="00291C8D">
        <w:t>4</w:t>
      </w:r>
      <w:r w:rsidRPr="004445B3">
        <w:t>–2</w:t>
      </w:r>
      <w:r w:rsidR="00291C8D">
        <w:t>5</w:t>
      </w:r>
      <w:r w:rsidRPr="004445B3">
        <w:t xml:space="preserve"> it amounted to $</w:t>
      </w:r>
      <w:r w:rsidR="00855969">
        <w:t>31</w:t>
      </w:r>
      <w:r>
        <w:t xml:space="preserve"> billion or around 8% of total state expenditure </w:t>
      </w:r>
      <w:r w:rsidRPr="003336D1">
        <w:t>(</w:t>
      </w:r>
      <w:r w:rsidR="00EE2D38">
        <w:fldChar w:fldCharType="begin"/>
      </w:r>
      <w:r w:rsidR="00EE2D38">
        <w:instrText xml:space="preserve"> REF _Ref215056305 \h </w:instrText>
      </w:r>
      <w:r w:rsidR="00EE2D38">
        <w:fldChar w:fldCharType="separate"/>
      </w:r>
      <w:r w:rsidR="00F44BA6" w:rsidRPr="00313D42">
        <w:t>Table</w:t>
      </w:r>
      <w:r w:rsidR="00F44BA6">
        <w:t> </w:t>
      </w:r>
      <w:r w:rsidR="00F44BA6">
        <w:rPr>
          <w:noProof/>
        </w:rPr>
        <w:t>2</w:t>
      </w:r>
      <w:r w:rsidR="00EE2D38">
        <w:fldChar w:fldCharType="end"/>
      </w:r>
      <w:r w:rsidRPr="00655D2C">
        <w:t>).</w:t>
      </w:r>
      <w:r>
        <w:t xml:space="preserve"> In the 202</w:t>
      </w:r>
      <w:r w:rsidR="00C06744">
        <w:t>6 Update</w:t>
      </w:r>
      <w:r>
        <w:t xml:space="preserve">, the </w:t>
      </w:r>
      <w:r w:rsidR="00D077F5">
        <w:t>U</w:t>
      </w:r>
      <w:r>
        <w:t xml:space="preserve">rban </w:t>
      </w:r>
      <w:r w:rsidR="00D077F5">
        <w:t>T</w:t>
      </w:r>
      <w:r>
        <w:t xml:space="preserve">ransport </w:t>
      </w:r>
      <w:r w:rsidR="00D077F5">
        <w:t>A</w:t>
      </w:r>
      <w:r>
        <w:t>ssessment distributed almost $4.</w:t>
      </w:r>
      <w:r w:rsidR="00C06744">
        <w:t>4</w:t>
      </w:r>
      <w:r>
        <w:t> billion ($1</w:t>
      </w:r>
      <w:r w:rsidR="00C06744">
        <w:t>57</w:t>
      </w:r>
      <w:r w:rsidR="00082E8F">
        <w:t> </w:t>
      </w:r>
      <w:r>
        <w:t>per</w:t>
      </w:r>
      <w:r w:rsidR="00082E8F">
        <w:t> </w:t>
      </w:r>
      <w:r>
        <w:t>capita) away from an equal per capita share (</w:t>
      </w:r>
      <w:r w:rsidR="00145188">
        <w:fldChar w:fldCharType="begin"/>
      </w:r>
      <w:r w:rsidR="00145188">
        <w:instrText xml:space="preserve"> REF _Ref227058560 </w:instrText>
      </w:r>
      <w:r w:rsidR="00145188">
        <w:fldChar w:fldCharType="separate"/>
      </w:r>
      <w:r w:rsidR="000564C2" w:rsidRPr="0092538F">
        <w:t>Table</w:t>
      </w:r>
      <w:r w:rsidR="000564C2">
        <w:t> </w:t>
      </w:r>
      <w:r w:rsidR="000564C2">
        <w:rPr>
          <w:noProof/>
        </w:rPr>
        <w:t>3</w:t>
      </w:r>
      <w:r w:rsidR="00145188">
        <w:fldChar w:fldCharType="end"/>
      </w:r>
      <w:r>
        <w:t>).</w:t>
      </w:r>
    </w:p>
    <w:p w14:paraId="0E6C95DB" w14:textId="546CAA57" w:rsidR="00E42A95" w:rsidRDefault="009044DF" w:rsidP="00E42A95">
      <w:pPr>
        <w:pStyle w:val="Caption"/>
        <w:rPr>
          <w:b w:val="0"/>
        </w:rPr>
      </w:pPr>
      <w:bookmarkStart w:id="5" w:name="_Ref215056305"/>
      <w:bookmarkEnd w:id="2"/>
      <w:bookmarkEnd w:id="3"/>
      <w:r w:rsidRPr="00313D42">
        <w:t>Table</w:t>
      </w:r>
      <w:r>
        <w:t> </w:t>
      </w:r>
      <w:r w:rsidR="00E42A95" w:rsidRPr="0061218C">
        <w:fldChar w:fldCharType="begin"/>
      </w:r>
      <w:r w:rsidR="00E42A95" w:rsidRPr="0061218C">
        <w:instrText>SEQ Table \* ARABIC</w:instrText>
      </w:r>
      <w:r w:rsidR="00E42A95" w:rsidRPr="0061218C">
        <w:fldChar w:fldCharType="separate"/>
      </w:r>
      <w:r w:rsidR="007A5A34">
        <w:rPr>
          <w:noProof/>
        </w:rPr>
        <w:t>2</w:t>
      </w:r>
      <w:r w:rsidR="00E42A95" w:rsidRPr="0061218C">
        <w:fldChar w:fldCharType="end"/>
      </w:r>
      <w:bookmarkEnd w:id="4"/>
      <w:bookmarkEnd w:id="5"/>
      <w:r w:rsidR="00E42A95" w:rsidRPr="0061218C">
        <w:tab/>
      </w:r>
      <w:r w:rsidR="00E42A95">
        <w:t xml:space="preserve">Urban </w:t>
      </w:r>
      <w:r w:rsidR="00D215D8">
        <w:t>t</w:t>
      </w:r>
      <w:r w:rsidR="00E42A95" w:rsidRPr="0061218C">
        <w:t xml:space="preserve">ransport expenditure, </w:t>
      </w:r>
      <w:r w:rsidR="00F50B85" w:rsidRPr="0061218C">
        <w:t>20</w:t>
      </w:r>
      <w:r w:rsidR="00F50B85">
        <w:t>21</w:t>
      </w:r>
      <w:r w:rsidR="00E42A95">
        <w:t>–</w:t>
      </w:r>
      <w:r w:rsidR="00F50B85">
        <w:t>22</w:t>
      </w:r>
      <w:r w:rsidR="00E42A95">
        <w:t xml:space="preserve"> to </w:t>
      </w:r>
      <w:r w:rsidR="00F50B85">
        <w:t>2024</w:t>
      </w:r>
      <w:r w:rsidR="00E42A95">
        <w:t>–</w:t>
      </w:r>
      <w:r w:rsidR="00F50B85">
        <w:t>25</w:t>
      </w:r>
    </w:p>
    <w:tbl>
      <w:tblPr>
        <w:tblW w:w="8960" w:type="dxa"/>
        <w:tblBorders>
          <w:bottom w:val="single" w:sz="4" w:space="0" w:color="FADDCA" w:themeColor="accent3" w:themeTint="33"/>
          <w:insideH w:val="single" w:sz="4" w:space="0" w:color="FADDCA" w:themeColor="accent3" w:themeTint="33"/>
        </w:tblBorders>
        <w:tblLook w:val="04A0" w:firstRow="1" w:lastRow="0" w:firstColumn="1" w:lastColumn="0" w:noHBand="0" w:noVBand="1"/>
      </w:tblPr>
      <w:tblGrid>
        <w:gridCol w:w="5060"/>
        <w:gridCol w:w="1140"/>
        <w:gridCol w:w="920"/>
        <w:gridCol w:w="920"/>
        <w:gridCol w:w="920"/>
      </w:tblGrid>
      <w:tr w:rsidR="00E42A95" w:rsidRPr="00417BFB" w14:paraId="73A16006" w14:textId="77777777" w:rsidTr="00E92F17">
        <w:trPr>
          <w:trHeight w:val="379"/>
        </w:trPr>
        <w:tc>
          <w:tcPr>
            <w:tcW w:w="5060" w:type="dxa"/>
            <w:shd w:val="clear" w:color="auto" w:fill="CC5E12" w:themeFill="accent3"/>
            <w:vAlign w:val="center"/>
            <w:hideMark/>
          </w:tcPr>
          <w:p w14:paraId="76BDACDA" w14:textId="49C997D0" w:rsidR="00E42A95" w:rsidRPr="00417BFB" w:rsidRDefault="00E42A95" w:rsidP="004B1E93">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6" w:name="_Ref210049950"/>
            <w:bookmarkStart w:id="7" w:name="_Ref210743320"/>
          </w:p>
        </w:tc>
        <w:tc>
          <w:tcPr>
            <w:tcW w:w="1140" w:type="dxa"/>
            <w:shd w:val="clear" w:color="auto" w:fill="CC5E12" w:themeFill="accent3"/>
            <w:vAlign w:val="center"/>
            <w:hideMark/>
          </w:tcPr>
          <w:p w14:paraId="659D0D2C" w14:textId="170943B9" w:rsidR="00E42A95" w:rsidRPr="00417BFB" w:rsidRDefault="00CC053B"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BFB">
              <w:rPr>
                <w:rFonts w:ascii="Open Sans Semibold" w:eastAsia="Times New Roman" w:hAnsi="Open Sans Semibold" w:cs="Open Sans Semibold"/>
                <w:color w:val="FFFFFF"/>
                <w:sz w:val="16"/>
                <w:szCs w:val="16"/>
                <w:lang w:eastAsia="en-AU"/>
              </w:rPr>
              <w:t>2021</w:t>
            </w:r>
            <w:r>
              <w:rPr>
                <w:rFonts w:ascii="Open Sans Semibold" w:eastAsia="Times New Roman" w:hAnsi="Open Sans Semibold" w:cs="Open Sans Semibold"/>
                <w:color w:val="FFFFFF"/>
                <w:sz w:val="16"/>
                <w:szCs w:val="16"/>
                <w:lang w:eastAsia="en-AU"/>
              </w:rPr>
              <w:t>–</w:t>
            </w:r>
            <w:r w:rsidRPr="00417BFB">
              <w:rPr>
                <w:rFonts w:ascii="Open Sans Semibold" w:eastAsia="Times New Roman" w:hAnsi="Open Sans Semibold" w:cs="Open Sans Semibold"/>
                <w:color w:val="FFFFFF"/>
                <w:sz w:val="16"/>
                <w:szCs w:val="16"/>
                <w:lang w:eastAsia="en-AU"/>
              </w:rPr>
              <w:t>22</w:t>
            </w:r>
          </w:p>
        </w:tc>
        <w:tc>
          <w:tcPr>
            <w:tcW w:w="920" w:type="dxa"/>
            <w:shd w:val="clear" w:color="auto" w:fill="CC5E12" w:themeFill="accent3"/>
            <w:vAlign w:val="center"/>
            <w:hideMark/>
          </w:tcPr>
          <w:p w14:paraId="550F3311" w14:textId="61A0CD7F" w:rsidR="00E42A95" w:rsidRPr="00417BFB" w:rsidRDefault="00CC053B"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7BFB">
              <w:rPr>
                <w:rFonts w:ascii="Open Sans Semibold" w:eastAsia="Times New Roman" w:hAnsi="Open Sans Semibold" w:cs="Open Sans Semibold"/>
                <w:color w:val="FFFFFF"/>
                <w:sz w:val="16"/>
                <w:szCs w:val="16"/>
                <w:lang w:eastAsia="en-AU"/>
              </w:rPr>
              <w:t>202</w:t>
            </w:r>
            <w:r>
              <w:rPr>
                <w:rFonts w:ascii="Open Sans Semibold" w:eastAsia="Times New Roman" w:hAnsi="Open Sans Semibold" w:cs="Open Sans Semibold"/>
                <w:color w:val="FFFFFF"/>
                <w:sz w:val="16"/>
                <w:szCs w:val="16"/>
                <w:lang w:eastAsia="en-AU"/>
              </w:rPr>
              <w:t>2–</w:t>
            </w:r>
            <w:r w:rsidRPr="00417BFB">
              <w:rPr>
                <w:rFonts w:ascii="Open Sans Semibold" w:eastAsia="Times New Roman" w:hAnsi="Open Sans Semibold" w:cs="Open Sans Semibold"/>
                <w:color w:val="FFFFFF"/>
                <w:sz w:val="16"/>
                <w:szCs w:val="16"/>
                <w:lang w:eastAsia="en-AU"/>
              </w:rPr>
              <w:t>2</w:t>
            </w:r>
            <w:r>
              <w:rPr>
                <w:rFonts w:ascii="Open Sans Semibold" w:eastAsia="Times New Roman" w:hAnsi="Open Sans Semibold" w:cs="Open Sans Semibold"/>
                <w:color w:val="FFFFFF"/>
                <w:sz w:val="16"/>
                <w:szCs w:val="16"/>
                <w:lang w:eastAsia="en-AU"/>
              </w:rPr>
              <w:t>3</w:t>
            </w:r>
          </w:p>
        </w:tc>
        <w:tc>
          <w:tcPr>
            <w:tcW w:w="920" w:type="dxa"/>
            <w:shd w:val="clear" w:color="auto" w:fill="CC5E12" w:themeFill="accent3"/>
            <w:vAlign w:val="center"/>
            <w:hideMark/>
          </w:tcPr>
          <w:p w14:paraId="4326E419" w14:textId="04B28462" w:rsidR="00E42A95" w:rsidRPr="00417BFB" w:rsidRDefault="00CC053B"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2023–24</w:t>
            </w:r>
          </w:p>
        </w:tc>
        <w:tc>
          <w:tcPr>
            <w:tcW w:w="920" w:type="dxa"/>
            <w:shd w:val="clear" w:color="auto" w:fill="CC5E12" w:themeFill="accent3"/>
            <w:vAlign w:val="center"/>
            <w:hideMark/>
          </w:tcPr>
          <w:p w14:paraId="46097384" w14:textId="1F85570E" w:rsidR="00E42A95" w:rsidRPr="00417BFB" w:rsidRDefault="00CC053B"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2024–25</w:t>
            </w:r>
          </w:p>
        </w:tc>
      </w:tr>
      <w:tr w:rsidR="00E42A95" w:rsidRPr="00417BFB" w14:paraId="1757395F" w14:textId="77777777" w:rsidTr="00D74BF9">
        <w:trPr>
          <w:trHeight w:val="259"/>
        </w:trPr>
        <w:tc>
          <w:tcPr>
            <w:tcW w:w="5060" w:type="dxa"/>
            <w:shd w:val="clear" w:color="auto" w:fill="FAE8CB"/>
            <w:vAlign w:val="bottom"/>
            <w:hideMark/>
          </w:tcPr>
          <w:p w14:paraId="10EDB48D" w14:textId="77777777" w:rsidR="00E42A95" w:rsidRPr="00417BFB"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Recurrent expenses</w:t>
            </w:r>
          </w:p>
        </w:tc>
        <w:tc>
          <w:tcPr>
            <w:tcW w:w="1140" w:type="dxa"/>
            <w:shd w:val="clear" w:color="auto" w:fill="FAE8CB"/>
            <w:vAlign w:val="bottom"/>
            <w:hideMark/>
          </w:tcPr>
          <w:p w14:paraId="0A344E22"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13A617B7"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65E88525"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2448C917"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r>
      <w:tr w:rsidR="00E42A95" w:rsidRPr="00417BFB" w14:paraId="0885E504" w14:textId="77777777" w:rsidTr="00E92F17">
        <w:trPr>
          <w:trHeight w:val="319"/>
        </w:trPr>
        <w:tc>
          <w:tcPr>
            <w:tcW w:w="5060" w:type="dxa"/>
            <w:shd w:val="clear" w:color="000000" w:fill="FFFFFF"/>
            <w:vAlign w:val="bottom"/>
            <w:hideMark/>
          </w:tcPr>
          <w:p w14:paraId="0840A5F7" w14:textId="77777777" w:rsidR="00E42A95" w:rsidRPr="00417BFB" w:rsidRDefault="00E42A95" w:rsidP="004B1E93">
            <w:pPr>
              <w:tabs>
                <w:tab w:val="clear" w:pos="567"/>
              </w:tabs>
              <w:spacing w:before="0" w:line="240" w:lineRule="auto"/>
              <w:rPr>
                <w:rFonts w:eastAsia="Times New Roman" w:cs="Open Sans Light"/>
                <w:color w:val="000000"/>
                <w:sz w:val="16"/>
                <w:szCs w:val="16"/>
                <w:lang w:eastAsia="en-AU"/>
              </w:rPr>
            </w:pPr>
            <w:r w:rsidRPr="00417BFB">
              <w:rPr>
                <w:rFonts w:eastAsia="Times New Roman" w:cs="Open Sans Light"/>
                <w:color w:val="000000"/>
                <w:sz w:val="16"/>
                <w:szCs w:val="16"/>
                <w:lang w:eastAsia="en-AU"/>
              </w:rPr>
              <w:t>Recurrent expenses ($m)</w:t>
            </w:r>
          </w:p>
        </w:tc>
        <w:tc>
          <w:tcPr>
            <w:tcW w:w="1140" w:type="dxa"/>
            <w:shd w:val="clear" w:color="000000" w:fill="FFFFFF"/>
            <w:vAlign w:val="bottom"/>
            <w:hideMark/>
          </w:tcPr>
          <w:p w14:paraId="332BADE7" w14:textId="1664EEEF" w:rsidR="00E42A95" w:rsidRPr="00417BFB" w:rsidRDefault="002254CF"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14,858</w:t>
            </w:r>
          </w:p>
        </w:tc>
        <w:tc>
          <w:tcPr>
            <w:tcW w:w="920" w:type="dxa"/>
            <w:shd w:val="clear" w:color="000000" w:fill="FFFFFF"/>
            <w:vAlign w:val="bottom"/>
            <w:hideMark/>
          </w:tcPr>
          <w:p w14:paraId="2DBB4119" w14:textId="5E8F3C3E" w:rsidR="00E42A95" w:rsidRPr="00417BFB" w:rsidRDefault="002254CF"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15,899</w:t>
            </w:r>
          </w:p>
        </w:tc>
        <w:tc>
          <w:tcPr>
            <w:tcW w:w="920" w:type="dxa"/>
            <w:shd w:val="clear" w:color="000000" w:fill="FFFFFF"/>
            <w:vAlign w:val="bottom"/>
            <w:hideMark/>
          </w:tcPr>
          <w:p w14:paraId="03BD2F2E" w14:textId="7CFAF48F" w:rsidR="00E42A95" w:rsidRPr="00417BFB" w:rsidRDefault="002254CF"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16,542</w:t>
            </w:r>
          </w:p>
        </w:tc>
        <w:tc>
          <w:tcPr>
            <w:tcW w:w="920" w:type="dxa"/>
            <w:shd w:val="clear" w:color="000000" w:fill="FFFFFF"/>
            <w:vAlign w:val="bottom"/>
            <w:hideMark/>
          </w:tcPr>
          <w:p w14:paraId="0BC7BC0D" w14:textId="5F08E888" w:rsidR="00E42A95" w:rsidRPr="00417BFB" w:rsidRDefault="002254CF"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w:t>
            </w:r>
            <w:r w:rsidR="00CC053B">
              <w:rPr>
                <w:rFonts w:eastAsia="Times New Roman" w:cs="Open Sans Light"/>
                <w:color w:val="000000"/>
                <w:sz w:val="16"/>
                <w:szCs w:val="16"/>
                <w:lang w:eastAsia="en-AU"/>
              </w:rPr>
              <w:t>8</w:t>
            </w:r>
            <w:r w:rsidRPr="00417BFB">
              <w:rPr>
                <w:rFonts w:eastAsia="Times New Roman" w:cs="Open Sans Light"/>
                <w:color w:val="000000"/>
                <w:sz w:val="16"/>
                <w:szCs w:val="16"/>
                <w:lang w:eastAsia="en-AU"/>
              </w:rPr>
              <w:t>,</w:t>
            </w:r>
            <w:r w:rsidR="00CC053B">
              <w:rPr>
                <w:rFonts w:eastAsia="Times New Roman" w:cs="Open Sans Light"/>
                <w:color w:val="000000"/>
                <w:sz w:val="16"/>
                <w:szCs w:val="16"/>
                <w:lang w:eastAsia="en-AU"/>
              </w:rPr>
              <w:t>144</w:t>
            </w:r>
          </w:p>
        </w:tc>
      </w:tr>
      <w:tr w:rsidR="00E42A95" w:rsidRPr="00417BFB" w14:paraId="2FEC040B" w14:textId="77777777" w:rsidTr="00E92F17">
        <w:trPr>
          <w:trHeight w:val="319"/>
        </w:trPr>
        <w:tc>
          <w:tcPr>
            <w:tcW w:w="5060" w:type="dxa"/>
            <w:shd w:val="clear" w:color="000000" w:fill="FFFFFF"/>
            <w:vAlign w:val="bottom"/>
            <w:hideMark/>
          </w:tcPr>
          <w:p w14:paraId="13AF76F7" w14:textId="77777777" w:rsidR="00E42A95" w:rsidRPr="00417BFB" w:rsidRDefault="00E42A95" w:rsidP="004B1E93">
            <w:pPr>
              <w:tabs>
                <w:tab w:val="clear" w:pos="567"/>
              </w:tabs>
              <w:spacing w:before="0" w:line="240" w:lineRule="auto"/>
              <w:rPr>
                <w:rFonts w:eastAsia="Times New Roman" w:cs="Open Sans Light"/>
                <w:color w:val="000000"/>
                <w:sz w:val="16"/>
                <w:szCs w:val="16"/>
                <w:lang w:eastAsia="en-AU"/>
              </w:rPr>
            </w:pPr>
            <w:r w:rsidRPr="00417BFB">
              <w:rPr>
                <w:rFonts w:eastAsia="Times New Roman" w:cs="Open Sans Light"/>
                <w:color w:val="000000"/>
                <w:sz w:val="16"/>
                <w:szCs w:val="16"/>
                <w:lang w:eastAsia="en-AU"/>
              </w:rPr>
              <w:t>Proportion of total recurrent expenses (%)</w:t>
            </w:r>
          </w:p>
        </w:tc>
        <w:tc>
          <w:tcPr>
            <w:tcW w:w="1140" w:type="dxa"/>
            <w:shd w:val="clear" w:color="000000" w:fill="FFFFFF"/>
            <w:vAlign w:val="bottom"/>
            <w:hideMark/>
          </w:tcPr>
          <w:p w14:paraId="4D739129" w14:textId="633060F4" w:rsidR="00E42A95" w:rsidRPr="00417BFB" w:rsidRDefault="00CC053B"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5</w:t>
            </w:r>
          </w:p>
        </w:tc>
        <w:tc>
          <w:tcPr>
            <w:tcW w:w="920" w:type="dxa"/>
            <w:shd w:val="clear" w:color="000000" w:fill="FFFFFF"/>
            <w:vAlign w:val="bottom"/>
            <w:hideMark/>
          </w:tcPr>
          <w:p w14:paraId="6594AAE8" w14:textId="77777777" w:rsidR="00E42A95" w:rsidRPr="00417BFB" w:rsidRDefault="00E42A95"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5</w:t>
            </w:r>
          </w:p>
        </w:tc>
        <w:tc>
          <w:tcPr>
            <w:tcW w:w="920" w:type="dxa"/>
            <w:shd w:val="clear" w:color="000000" w:fill="FFFFFF"/>
            <w:vAlign w:val="bottom"/>
            <w:hideMark/>
          </w:tcPr>
          <w:p w14:paraId="136D7E65" w14:textId="77777777" w:rsidR="00E42A95" w:rsidRPr="00417BFB" w:rsidRDefault="00E42A95"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5</w:t>
            </w:r>
          </w:p>
        </w:tc>
        <w:tc>
          <w:tcPr>
            <w:tcW w:w="920" w:type="dxa"/>
            <w:shd w:val="clear" w:color="000000" w:fill="FFFFFF"/>
            <w:vAlign w:val="bottom"/>
            <w:hideMark/>
          </w:tcPr>
          <w:p w14:paraId="6A96A2AF" w14:textId="3309D468" w:rsidR="00E42A95" w:rsidRPr="00417BFB" w:rsidRDefault="00DB5C44"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5</w:t>
            </w:r>
          </w:p>
        </w:tc>
      </w:tr>
      <w:tr w:rsidR="00E42A95" w:rsidRPr="00417BFB" w14:paraId="69DCDA06" w14:textId="77777777" w:rsidTr="00D74BF9">
        <w:trPr>
          <w:trHeight w:val="259"/>
        </w:trPr>
        <w:tc>
          <w:tcPr>
            <w:tcW w:w="5060" w:type="dxa"/>
            <w:shd w:val="clear" w:color="auto" w:fill="FAE8CB"/>
            <w:vAlign w:val="bottom"/>
            <w:hideMark/>
          </w:tcPr>
          <w:p w14:paraId="0C63E620" w14:textId="77777777" w:rsidR="00E42A95" w:rsidRPr="00417BFB"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xml:space="preserve">Investment </w:t>
            </w:r>
          </w:p>
        </w:tc>
        <w:tc>
          <w:tcPr>
            <w:tcW w:w="1140" w:type="dxa"/>
            <w:shd w:val="clear" w:color="auto" w:fill="FAE8CB"/>
            <w:vAlign w:val="bottom"/>
            <w:hideMark/>
          </w:tcPr>
          <w:p w14:paraId="6F802214"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21A84BE8"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5074D9D3"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2DD545A0"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r>
      <w:tr w:rsidR="00E42A95" w:rsidRPr="00417BFB" w14:paraId="12EB7DD2" w14:textId="77777777" w:rsidTr="00E92F17">
        <w:trPr>
          <w:trHeight w:val="319"/>
        </w:trPr>
        <w:tc>
          <w:tcPr>
            <w:tcW w:w="5060" w:type="dxa"/>
            <w:shd w:val="clear" w:color="000000" w:fill="FFFFFF"/>
            <w:vAlign w:val="bottom"/>
            <w:hideMark/>
          </w:tcPr>
          <w:p w14:paraId="58A4FC48" w14:textId="77777777" w:rsidR="00E42A95" w:rsidRPr="00417BFB" w:rsidRDefault="00E42A95" w:rsidP="004B1E93">
            <w:pPr>
              <w:tabs>
                <w:tab w:val="clear" w:pos="567"/>
              </w:tabs>
              <w:spacing w:before="0" w:line="240" w:lineRule="auto"/>
              <w:rPr>
                <w:rFonts w:eastAsia="Times New Roman" w:cs="Open Sans Light"/>
                <w:color w:val="000000"/>
                <w:sz w:val="16"/>
                <w:szCs w:val="16"/>
                <w:lang w:eastAsia="en-AU"/>
              </w:rPr>
            </w:pPr>
            <w:r w:rsidRPr="00417BFB">
              <w:rPr>
                <w:rFonts w:eastAsia="Times New Roman" w:cs="Open Sans Light"/>
                <w:color w:val="000000"/>
                <w:sz w:val="16"/>
                <w:szCs w:val="16"/>
                <w:lang w:eastAsia="en-AU"/>
              </w:rPr>
              <w:t>Investment ($m)</w:t>
            </w:r>
          </w:p>
        </w:tc>
        <w:tc>
          <w:tcPr>
            <w:tcW w:w="1140" w:type="dxa"/>
            <w:shd w:val="clear" w:color="000000" w:fill="FFFFFF"/>
            <w:vAlign w:val="bottom"/>
            <w:hideMark/>
          </w:tcPr>
          <w:p w14:paraId="4C6F49C5" w14:textId="5D2D638F" w:rsidR="00E42A95" w:rsidRPr="00417BFB" w:rsidRDefault="0092505C"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16,099</w:t>
            </w:r>
          </w:p>
        </w:tc>
        <w:tc>
          <w:tcPr>
            <w:tcW w:w="920" w:type="dxa"/>
            <w:shd w:val="clear" w:color="000000" w:fill="FFFFFF"/>
            <w:vAlign w:val="bottom"/>
            <w:hideMark/>
          </w:tcPr>
          <w:p w14:paraId="646DEED2" w14:textId="15C2D2F8" w:rsidR="00E42A95" w:rsidRPr="00417BFB" w:rsidRDefault="0092505C"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17,971</w:t>
            </w:r>
          </w:p>
        </w:tc>
        <w:tc>
          <w:tcPr>
            <w:tcW w:w="920" w:type="dxa"/>
            <w:shd w:val="clear" w:color="000000" w:fill="FFFFFF"/>
            <w:vAlign w:val="bottom"/>
            <w:hideMark/>
          </w:tcPr>
          <w:p w14:paraId="686FC97A" w14:textId="7F8FB55C" w:rsidR="00E42A95" w:rsidRPr="00417BFB" w:rsidRDefault="0092505C"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15,718</w:t>
            </w:r>
          </w:p>
        </w:tc>
        <w:tc>
          <w:tcPr>
            <w:tcW w:w="920" w:type="dxa"/>
            <w:shd w:val="clear" w:color="000000" w:fill="FFFFFF"/>
            <w:vAlign w:val="bottom"/>
            <w:hideMark/>
          </w:tcPr>
          <w:p w14:paraId="23912956" w14:textId="60F0024B"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13,095</w:t>
            </w:r>
          </w:p>
        </w:tc>
      </w:tr>
      <w:tr w:rsidR="00E42A95" w:rsidRPr="00417BFB" w14:paraId="3B3A2DE4" w14:textId="77777777" w:rsidTr="00E92F17">
        <w:trPr>
          <w:trHeight w:val="319"/>
        </w:trPr>
        <w:tc>
          <w:tcPr>
            <w:tcW w:w="5060" w:type="dxa"/>
            <w:shd w:val="clear" w:color="000000" w:fill="FFFFFF"/>
            <w:vAlign w:val="bottom"/>
            <w:hideMark/>
          </w:tcPr>
          <w:p w14:paraId="6F468FE4" w14:textId="77777777" w:rsidR="00E42A95" w:rsidRPr="00417BFB" w:rsidRDefault="00E42A95" w:rsidP="004B1E93">
            <w:pPr>
              <w:tabs>
                <w:tab w:val="clear" w:pos="567"/>
              </w:tabs>
              <w:spacing w:before="0" w:line="240" w:lineRule="auto"/>
              <w:rPr>
                <w:rFonts w:eastAsia="Times New Roman" w:cs="Open Sans Light"/>
                <w:color w:val="000000"/>
                <w:sz w:val="16"/>
                <w:szCs w:val="16"/>
                <w:lang w:eastAsia="en-AU"/>
              </w:rPr>
            </w:pPr>
            <w:r w:rsidRPr="00417BFB">
              <w:rPr>
                <w:rFonts w:eastAsia="Times New Roman" w:cs="Open Sans Light"/>
                <w:color w:val="000000"/>
                <w:sz w:val="16"/>
                <w:szCs w:val="16"/>
                <w:lang w:eastAsia="en-AU"/>
              </w:rPr>
              <w:t>Proportion of total investment (%)</w:t>
            </w:r>
          </w:p>
        </w:tc>
        <w:tc>
          <w:tcPr>
            <w:tcW w:w="1140" w:type="dxa"/>
            <w:shd w:val="clear" w:color="000000" w:fill="FFFFFF"/>
            <w:vAlign w:val="bottom"/>
            <w:hideMark/>
          </w:tcPr>
          <w:p w14:paraId="010B1D49" w14:textId="54EC7FBE"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29</w:t>
            </w:r>
          </w:p>
        </w:tc>
        <w:tc>
          <w:tcPr>
            <w:tcW w:w="920" w:type="dxa"/>
            <w:shd w:val="clear" w:color="000000" w:fill="FFFFFF"/>
            <w:vAlign w:val="bottom"/>
            <w:hideMark/>
          </w:tcPr>
          <w:p w14:paraId="226F2BF3" w14:textId="23EF0F89"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30</w:t>
            </w:r>
          </w:p>
        </w:tc>
        <w:tc>
          <w:tcPr>
            <w:tcW w:w="920" w:type="dxa"/>
            <w:shd w:val="clear" w:color="000000" w:fill="FFFFFF"/>
            <w:vAlign w:val="bottom"/>
            <w:hideMark/>
          </w:tcPr>
          <w:p w14:paraId="1DF5C61F" w14:textId="792D11DB"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2</w:t>
            </w:r>
            <w:r w:rsidR="002C1E57">
              <w:rPr>
                <w:rFonts w:eastAsia="Times New Roman" w:cs="Open Sans Light"/>
                <w:color w:val="000000"/>
                <w:sz w:val="16"/>
                <w:szCs w:val="16"/>
                <w:lang w:eastAsia="en-AU"/>
              </w:rPr>
              <w:t>5</w:t>
            </w:r>
          </w:p>
        </w:tc>
        <w:tc>
          <w:tcPr>
            <w:tcW w:w="920" w:type="dxa"/>
            <w:shd w:val="clear" w:color="000000" w:fill="FFFFFF"/>
            <w:vAlign w:val="bottom"/>
            <w:hideMark/>
          </w:tcPr>
          <w:p w14:paraId="78BE651E" w14:textId="61CCC4B0" w:rsidR="00E42A95" w:rsidRPr="00417BFB" w:rsidRDefault="002C1E57"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21</w:t>
            </w:r>
          </w:p>
        </w:tc>
      </w:tr>
      <w:tr w:rsidR="00E42A95" w:rsidRPr="00417BFB" w14:paraId="54AE4192" w14:textId="77777777" w:rsidTr="00D74BF9">
        <w:trPr>
          <w:trHeight w:val="259"/>
        </w:trPr>
        <w:tc>
          <w:tcPr>
            <w:tcW w:w="5060" w:type="dxa"/>
            <w:shd w:val="clear" w:color="auto" w:fill="FAE8CB"/>
            <w:vAlign w:val="bottom"/>
            <w:hideMark/>
          </w:tcPr>
          <w:p w14:paraId="41FF5AF8" w14:textId="77777777" w:rsidR="00E42A95" w:rsidRPr="00417BFB"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Total</w:t>
            </w:r>
          </w:p>
        </w:tc>
        <w:tc>
          <w:tcPr>
            <w:tcW w:w="1140" w:type="dxa"/>
            <w:shd w:val="clear" w:color="auto" w:fill="FAE8CB"/>
            <w:vAlign w:val="bottom"/>
            <w:hideMark/>
          </w:tcPr>
          <w:p w14:paraId="7C51BF72"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672A7312"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628D60B7"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c>
          <w:tcPr>
            <w:tcW w:w="920" w:type="dxa"/>
            <w:shd w:val="clear" w:color="auto" w:fill="FAE8CB"/>
            <w:vAlign w:val="bottom"/>
            <w:hideMark/>
          </w:tcPr>
          <w:p w14:paraId="64C42AE3" w14:textId="77777777" w:rsidR="00E42A95" w:rsidRPr="00417BFB"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7BFB">
              <w:rPr>
                <w:rFonts w:ascii="Open Sans Semibold" w:eastAsia="Times New Roman" w:hAnsi="Open Sans Semibold" w:cs="Open Sans Semibold"/>
                <w:color w:val="000000"/>
                <w:sz w:val="16"/>
                <w:szCs w:val="16"/>
                <w:lang w:eastAsia="en-AU"/>
              </w:rPr>
              <w:t> </w:t>
            </w:r>
          </w:p>
        </w:tc>
      </w:tr>
      <w:tr w:rsidR="00E42A95" w:rsidRPr="00417BFB" w14:paraId="5396D471" w14:textId="77777777" w:rsidTr="00E92F17">
        <w:trPr>
          <w:trHeight w:val="319"/>
        </w:trPr>
        <w:tc>
          <w:tcPr>
            <w:tcW w:w="5060" w:type="dxa"/>
            <w:shd w:val="clear" w:color="000000" w:fill="FFFFFF"/>
            <w:vAlign w:val="bottom"/>
            <w:hideMark/>
          </w:tcPr>
          <w:p w14:paraId="3C166896" w14:textId="3FC6690F" w:rsidR="00E42A95" w:rsidRPr="00417BFB" w:rsidRDefault="00E42A95" w:rsidP="004B1E93">
            <w:pPr>
              <w:tabs>
                <w:tab w:val="clear" w:pos="567"/>
              </w:tabs>
              <w:spacing w:before="0" w:line="240" w:lineRule="auto"/>
              <w:rPr>
                <w:rFonts w:eastAsia="Times New Roman" w:cs="Open Sans Light"/>
                <w:color w:val="000000"/>
                <w:sz w:val="16"/>
                <w:szCs w:val="16"/>
                <w:lang w:eastAsia="en-AU"/>
              </w:rPr>
            </w:pPr>
            <w:r w:rsidRPr="00417BFB">
              <w:rPr>
                <w:rFonts w:eastAsia="Times New Roman" w:cs="Open Sans Light"/>
                <w:color w:val="000000"/>
                <w:sz w:val="16"/>
                <w:szCs w:val="16"/>
                <w:lang w:eastAsia="en-AU"/>
              </w:rPr>
              <w:t xml:space="preserve">Total </w:t>
            </w:r>
            <w:r w:rsidR="00D215D8">
              <w:rPr>
                <w:rFonts w:eastAsia="Times New Roman" w:cs="Open Sans Light"/>
                <w:color w:val="000000"/>
                <w:sz w:val="16"/>
                <w:szCs w:val="16"/>
                <w:lang w:eastAsia="en-AU"/>
              </w:rPr>
              <w:t>u</w:t>
            </w:r>
            <w:r w:rsidRPr="00417BFB">
              <w:rPr>
                <w:rFonts w:eastAsia="Times New Roman" w:cs="Open Sans Light"/>
                <w:color w:val="000000"/>
                <w:sz w:val="16"/>
                <w:szCs w:val="16"/>
                <w:lang w:eastAsia="en-AU"/>
              </w:rPr>
              <w:t xml:space="preserve">rban </w:t>
            </w:r>
            <w:r w:rsidR="00D215D8">
              <w:rPr>
                <w:rFonts w:eastAsia="Times New Roman" w:cs="Open Sans Light"/>
                <w:color w:val="000000"/>
                <w:sz w:val="16"/>
                <w:szCs w:val="16"/>
                <w:lang w:eastAsia="en-AU"/>
              </w:rPr>
              <w:t>t</w:t>
            </w:r>
            <w:r w:rsidRPr="00417BFB">
              <w:rPr>
                <w:rFonts w:eastAsia="Times New Roman" w:cs="Open Sans Light"/>
                <w:color w:val="000000"/>
                <w:sz w:val="16"/>
                <w:szCs w:val="16"/>
                <w:lang w:eastAsia="en-AU"/>
              </w:rPr>
              <w:t>ransport expenditure ($m)</w:t>
            </w:r>
          </w:p>
        </w:tc>
        <w:tc>
          <w:tcPr>
            <w:tcW w:w="1140" w:type="dxa"/>
            <w:shd w:val="clear" w:color="000000" w:fill="FFFFFF"/>
            <w:vAlign w:val="bottom"/>
            <w:hideMark/>
          </w:tcPr>
          <w:p w14:paraId="42B72792" w14:textId="5D9E23D7"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30,957</w:t>
            </w:r>
          </w:p>
        </w:tc>
        <w:tc>
          <w:tcPr>
            <w:tcW w:w="920" w:type="dxa"/>
            <w:shd w:val="clear" w:color="000000" w:fill="FFFFFF"/>
            <w:vAlign w:val="bottom"/>
            <w:hideMark/>
          </w:tcPr>
          <w:p w14:paraId="0775E728" w14:textId="0878A4B4"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33,870</w:t>
            </w:r>
          </w:p>
        </w:tc>
        <w:tc>
          <w:tcPr>
            <w:tcW w:w="920" w:type="dxa"/>
            <w:shd w:val="clear" w:color="000000" w:fill="FFFFFF"/>
            <w:vAlign w:val="bottom"/>
            <w:hideMark/>
          </w:tcPr>
          <w:p w14:paraId="51319836" w14:textId="6F53FD2C" w:rsidR="00E42A95" w:rsidRPr="00417BFB" w:rsidRDefault="009A718D"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32,260</w:t>
            </w:r>
          </w:p>
        </w:tc>
        <w:tc>
          <w:tcPr>
            <w:tcW w:w="920" w:type="dxa"/>
            <w:shd w:val="clear" w:color="000000" w:fill="FFFFFF"/>
            <w:vAlign w:val="bottom"/>
            <w:hideMark/>
          </w:tcPr>
          <w:p w14:paraId="76A92FAC" w14:textId="0CD3437E" w:rsidR="00E42A95" w:rsidRPr="00417BFB" w:rsidRDefault="00F302D6"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31</w:t>
            </w:r>
            <w:r w:rsidR="00E27E74">
              <w:rPr>
                <w:rFonts w:eastAsia="Times New Roman" w:cs="Open Sans Light"/>
                <w:color w:val="000000"/>
                <w:sz w:val="16"/>
                <w:szCs w:val="16"/>
                <w:lang w:eastAsia="en-AU"/>
              </w:rPr>
              <w:t>,</w:t>
            </w:r>
            <w:r>
              <w:rPr>
                <w:rFonts w:eastAsia="Times New Roman" w:cs="Open Sans Light"/>
                <w:color w:val="000000"/>
                <w:sz w:val="16"/>
                <w:szCs w:val="16"/>
                <w:lang w:eastAsia="en-AU"/>
              </w:rPr>
              <w:t>2</w:t>
            </w:r>
            <w:r w:rsidR="00E27E74">
              <w:rPr>
                <w:rFonts w:eastAsia="Times New Roman" w:cs="Open Sans Light"/>
                <w:color w:val="000000"/>
                <w:sz w:val="16"/>
                <w:szCs w:val="16"/>
                <w:lang w:eastAsia="en-AU"/>
              </w:rPr>
              <w:t>40</w:t>
            </w:r>
          </w:p>
        </w:tc>
      </w:tr>
      <w:tr w:rsidR="00E42A95" w:rsidRPr="00417BFB" w14:paraId="5F970287" w14:textId="77777777" w:rsidTr="00E92F17">
        <w:trPr>
          <w:trHeight w:val="319"/>
        </w:trPr>
        <w:tc>
          <w:tcPr>
            <w:tcW w:w="5060" w:type="dxa"/>
            <w:shd w:val="clear" w:color="000000" w:fill="FFFFFF"/>
            <w:vAlign w:val="bottom"/>
            <w:hideMark/>
          </w:tcPr>
          <w:p w14:paraId="5C60CFBC" w14:textId="77777777" w:rsidR="00E42A95" w:rsidRPr="00417BFB" w:rsidRDefault="00E42A95" w:rsidP="004B1E93">
            <w:pPr>
              <w:tabs>
                <w:tab w:val="clear" w:pos="567"/>
              </w:tabs>
              <w:spacing w:before="0" w:line="240" w:lineRule="auto"/>
              <w:rPr>
                <w:rFonts w:eastAsia="Times New Roman" w:cs="Open Sans Light"/>
                <w:color w:val="000000"/>
                <w:sz w:val="16"/>
                <w:szCs w:val="16"/>
                <w:lang w:eastAsia="en-AU"/>
              </w:rPr>
            </w:pPr>
            <w:r w:rsidRPr="00417BFB">
              <w:rPr>
                <w:rFonts w:eastAsia="Times New Roman" w:cs="Open Sans Light"/>
                <w:color w:val="000000"/>
                <w:sz w:val="16"/>
                <w:szCs w:val="16"/>
                <w:lang w:eastAsia="en-AU"/>
              </w:rPr>
              <w:t>Proportion of total expenditure (%)</w:t>
            </w:r>
          </w:p>
        </w:tc>
        <w:tc>
          <w:tcPr>
            <w:tcW w:w="1140" w:type="dxa"/>
            <w:shd w:val="clear" w:color="000000" w:fill="FFFFFF"/>
            <w:vAlign w:val="bottom"/>
            <w:hideMark/>
          </w:tcPr>
          <w:p w14:paraId="090E5397" w14:textId="2AED2E6D" w:rsidR="00E42A95" w:rsidRPr="00417BFB" w:rsidRDefault="00E42A95"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9</w:t>
            </w:r>
          </w:p>
        </w:tc>
        <w:tc>
          <w:tcPr>
            <w:tcW w:w="920" w:type="dxa"/>
            <w:shd w:val="clear" w:color="000000" w:fill="FFFFFF"/>
            <w:vAlign w:val="bottom"/>
            <w:hideMark/>
          </w:tcPr>
          <w:p w14:paraId="05A977BD" w14:textId="1504012F" w:rsidR="00E42A95" w:rsidRPr="00417BFB" w:rsidRDefault="00E42A95" w:rsidP="004B1E93">
            <w:pPr>
              <w:tabs>
                <w:tab w:val="clear" w:pos="567"/>
              </w:tabs>
              <w:spacing w:before="0" w:line="240" w:lineRule="auto"/>
              <w:jc w:val="right"/>
              <w:rPr>
                <w:rFonts w:eastAsia="Times New Roman" w:cs="Open Sans Light"/>
                <w:color w:val="000000"/>
                <w:sz w:val="16"/>
                <w:szCs w:val="16"/>
                <w:lang w:eastAsia="en-AU"/>
              </w:rPr>
            </w:pPr>
            <w:r w:rsidRPr="00417BFB">
              <w:rPr>
                <w:rFonts w:eastAsia="Times New Roman" w:cs="Open Sans Light"/>
                <w:color w:val="000000"/>
                <w:sz w:val="16"/>
                <w:szCs w:val="16"/>
                <w:lang w:eastAsia="en-AU"/>
              </w:rPr>
              <w:t>9</w:t>
            </w:r>
            <w:r w:rsidR="001F530D">
              <w:rPr>
                <w:rFonts w:eastAsia="Times New Roman" w:cs="Open Sans Light"/>
                <w:color w:val="000000"/>
                <w:sz w:val="16"/>
                <w:szCs w:val="16"/>
                <w:lang w:eastAsia="en-AU"/>
              </w:rPr>
              <w:t>5</w:t>
            </w:r>
          </w:p>
        </w:tc>
        <w:tc>
          <w:tcPr>
            <w:tcW w:w="920" w:type="dxa"/>
            <w:shd w:val="clear" w:color="000000" w:fill="FFFFFF"/>
            <w:vAlign w:val="bottom"/>
            <w:hideMark/>
          </w:tcPr>
          <w:p w14:paraId="516343C2" w14:textId="357DFAFD" w:rsidR="00E42A95" w:rsidRPr="00417BFB" w:rsidRDefault="00C748A6"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8</w:t>
            </w:r>
          </w:p>
        </w:tc>
        <w:tc>
          <w:tcPr>
            <w:tcW w:w="920" w:type="dxa"/>
            <w:shd w:val="clear" w:color="000000" w:fill="FFFFFF"/>
            <w:vAlign w:val="bottom"/>
            <w:hideMark/>
          </w:tcPr>
          <w:p w14:paraId="682B48DC" w14:textId="66E487E8" w:rsidR="00E42A95" w:rsidRPr="00417BFB" w:rsidRDefault="00C748A6"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8</w:t>
            </w:r>
          </w:p>
        </w:tc>
      </w:tr>
    </w:tbl>
    <w:p w14:paraId="3F48D062" w14:textId="7D12A561" w:rsidR="00E42A95" w:rsidRDefault="00F44BA6" w:rsidP="00E42A95">
      <w:pPr>
        <w:pStyle w:val="Caption"/>
      </w:pPr>
      <w:bookmarkStart w:id="8" w:name="_Ref227058560"/>
      <w:r w:rsidRPr="0092538F">
        <w:t>Table</w:t>
      </w:r>
      <w:r>
        <w:t> </w:t>
      </w:r>
      <w:r w:rsidR="00E42A95" w:rsidRPr="0092538F">
        <w:fldChar w:fldCharType="begin"/>
      </w:r>
      <w:r w:rsidR="00E42A95" w:rsidRPr="0092538F">
        <w:instrText xml:space="preserve"> SEQ Table \* ARABIC </w:instrText>
      </w:r>
      <w:r w:rsidR="00E42A95" w:rsidRPr="0092538F">
        <w:fldChar w:fldCharType="separate"/>
      </w:r>
      <w:r w:rsidR="007A5A34">
        <w:rPr>
          <w:noProof/>
        </w:rPr>
        <w:t>3</w:t>
      </w:r>
      <w:r w:rsidR="00E42A95" w:rsidRPr="0092538F">
        <w:fldChar w:fldCharType="end"/>
      </w:r>
      <w:bookmarkEnd w:id="6"/>
      <w:bookmarkEnd w:id="7"/>
      <w:bookmarkEnd w:id="8"/>
      <w:r w:rsidR="00E42A95" w:rsidRPr="0092538F">
        <w:tab/>
      </w:r>
      <w:r w:rsidR="009D7B4B">
        <w:t xml:space="preserve">2026–27 </w:t>
      </w:r>
      <w:r w:rsidR="00E42A95" w:rsidRPr="0092538F">
        <w:t xml:space="preserve">GST impact of the </w:t>
      </w:r>
      <w:r w:rsidR="00D077F5">
        <w:t>U</w:t>
      </w:r>
      <w:r w:rsidR="00E42A95" w:rsidRPr="0092538F">
        <w:t xml:space="preserve">rban </w:t>
      </w:r>
      <w:r w:rsidR="00D077F5">
        <w:t>T</w:t>
      </w:r>
      <w:r w:rsidR="00E42A95" w:rsidRPr="0092538F">
        <w:t xml:space="preserve">ransport </w:t>
      </w:r>
      <w:r w:rsidR="00D077F5">
        <w:t>A</w:t>
      </w:r>
      <w:r w:rsidR="00E42A95" w:rsidRPr="0080383D">
        <w:t>ssessment</w:t>
      </w:r>
    </w:p>
    <w:tbl>
      <w:tblPr>
        <w:tblW w:w="8940" w:type="dxa"/>
        <w:tblBorders>
          <w:bottom w:val="single" w:sz="4" w:space="0" w:color="FADDCA" w:themeColor="accent3" w:themeTint="33"/>
          <w:insideH w:val="single" w:sz="4" w:space="0" w:color="FADDCA" w:themeColor="accent3" w:themeTint="33"/>
        </w:tblBorders>
        <w:tblLook w:val="04A0" w:firstRow="1" w:lastRow="0" w:firstColumn="1" w:lastColumn="0" w:noHBand="0" w:noVBand="1"/>
      </w:tblPr>
      <w:tblGrid>
        <w:gridCol w:w="1620"/>
        <w:gridCol w:w="800"/>
        <w:gridCol w:w="800"/>
        <w:gridCol w:w="880"/>
        <w:gridCol w:w="800"/>
        <w:gridCol w:w="700"/>
        <w:gridCol w:w="700"/>
        <w:gridCol w:w="700"/>
        <w:gridCol w:w="700"/>
        <w:gridCol w:w="1240"/>
      </w:tblGrid>
      <w:tr w:rsidR="0012619E" w:rsidRPr="00830E1C" w14:paraId="295332A9" w14:textId="77777777" w:rsidTr="00E92F17">
        <w:trPr>
          <w:trHeight w:val="552"/>
        </w:trPr>
        <w:tc>
          <w:tcPr>
            <w:tcW w:w="1620" w:type="dxa"/>
            <w:shd w:val="clear" w:color="auto" w:fill="CC5E12" w:themeFill="accent3"/>
            <w:vAlign w:val="center"/>
            <w:hideMark/>
          </w:tcPr>
          <w:p w14:paraId="676F032F" w14:textId="77777777" w:rsidR="00E42A95" w:rsidRPr="00830E1C" w:rsidRDefault="00E42A95" w:rsidP="004B1E93">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9" w:name="_Ref132915296"/>
            <w:bookmarkStart w:id="10" w:name="_Ref138763214"/>
            <w:r w:rsidRPr="00830E1C">
              <w:rPr>
                <w:rFonts w:ascii="Open Sans Semibold" w:eastAsia="Times New Roman" w:hAnsi="Open Sans Semibold" w:cs="Open Sans Semibold"/>
                <w:color w:val="FFFFFF"/>
                <w:sz w:val="16"/>
                <w:szCs w:val="16"/>
                <w:lang w:eastAsia="en-AU"/>
              </w:rPr>
              <w:t> </w:t>
            </w:r>
          </w:p>
        </w:tc>
        <w:tc>
          <w:tcPr>
            <w:tcW w:w="800" w:type="dxa"/>
            <w:shd w:val="clear" w:color="auto" w:fill="CC5E12" w:themeFill="accent3"/>
            <w:vAlign w:val="center"/>
            <w:hideMark/>
          </w:tcPr>
          <w:p w14:paraId="28DA1C22"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NSW</w:t>
            </w:r>
          </w:p>
        </w:tc>
        <w:tc>
          <w:tcPr>
            <w:tcW w:w="800" w:type="dxa"/>
            <w:shd w:val="clear" w:color="auto" w:fill="CC5E12" w:themeFill="accent3"/>
            <w:vAlign w:val="center"/>
            <w:hideMark/>
          </w:tcPr>
          <w:p w14:paraId="52761A12"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Vic</w:t>
            </w:r>
          </w:p>
        </w:tc>
        <w:tc>
          <w:tcPr>
            <w:tcW w:w="880" w:type="dxa"/>
            <w:shd w:val="clear" w:color="auto" w:fill="CC5E12" w:themeFill="accent3"/>
            <w:vAlign w:val="center"/>
            <w:hideMark/>
          </w:tcPr>
          <w:p w14:paraId="17D2F697"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Qld</w:t>
            </w:r>
          </w:p>
        </w:tc>
        <w:tc>
          <w:tcPr>
            <w:tcW w:w="800" w:type="dxa"/>
            <w:shd w:val="clear" w:color="auto" w:fill="CC5E12" w:themeFill="accent3"/>
            <w:vAlign w:val="center"/>
            <w:hideMark/>
          </w:tcPr>
          <w:p w14:paraId="134AAE5D"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WA</w:t>
            </w:r>
          </w:p>
        </w:tc>
        <w:tc>
          <w:tcPr>
            <w:tcW w:w="700" w:type="dxa"/>
            <w:shd w:val="clear" w:color="auto" w:fill="CC5E12" w:themeFill="accent3"/>
            <w:vAlign w:val="center"/>
            <w:hideMark/>
          </w:tcPr>
          <w:p w14:paraId="330FDF68"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SA</w:t>
            </w:r>
          </w:p>
        </w:tc>
        <w:tc>
          <w:tcPr>
            <w:tcW w:w="700" w:type="dxa"/>
            <w:shd w:val="clear" w:color="auto" w:fill="CC5E12" w:themeFill="accent3"/>
            <w:vAlign w:val="center"/>
            <w:hideMark/>
          </w:tcPr>
          <w:p w14:paraId="02FA6669"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Tas</w:t>
            </w:r>
          </w:p>
        </w:tc>
        <w:tc>
          <w:tcPr>
            <w:tcW w:w="700" w:type="dxa"/>
            <w:shd w:val="clear" w:color="auto" w:fill="CC5E12" w:themeFill="accent3"/>
            <w:vAlign w:val="center"/>
            <w:hideMark/>
          </w:tcPr>
          <w:p w14:paraId="5B378483"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ACT</w:t>
            </w:r>
          </w:p>
        </w:tc>
        <w:tc>
          <w:tcPr>
            <w:tcW w:w="700" w:type="dxa"/>
            <w:shd w:val="clear" w:color="auto" w:fill="CC5E12" w:themeFill="accent3"/>
            <w:vAlign w:val="center"/>
            <w:hideMark/>
          </w:tcPr>
          <w:p w14:paraId="7BE38289"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NT</w:t>
            </w:r>
          </w:p>
        </w:tc>
        <w:tc>
          <w:tcPr>
            <w:tcW w:w="1240" w:type="dxa"/>
            <w:shd w:val="clear" w:color="auto" w:fill="CC5E12" w:themeFill="accent3"/>
            <w:vAlign w:val="center"/>
            <w:hideMark/>
          </w:tcPr>
          <w:p w14:paraId="6213B6A8"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30E1C">
              <w:rPr>
                <w:rFonts w:ascii="Open Sans Semibold" w:eastAsia="Times New Roman" w:hAnsi="Open Sans Semibold" w:cs="Open Sans Semibold"/>
                <w:color w:val="FFFFFF"/>
                <w:sz w:val="16"/>
                <w:szCs w:val="16"/>
                <w:lang w:eastAsia="en-AU"/>
              </w:rPr>
              <w:t>Total effect</w:t>
            </w:r>
          </w:p>
        </w:tc>
      </w:tr>
      <w:tr w:rsidR="0012619E" w:rsidRPr="00830E1C" w14:paraId="46991CC2" w14:textId="77777777" w:rsidTr="00D74BF9">
        <w:trPr>
          <w:trHeight w:val="259"/>
        </w:trPr>
        <w:tc>
          <w:tcPr>
            <w:tcW w:w="1620" w:type="dxa"/>
            <w:shd w:val="clear" w:color="auto" w:fill="FAE8CB"/>
            <w:vAlign w:val="bottom"/>
            <w:hideMark/>
          </w:tcPr>
          <w:p w14:paraId="77CB38E2" w14:textId="77777777" w:rsidR="00E42A95" w:rsidRPr="00830E1C"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 </w:t>
            </w:r>
          </w:p>
        </w:tc>
        <w:tc>
          <w:tcPr>
            <w:tcW w:w="800" w:type="dxa"/>
            <w:shd w:val="clear" w:color="auto" w:fill="FAE8CB"/>
            <w:vAlign w:val="bottom"/>
            <w:hideMark/>
          </w:tcPr>
          <w:p w14:paraId="4A523ED8"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800" w:type="dxa"/>
            <w:shd w:val="clear" w:color="auto" w:fill="FAE8CB"/>
            <w:vAlign w:val="bottom"/>
            <w:hideMark/>
          </w:tcPr>
          <w:p w14:paraId="5041D157"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880" w:type="dxa"/>
            <w:shd w:val="clear" w:color="auto" w:fill="FAE8CB"/>
            <w:vAlign w:val="bottom"/>
            <w:hideMark/>
          </w:tcPr>
          <w:p w14:paraId="0808CD87"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800" w:type="dxa"/>
            <w:shd w:val="clear" w:color="auto" w:fill="FAE8CB"/>
            <w:vAlign w:val="bottom"/>
            <w:hideMark/>
          </w:tcPr>
          <w:p w14:paraId="54C15C21"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700" w:type="dxa"/>
            <w:shd w:val="clear" w:color="auto" w:fill="FAE8CB"/>
            <w:vAlign w:val="bottom"/>
            <w:hideMark/>
          </w:tcPr>
          <w:p w14:paraId="18F83EA6"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700" w:type="dxa"/>
            <w:shd w:val="clear" w:color="auto" w:fill="FAE8CB"/>
            <w:vAlign w:val="bottom"/>
            <w:hideMark/>
          </w:tcPr>
          <w:p w14:paraId="068825EC"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700" w:type="dxa"/>
            <w:shd w:val="clear" w:color="auto" w:fill="FAE8CB"/>
            <w:vAlign w:val="bottom"/>
            <w:hideMark/>
          </w:tcPr>
          <w:p w14:paraId="30238A61"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700" w:type="dxa"/>
            <w:shd w:val="clear" w:color="auto" w:fill="FAE8CB"/>
            <w:vAlign w:val="bottom"/>
            <w:hideMark/>
          </w:tcPr>
          <w:p w14:paraId="5E807531"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c>
          <w:tcPr>
            <w:tcW w:w="1240" w:type="dxa"/>
            <w:shd w:val="clear" w:color="auto" w:fill="FAE8CB"/>
            <w:vAlign w:val="bottom"/>
            <w:hideMark/>
          </w:tcPr>
          <w:p w14:paraId="011CBD5C"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($m)</w:t>
            </w:r>
          </w:p>
        </w:tc>
      </w:tr>
      <w:tr w:rsidR="0012619E" w:rsidRPr="00830E1C" w14:paraId="29C0F3A0" w14:textId="77777777" w:rsidTr="00E92F17">
        <w:trPr>
          <w:trHeight w:val="552"/>
        </w:trPr>
        <w:tc>
          <w:tcPr>
            <w:tcW w:w="1620" w:type="dxa"/>
            <w:shd w:val="clear" w:color="000000" w:fill="FFFFFF"/>
            <w:vAlign w:val="bottom"/>
            <w:hideMark/>
          </w:tcPr>
          <w:p w14:paraId="7AF10A01" w14:textId="45BED2F8" w:rsidR="00E42A95" w:rsidRPr="00830E1C" w:rsidRDefault="00E42A95" w:rsidP="004B1E93">
            <w:pPr>
              <w:tabs>
                <w:tab w:val="clear" w:pos="567"/>
              </w:tabs>
              <w:spacing w:before="0" w:line="240" w:lineRule="auto"/>
              <w:rPr>
                <w:rFonts w:eastAsia="Times New Roman" w:cs="Open Sans Light"/>
                <w:color w:val="000000"/>
                <w:sz w:val="16"/>
                <w:szCs w:val="16"/>
                <w:lang w:eastAsia="en-AU"/>
              </w:rPr>
            </w:pPr>
            <w:r w:rsidRPr="00830E1C">
              <w:rPr>
                <w:rFonts w:eastAsia="Times New Roman" w:cs="Open Sans Light"/>
                <w:color w:val="000000"/>
                <w:sz w:val="16"/>
                <w:szCs w:val="16"/>
                <w:lang w:eastAsia="en-AU"/>
              </w:rPr>
              <w:t xml:space="preserve">Recurrent </w:t>
            </w:r>
            <w:r w:rsidR="00D60293">
              <w:rPr>
                <w:rFonts w:eastAsia="Times New Roman" w:cs="Open Sans Light"/>
                <w:color w:val="000000"/>
                <w:sz w:val="16"/>
                <w:szCs w:val="16"/>
                <w:lang w:eastAsia="en-AU"/>
              </w:rPr>
              <w:t>U</w:t>
            </w:r>
            <w:r w:rsidRPr="00830E1C">
              <w:rPr>
                <w:rFonts w:eastAsia="Times New Roman" w:cs="Open Sans Light"/>
                <w:color w:val="000000"/>
                <w:sz w:val="16"/>
                <w:szCs w:val="16"/>
                <w:lang w:eastAsia="en-AU"/>
              </w:rPr>
              <w:t xml:space="preserve">rban </w:t>
            </w:r>
            <w:r w:rsidR="00D60293">
              <w:rPr>
                <w:rFonts w:eastAsia="Times New Roman" w:cs="Open Sans Light"/>
                <w:color w:val="000000"/>
                <w:sz w:val="16"/>
                <w:szCs w:val="16"/>
                <w:lang w:eastAsia="en-AU"/>
              </w:rPr>
              <w:t>T</w:t>
            </w:r>
            <w:r w:rsidRPr="00830E1C">
              <w:rPr>
                <w:rFonts w:eastAsia="Times New Roman" w:cs="Open Sans Light"/>
                <w:color w:val="000000"/>
                <w:sz w:val="16"/>
                <w:szCs w:val="16"/>
                <w:lang w:eastAsia="en-AU"/>
              </w:rPr>
              <w:t>ransport</w:t>
            </w:r>
          </w:p>
        </w:tc>
        <w:tc>
          <w:tcPr>
            <w:tcW w:w="800" w:type="dxa"/>
            <w:shd w:val="clear" w:color="000000" w:fill="FFFFFF"/>
            <w:vAlign w:val="bottom"/>
            <w:hideMark/>
          </w:tcPr>
          <w:p w14:paraId="0C19B144" w14:textId="54E02F1A"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1,0</w:t>
            </w:r>
            <w:r w:rsidR="00C57C1A">
              <w:rPr>
                <w:rFonts w:eastAsia="Times New Roman" w:cs="Open Sans Light"/>
                <w:color w:val="000000"/>
                <w:sz w:val="16"/>
                <w:szCs w:val="16"/>
                <w:lang w:eastAsia="en-AU"/>
              </w:rPr>
              <w:t>1</w:t>
            </w:r>
            <w:r w:rsidR="00C4389F">
              <w:rPr>
                <w:rFonts w:eastAsia="Times New Roman" w:cs="Open Sans Light"/>
                <w:color w:val="000000"/>
                <w:sz w:val="16"/>
                <w:szCs w:val="16"/>
                <w:lang w:eastAsia="en-AU"/>
              </w:rPr>
              <w:t>8</w:t>
            </w:r>
          </w:p>
        </w:tc>
        <w:tc>
          <w:tcPr>
            <w:tcW w:w="800" w:type="dxa"/>
            <w:shd w:val="clear" w:color="000000" w:fill="FFFFFF"/>
            <w:vAlign w:val="bottom"/>
            <w:hideMark/>
          </w:tcPr>
          <w:p w14:paraId="50B23C91" w14:textId="230B7A08" w:rsidR="00E42A95" w:rsidRPr="00830E1C" w:rsidRDefault="00C57C1A" w:rsidP="004B1E93">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52</w:t>
            </w:r>
            <w:r w:rsidR="00C4389F">
              <w:rPr>
                <w:rFonts w:eastAsia="Times New Roman" w:cs="Open Sans Light"/>
                <w:color w:val="000000"/>
                <w:sz w:val="16"/>
                <w:szCs w:val="16"/>
                <w:lang w:eastAsia="en-AU"/>
              </w:rPr>
              <w:t>4</w:t>
            </w:r>
          </w:p>
        </w:tc>
        <w:tc>
          <w:tcPr>
            <w:tcW w:w="880" w:type="dxa"/>
            <w:shd w:val="clear" w:color="000000" w:fill="FFFFFF"/>
            <w:vAlign w:val="bottom"/>
            <w:hideMark/>
          </w:tcPr>
          <w:p w14:paraId="60CA6FB9" w14:textId="5BE2EFD4"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-7</w:t>
            </w:r>
            <w:r w:rsidR="00C57C1A">
              <w:rPr>
                <w:rFonts w:eastAsia="Times New Roman" w:cs="Open Sans Light"/>
                <w:color w:val="000000"/>
                <w:sz w:val="16"/>
                <w:szCs w:val="16"/>
                <w:lang w:eastAsia="en-AU"/>
              </w:rPr>
              <w:t>07</w:t>
            </w:r>
          </w:p>
        </w:tc>
        <w:tc>
          <w:tcPr>
            <w:tcW w:w="800" w:type="dxa"/>
            <w:shd w:val="clear" w:color="000000" w:fill="FFFFFF"/>
            <w:vAlign w:val="bottom"/>
            <w:hideMark/>
          </w:tcPr>
          <w:p w14:paraId="512CFF5F" w14:textId="0526D955"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-1</w:t>
            </w:r>
            <w:r w:rsidR="00C57C1A">
              <w:rPr>
                <w:rFonts w:eastAsia="Times New Roman" w:cs="Open Sans Light"/>
                <w:color w:val="000000"/>
                <w:sz w:val="16"/>
                <w:szCs w:val="16"/>
                <w:lang w:eastAsia="en-AU"/>
              </w:rPr>
              <w:t>8</w:t>
            </w:r>
            <w:r w:rsidR="00C4389F">
              <w:rPr>
                <w:rFonts w:eastAsia="Times New Roman" w:cs="Open Sans Light"/>
                <w:color w:val="000000"/>
                <w:sz w:val="16"/>
                <w:szCs w:val="16"/>
                <w:lang w:eastAsia="en-AU"/>
              </w:rPr>
              <w:t>8</w:t>
            </w:r>
          </w:p>
        </w:tc>
        <w:tc>
          <w:tcPr>
            <w:tcW w:w="700" w:type="dxa"/>
            <w:shd w:val="clear" w:color="000000" w:fill="FFFFFF"/>
            <w:vAlign w:val="bottom"/>
            <w:hideMark/>
          </w:tcPr>
          <w:p w14:paraId="464DC052" w14:textId="5D4B4799"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-2</w:t>
            </w:r>
            <w:r w:rsidR="00C4389F">
              <w:rPr>
                <w:rFonts w:eastAsia="Times New Roman" w:cs="Open Sans Light"/>
                <w:color w:val="000000"/>
                <w:sz w:val="16"/>
                <w:szCs w:val="16"/>
                <w:lang w:eastAsia="en-AU"/>
              </w:rPr>
              <w:t>8</w:t>
            </w:r>
            <w:r w:rsidRPr="00830E1C">
              <w:rPr>
                <w:rFonts w:eastAsia="Times New Roman" w:cs="Open Sans Light"/>
                <w:color w:val="000000"/>
                <w:sz w:val="16"/>
                <w:szCs w:val="16"/>
                <w:lang w:eastAsia="en-AU"/>
              </w:rPr>
              <w:t>3</w:t>
            </w:r>
          </w:p>
        </w:tc>
        <w:tc>
          <w:tcPr>
            <w:tcW w:w="700" w:type="dxa"/>
            <w:shd w:val="clear" w:color="000000" w:fill="FFFFFF"/>
            <w:vAlign w:val="bottom"/>
            <w:hideMark/>
          </w:tcPr>
          <w:p w14:paraId="2FD7D757" w14:textId="6B351FAC"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-2</w:t>
            </w:r>
            <w:r w:rsidR="005D0942">
              <w:rPr>
                <w:rFonts w:eastAsia="Times New Roman" w:cs="Open Sans Light"/>
                <w:color w:val="000000"/>
                <w:sz w:val="16"/>
                <w:szCs w:val="16"/>
                <w:lang w:eastAsia="en-AU"/>
              </w:rPr>
              <w:t>13</w:t>
            </w:r>
          </w:p>
        </w:tc>
        <w:tc>
          <w:tcPr>
            <w:tcW w:w="700" w:type="dxa"/>
            <w:shd w:val="clear" w:color="000000" w:fill="FFFFFF"/>
            <w:vAlign w:val="bottom"/>
            <w:hideMark/>
          </w:tcPr>
          <w:p w14:paraId="066CFE60" w14:textId="3E2862E5"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-4</w:t>
            </w:r>
            <w:r w:rsidR="005D0942">
              <w:rPr>
                <w:rFonts w:eastAsia="Times New Roman" w:cs="Open Sans Light"/>
                <w:color w:val="000000"/>
                <w:sz w:val="16"/>
                <w:szCs w:val="16"/>
                <w:lang w:eastAsia="en-AU"/>
              </w:rPr>
              <w:t>7</w:t>
            </w:r>
          </w:p>
        </w:tc>
        <w:tc>
          <w:tcPr>
            <w:tcW w:w="700" w:type="dxa"/>
            <w:shd w:val="clear" w:color="000000" w:fill="FFFFFF"/>
            <w:vAlign w:val="bottom"/>
            <w:hideMark/>
          </w:tcPr>
          <w:p w14:paraId="1E674D38" w14:textId="57558321"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w:t>
            </w:r>
            <w:r w:rsidR="005D0942">
              <w:rPr>
                <w:rFonts w:eastAsia="Times New Roman" w:cs="Open Sans Light"/>
                <w:color w:val="000000"/>
                <w:sz w:val="16"/>
                <w:szCs w:val="16"/>
                <w:lang w:eastAsia="en-AU"/>
              </w:rPr>
              <w:t>105</w:t>
            </w:r>
          </w:p>
        </w:tc>
        <w:tc>
          <w:tcPr>
            <w:tcW w:w="1240" w:type="dxa"/>
            <w:shd w:val="clear" w:color="000000" w:fill="FFFFFF"/>
            <w:vAlign w:val="bottom"/>
            <w:hideMark/>
          </w:tcPr>
          <w:p w14:paraId="7C0A147D" w14:textId="0535D57A"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1,5</w:t>
            </w:r>
            <w:r w:rsidR="005D0942">
              <w:rPr>
                <w:rFonts w:eastAsia="Times New Roman" w:cs="Open Sans Light"/>
                <w:color w:val="000000"/>
                <w:sz w:val="16"/>
                <w:szCs w:val="16"/>
                <w:lang w:eastAsia="en-AU"/>
              </w:rPr>
              <w:t>4</w:t>
            </w:r>
            <w:r w:rsidRPr="00830E1C">
              <w:rPr>
                <w:rFonts w:eastAsia="Times New Roman" w:cs="Open Sans Light"/>
                <w:color w:val="000000"/>
                <w:sz w:val="16"/>
                <w:szCs w:val="16"/>
                <w:lang w:eastAsia="en-AU"/>
              </w:rPr>
              <w:t>2</w:t>
            </w:r>
          </w:p>
        </w:tc>
      </w:tr>
      <w:tr w:rsidR="0012619E" w:rsidRPr="00830E1C" w14:paraId="7C50DD97" w14:textId="77777777" w:rsidTr="00E92F17">
        <w:trPr>
          <w:trHeight w:val="552"/>
        </w:trPr>
        <w:tc>
          <w:tcPr>
            <w:tcW w:w="1620" w:type="dxa"/>
            <w:shd w:val="clear" w:color="000000" w:fill="FFFFFF"/>
            <w:vAlign w:val="bottom"/>
            <w:hideMark/>
          </w:tcPr>
          <w:p w14:paraId="6A4F1079" w14:textId="43AFD5A9" w:rsidR="00E42A95" w:rsidRPr="00830E1C" w:rsidRDefault="00E42A95" w:rsidP="004B1E93">
            <w:pPr>
              <w:tabs>
                <w:tab w:val="clear" w:pos="567"/>
              </w:tabs>
              <w:spacing w:before="0" w:line="240" w:lineRule="auto"/>
              <w:rPr>
                <w:rFonts w:eastAsia="Times New Roman" w:cs="Open Sans Light"/>
                <w:color w:val="000000"/>
                <w:sz w:val="16"/>
                <w:szCs w:val="16"/>
                <w:lang w:eastAsia="en-AU"/>
              </w:rPr>
            </w:pPr>
            <w:r w:rsidRPr="00830E1C">
              <w:rPr>
                <w:rFonts w:eastAsia="Times New Roman" w:cs="Open Sans Light"/>
                <w:color w:val="000000"/>
                <w:sz w:val="16"/>
                <w:szCs w:val="16"/>
                <w:lang w:eastAsia="en-AU"/>
              </w:rPr>
              <w:t xml:space="preserve">Investment in </w:t>
            </w:r>
            <w:r w:rsidR="00D60293">
              <w:rPr>
                <w:rFonts w:eastAsia="Times New Roman" w:cs="Open Sans Light"/>
                <w:color w:val="000000"/>
                <w:sz w:val="16"/>
                <w:szCs w:val="16"/>
                <w:lang w:eastAsia="en-AU"/>
              </w:rPr>
              <w:t>U</w:t>
            </w:r>
            <w:r w:rsidRPr="00830E1C">
              <w:rPr>
                <w:rFonts w:eastAsia="Times New Roman" w:cs="Open Sans Light"/>
                <w:color w:val="000000"/>
                <w:sz w:val="16"/>
                <w:szCs w:val="16"/>
                <w:lang w:eastAsia="en-AU"/>
              </w:rPr>
              <w:t xml:space="preserve">rban </w:t>
            </w:r>
            <w:r w:rsidR="00D60293">
              <w:rPr>
                <w:rFonts w:eastAsia="Times New Roman" w:cs="Open Sans Light"/>
                <w:color w:val="000000"/>
                <w:sz w:val="16"/>
                <w:szCs w:val="16"/>
                <w:lang w:eastAsia="en-AU"/>
              </w:rPr>
              <w:t>T</w:t>
            </w:r>
            <w:r w:rsidRPr="00830E1C">
              <w:rPr>
                <w:rFonts w:eastAsia="Times New Roman" w:cs="Open Sans Light"/>
                <w:color w:val="000000"/>
                <w:sz w:val="16"/>
                <w:szCs w:val="16"/>
                <w:lang w:eastAsia="en-AU"/>
              </w:rPr>
              <w:t>ransport</w:t>
            </w:r>
          </w:p>
        </w:tc>
        <w:tc>
          <w:tcPr>
            <w:tcW w:w="800" w:type="dxa"/>
            <w:shd w:val="clear" w:color="000000" w:fill="FFFFFF"/>
            <w:vAlign w:val="bottom"/>
            <w:hideMark/>
          </w:tcPr>
          <w:p w14:paraId="7637D981" w14:textId="36A406EC"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1,</w:t>
            </w:r>
            <w:r w:rsidR="005D0942">
              <w:rPr>
                <w:rFonts w:eastAsia="Times New Roman" w:cs="Open Sans Light"/>
                <w:color w:val="000000"/>
                <w:sz w:val="16"/>
                <w:szCs w:val="16"/>
                <w:lang w:eastAsia="en-AU"/>
              </w:rPr>
              <w:t>131</w:t>
            </w:r>
          </w:p>
        </w:tc>
        <w:tc>
          <w:tcPr>
            <w:tcW w:w="800" w:type="dxa"/>
            <w:shd w:val="clear" w:color="000000" w:fill="FFFFFF"/>
            <w:vAlign w:val="bottom"/>
            <w:hideMark/>
          </w:tcPr>
          <w:p w14:paraId="57A02B1D" w14:textId="05CF4450"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1,</w:t>
            </w:r>
            <w:r w:rsidR="005D0942">
              <w:rPr>
                <w:rFonts w:eastAsia="Times New Roman" w:cs="Open Sans Light"/>
                <w:color w:val="000000"/>
                <w:sz w:val="16"/>
                <w:szCs w:val="16"/>
                <w:lang w:eastAsia="en-AU"/>
              </w:rPr>
              <w:t>751</w:t>
            </w:r>
          </w:p>
        </w:tc>
        <w:tc>
          <w:tcPr>
            <w:tcW w:w="880" w:type="dxa"/>
            <w:shd w:val="clear" w:color="000000" w:fill="FFFFFF"/>
            <w:vAlign w:val="bottom"/>
            <w:hideMark/>
          </w:tcPr>
          <w:p w14:paraId="36A2DE1D" w14:textId="6C2F89FE"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-1,</w:t>
            </w:r>
            <w:r w:rsidR="00257DEB">
              <w:rPr>
                <w:rFonts w:eastAsia="Times New Roman" w:cs="Open Sans Light"/>
                <w:color w:val="000000"/>
                <w:sz w:val="16"/>
                <w:szCs w:val="16"/>
                <w:lang w:eastAsia="en-AU"/>
              </w:rPr>
              <w:t>340</w:t>
            </w:r>
          </w:p>
        </w:tc>
        <w:tc>
          <w:tcPr>
            <w:tcW w:w="800" w:type="dxa"/>
            <w:shd w:val="clear" w:color="000000" w:fill="FFFFFF"/>
            <w:vAlign w:val="bottom"/>
            <w:hideMark/>
          </w:tcPr>
          <w:p w14:paraId="212FCB90" w14:textId="718BC34C"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w:t>
            </w:r>
            <w:r w:rsidR="00257DEB">
              <w:rPr>
                <w:rFonts w:eastAsia="Times New Roman" w:cs="Open Sans Light"/>
                <w:color w:val="000000"/>
                <w:sz w:val="16"/>
                <w:szCs w:val="16"/>
                <w:lang w:eastAsia="en-AU"/>
              </w:rPr>
              <w:t>135</w:t>
            </w:r>
          </w:p>
        </w:tc>
        <w:tc>
          <w:tcPr>
            <w:tcW w:w="700" w:type="dxa"/>
            <w:shd w:val="clear" w:color="000000" w:fill="FFFFFF"/>
            <w:vAlign w:val="bottom"/>
            <w:hideMark/>
          </w:tcPr>
          <w:p w14:paraId="41A122A9" w14:textId="7E8B7654"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w:t>
            </w:r>
            <w:r w:rsidR="00D0637D">
              <w:rPr>
                <w:rFonts w:eastAsia="Times New Roman" w:cs="Open Sans Light"/>
                <w:color w:val="000000"/>
                <w:sz w:val="16"/>
                <w:szCs w:val="16"/>
                <w:lang w:eastAsia="en-AU"/>
              </w:rPr>
              <w:t>68</w:t>
            </w:r>
            <w:r w:rsidRPr="00830E1C">
              <w:rPr>
                <w:rFonts w:eastAsia="Times New Roman" w:cs="Open Sans Light"/>
                <w:color w:val="000000"/>
                <w:sz w:val="16"/>
                <w:szCs w:val="16"/>
                <w:lang w:eastAsia="en-AU"/>
              </w:rPr>
              <w:t>7</w:t>
            </w:r>
          </w:p>
        </w:tc>
        <w:tc>
          <w:tcPr>
            <w:tcW w:w="700" w:type="dxa"/>
            <w:shd w:val="clear" w:color="000000" w:fill="FFFFFF"/>
            <w:vAlign w:val="bottom"/>
            <w:hideMark/>
          </w:tcPr>
          <w:p w14:paraId="5DBB94F2" w14:textId="614F54D1"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w:t>
            </w:r>
            <w:r w:rsidR="00D0637D">
              <w:rPr>
                <w:rFonts w:eastAsia="Times New Roman" w:cs="Open Sans Light"/>
                <w:color w:val="000000"/>
                <w:sz w:val="16"/>
                <w:szCs w:val="16"/>
                <w:lang w:eastAsia="en-AU"/>
              </w:rPr>
              <w:t>367</w:t>
            </w:r>
          </w:p>
        </w:tc>
        <w:tc>
          <w:tcPr>
            <w:tcW w:w="700" w:type="dxa"/>
            <w:shd w:val="clear" w:color="000000" w:fill="FFFFFF"/>
            <w:vAlign w:val="bottom"/>
            <w:hideMark/>
          </w:tcPr>
          <w:p w14:paraId="004DE2CE" w14:textId="075CB44A"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w:t>
            </w:r>
            <w:r w:rsidR="006B51AC">
              <w:rPr>
                <w:rFonts w:eastAsia="Times New Roman" w:cs="Open Sans Light"/>
                <w:color w:val="000000"/>
                <w:sz w:val="16"/>
                <w:szCs w:val="16"/>
                <w:lang w:eastAsia="en-AU"/>
              </w:rPr>
              <w:t>188</w:t>
            </w:r>
          </w:p>
        </w:tc>
        <w:tc>
          <w:tcPr>
            <w:tcW w:w="700" w:type="dxa"/>
            <w:shd w:val="clear" w:color="000000" w:fill="FFFFFF"/>
            <w:vAlign w:val="bottom"/>
            <w:hideMark/>
          </w:tcPr>
          <w:p w14:paraId="4702B8F9" w14:textId="27DAABDC"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w:t>
            </w:r>
            <w:r w:rsidR="006B51AC">
              <w:rPr>
                <w:rFonts w:eastAsia="Times New Roman" w:cs="Open Sans Light"/>
                <w:color w:val="000000"/>
                <w:sz w:val="16"/>
                <w:szCs w:val="16"/>
                <w:lang w:eastAsia="en-AU"/>
              </w:rPr>
              <w:t>165</w:t>
            </w:r>
          </w:p>
        </w:tc>
        <w:tc>
          <w:tcPr>
            <w:tcW w:w="1240" w:type="dxa"/>
            <w:shd w:val="clear" w:color="000000" w:fill="FFFFFF"/>
            <w:vAlign w:val="bottom"/>
            <w:hideMark/>
          </w:tcPr>
          <w:p w14:paraId="4E7F14E1" w14:textId="551C90BB" w:rsidR="00E42A95" w:rsidRPr="00830E1C" w:rsidRDefault="00E42A95" w:rsidP="004B1E93">
            <w:pPr>
              <w:tabs>
                <w:tab w:val="clear" w:pos="567"/>
              </w:tabs>
              <w:spacing w:before="0" w:line="240" w:lineRule="auto"/>
              <w:jc w:val="right"/>
              <w:rPr>
                <w:rFonts w:eastAsia="Times New Roman" w:cs="Open Sans Light"/>
                <w:color w:val="000000"/>
                <w:sz w:val="16"/>
                <w:szCs w:val="16"/>
                <w:lang w:eastAsia="en-AU"/>
              </w:rPr>
            </w:pPr>
            <w:r w:rsidRPr="00830E1C">
              <w:rPr>
                <w:rFonts w:eastAsia="Times New Roman" w:cs="Open Sans Light"/>
                <w:color w:val="000000"/>
                <w:sz w:val="16"/>
                <w:szCs w:val="16"/>
                <w:lang w:eastAsia="en-AU"/>
              </w:rPr>
              <w:t>2,</w:t>
            </w:r>
            <w:r w:rsidR="006B51AC">
              <w:rPr>
                <w:rFonts w:eastAsia="Times New Roman" w:cs="Open Sans Light"/>
                <w:color w:val="000000"/>
                <w:sz w:val="16"/>
                <w:szCs w:val="16"/>
                <w:lang w:eastAsia="en-AU"/>
              </w:rPr>
              <w:t>882</w:t>
            </w:r>
          </w:p>
        </w:tc>
      </w:tr>
      <w:tr w:rsidR="00F57A0C" w:rsidRPr="00830E1C" w14:paraId="5709F73D" w14:textId="77777777" w:rsidTr="00F57A0C">
        <w:trPr>
          <w:trHeight w:val="319"/>
        </w:trPr>
        <w:tc>
          <w:tcPr>
            <w:tcW w:w="1620" w:type="dxa"/>
            <w:shd w:val="clear" w:color="auto" w:fill="E09F71"/>
            <w:vAlign w:val="bottom"/>
            <w:hideMark/>
          </w:tcPr>
          <w:p w14:paraId="4551F299" w14:textId="77777777" w:rsidR="00F57A0C" w:rsidRPr="00830E1C" w:rsidRDefault="00F57A0C" w:rsidP="00F57A0C">
            <w:pPr>
              <w:tabs>
                <w:tab w:val="clear" w:pos="567"/>
              </w:tabs>
              <w:spacing w:before="0" w:line="240" w:lineRule="auto"/>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Total</w:t>
            </w:r>
          </w:p>
        </w:tc>
        <w:tc>
          <w:tcPr>
            <w:tcW w:w="800" w:type="dxa"/>
            <w:shd w:val="clear" w:color="auto" w:fill="E09F71"/>
            <w:vAlign w:val="bottom"/>
            <w:hideMark/>
          </w:tcPr>
          <w:p w14:paraId="73D4C473" w14:textId="7B3D70D1"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2,149</w:t>
            </w:r>
          </w:p>
        </w:tc>
        <w:tc>
          <w:tcPr>
            <w:tcW w:w="800" w:type="dxa"/>
            <w:shd w:val="clear" w:color="auto" w:fill="E09F71"/>
            <w:vAlign w:val="bottom"/>
            <w:hideMark/>
          </w:tcPr>
          <w:p w14:paraId="44816D0F" w14:textId="3E13746D"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2,275</w:t>
            </w:r>
          </w:p>
        </w:tc>
        <w:tc>
          <w:tcPr>
            <w:tcW w:w="880" w:type="dxa"/>
            <w:shd w:val="clear" w:color="auto" w:fill="E09F71"/>
            <w:vAlign w:val="bottom"/>
            <w:hideMark/>
          </w:tcPr>
          <w:p w14:paraId="3441A6E6" w14:textId="0B663DDC"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-2,047</w:t>
            </w:r>
          </w:p>
        </w:tc>
        <w:tc>
          <w:tcPr>
            <w:tcW w:w="800" w:type="dxa"/>
            <w:shd w:val="clear" w:color="auto" w:fill="E09F71"/>
            <w:vAlign w:val="bottom"/>
            <w:hideMark/>
          </w:tcPr>
          <w:p w14:paraId="55ACA636" w14:textId="6C5FE69A"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-323</w:t>
            </w:r>
          </w:p>
        </w:tc>
        <w:tc>
          <w:tcPr>
            <w:tcW w:w="700" w:type="dxa"/>
            <w:shd w:val="clear" w:color="auto" w:fill="E09F71"/>
            <w:vAlign w:val="bottom"/>
            <w:hideMark/>
          </w:tcPr>
          <w:p w14:paraId="5B714B98" w14:textId="361E9F4D"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-970</w:t>
            </w:r>
          </w:p>
        </w:tc>
        <w:tc>
          <w:tcPr>
            <w:tcW w:w="700" w:type="dxa"/>
            <w:shd w:val="clear" w:color="auto" w:fill="E09F71"/>
            <w:vAlign w:val="bottom"/>
            <w:hideMark/>
          </w:tcPr>
          <w:p w14:paraId="246DE83A" w14:textId="4FD22277"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-580</w:t>
            </w:r>
          </w:p>
        </w:tc>
        <w:tc>
          <w:tcPr>
            <w:tcW w:w="700" w:type="dxa"/>
            <w:shd w:val="clear" w:color="auto" w:fill="E09F71"/>
            <w:vAlign w:val="bottom"/>
            <w:hideMark/>
          </w:tcPr>
          <w:p w14:paraId="2772C307" w14:textId="4B8112BC"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-234</w:t>
            </w:r>
          </w:p>
        </w:tc>
        <w:tc>
          <w:tcPr>
            <w:tcW w:w="700" w:type="dxa"/>
            <w:shd w:val="clear" w:color="auto" w:fill="E09F71"/>
            <w:vAlign w:val="bottom"/>
            <w:hideMark/>
          </w:tcPr>
          <w:p w14:paraId="78B0A1BB" w14:textId="31B89887"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-270</w:t>
            </w:r>
          </w:p>
        </w:tc>
        <w:tc>
          <w:tcPr>
            <w:tcW w:w="1240" w:type="dxa"/>
            <w:shd w:val="clear" w:color="auto" w:fill="E09F71"/>
            <w:vAlign w:val="bottom"/>
            <w:hideMark/>
          </w:tcPr>
          <w:p w14:paraId="2B3979FF" w14:textId="579C5690" w:rsidR="00F57A0C" w:rsidRPr="00830E1C" w:rsidRDefault="00F57A0C" w:rsidP="00F57A0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57A0C">
              <w:rPr>
                <w:rFonts w:ascii="Open Sans Semibold" w:hAnsi="Open Sans Semibold" w:cs="Open Sans Semibold"/>
                <w:sz w:val="16"/>
                <w:szCs w:val="18"/>
              </w:rPr>
              <w:t>4,424</w:t>
            </w:r>
          </w:p>
        </w:tc>
      </w:tr>
      <w:tr w:rsidR="0012619E" w:rsidRPr="00830E1C" w14:paraId="306031B4" w14:textId="77777777" w:rsidTr="00D74BF9">
        <w:trPr>
          <w:trHeight w:val="259"/>
        </w:trPr>
        <w:tc>
          <w:tcPr>
            <w:tcW w:w="1620" w:type="dxa"/>
            <w:shd w:val="clear" w:color="auto" w:fill="FAE8CB"/>
            <w:vAlign w:val="bottom"/>
            <w:hideMark/>
          </w:tcPr>
          <w:p w14:paraId="345EC391" w14:textId="77777777" w:rsidR="00E42A95" w:rsidRPr="00830E1C" w:rsidRDefault="00E42A95" w:rsidP="004B1E93">
            <w:pPr>
              <w:tabs>
                <w:tab w:val="clear" w:pos="567"/>
              </w:tabs>
              <w:spacing w:before="0" w:line="240" w:lineRule="auto"/>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 </w:t>
            </w:r>
          </w:p>
        </w:tc>
        <w:tc>
          <w:tcPr>
            <w:tcW w:w="800" w:type="dxa"/>
            <w:shd w:val="clear" w:color="auto" w:fill="FAE8CB"/>
            <w:vAlign w:val="bottom"/>
            <w:hideMark/>
          </w:tcPr>
          <w:p w14:paraId="32815470"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800" w:type="dxa"/>
            <w:shd w:val="clear" w:color="auto" w:fill="FAE8CB"/>
            <w:vAlign w:val="bottom"/>
            <w:hideMark/>
          </w:tcPr>
          <w:p w14:paraId="26912076"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880" w:type="dxa"/>
            <w:shd w:val="clear" w:color="auto" w:fill="FAE8CB"/>
            <w:vAlign w:val="bottom"/>
            <w:hideMark/>
          </w:tcPr>
          <w:p w14:paraId="28970531"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800" w:type="dxa"/>
            <w:shd w:val="clear" w:color="auto" w:fill="FAE8CB"/>
            <w:vAlign w:val="bottom"/>
            <w:hideMark/>
          </w:tcPr>
          <w:p w14:paraId="44AEF6BA"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700" w:type="dxa"/>
            <w:shd w:val="clear" w:color="auto" w:fill="FAE8CB"/>
            <w:vAlign w:val="bottom"/>
            <w:hideMark/>
          </w:tcPr>
          <w:p w14:paraId="073C13D1"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700" w:type="dxa"/>
            <w:shd w:val="clear" w:color="auto" w:fill="FAE8CB"/>
            <w:vAlign w:val="bottom"/>
            <w:hideMark/>
          </w:tcPr>
          <w:p w14:paraId="26D0EF07"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700" w:type="dxa"/>
            <w:shd w:val="clear" w:color="auto" w:fill="FAE8CB"/>
            <w:vAlign w:val="bottom"/>
            <w:hideMark/>
          </w:tcPr>
          <w:p w14:paraId="386E9890"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700" w:type="dxa"/>
            <w:shd w:val="clear" w:color="auto" w:fill="FAE8CB"/>
            <w:vAlign w:val="bottom"/>
            <w:hideMark/>
          </w:tcPr>
          <w:p w14:paraId="05DFAEEC"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c>
          <w:tcPr>
            <w:tcW w:w="1240" w:type="dxa"/>
            <w:shd w:val="clear" w:color="auto" w:fill="FAE8CB"/>
            <w:vAlign w:val="bottom"/>
            <w:hideMark/>
          </w:tcPr>
          <w:p w14:paraId="714648B5" w14:textId="77777777" w:rsidR="00E42A95" w:rsidRPr="00830E1C" w:rsidRDefault="00E42A95" w:rsidP="004B1E9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($pc)</w:t>
            </w:r>
          </w:p>
        </w:tc>
      </w:tr>
      <w:tr w:rsidR="0012619E" w:rsidRPr="00830E1C" w14:paraId="51B9AC10" w14:textId="77777777" w:rsidTr="0012619E">
        <w:trPr>
          <w:trHeight w:val="552"/>
        </w:trPr>
        <w:tc>
          <w:tcPr>
            <w:tcW w:w="1620" w:type="dxa"/>
            <w:shd w:val="clear" w:color="000000" w:fill="FFFFFF"/>
            <w:vAlign w:val="bottom"/>
            <w:hideMark/>
          </w:tcPr>
          <w:p w14:paraId="755F9A3C" w14:textId="10B410F0" w:rsidR="0012619E" w:rsidRPr="00830E1C" w:rsidRDefault="0012619E" w:rsidP="0012619E">
            <w:pPr>
              <w:tabs>
                <w:tab w:val="clear" w:pos="567"/>
              </w:tabs>
              <w:spacing w:before="0" w:line="240" w:lineRule="auto"/>
              <w:rPr>
                <w:rFonts w:eastAsia="Times New Roman" w:cs="Open Sans Light"/>
                <w:color w:val="000000"/>
                <w:sz w:val="16"/>
                <w:szCs w:val="16"/>
                <w:lang w:eastAsia="en-AU"/>
              </w:rPr>
            </w:pPr>
            <w:r w:rsidRPr="00830E1C">
              <w:rPr>
                <w:rFonts w:eastAsia="Times New Roman" w:cs="Open Sans Light"/>
                <w:color w:val="000000"/>
                <w:sz w:val="16"/>
                <w:szCs w:val="16"/>
                <w:lang w:eastAsia="en-AU"/>
              </w:rPr>
              <w:t xml:space="preserve">Recurrent </w:t>
            </w:r>
            <w:r w:rsidR="00D60293">
              <w:rPr>
                <w:rFonts w:eastAsia="Times New Roman" w:cs="Open Sans Light"/>
                <w:color w:val="000000"/>
                <w:sz w:val="16"/>
                <w:szCs w:val="16"/>
                <w:lang w:eastAsia="en-AU"/>
              </w:rPr>
              <w:t>U</w:t>
            </w:r>
            <w:r w:rsidRPr="00830E1C">
              <w:rPr>
                <w:rFonts w:eastAsia="Times New Roman" w:cs="Open Sans Light"/>
                <w:color w:val="000000"/>
                <w:sz w:val="16"/>
                <w:szCs w:val="16"/>
                <w:lang w:eastAsia="en-AU"/>
              </w:rPr>
              <w:t xml:space="preserve">rban </w:t>
            </w:r>
            <w:r w:rsidR="00D60293">
              <w:rPr>
                <w:rFonts w:eastAsia="Times New Roman" w:cs="Open Sans Light"/>
                <w:color w:val="000000"/>
                <w:sz w:val="16"/>
                <w:szCs w:val="16"/>
                <w:lang w:eastAsia="en-AU"/>
              </w:rPr>
              <w:t>T</w:t>
            </w:r>
            <w:r w:rsidRPr="00830E1C">
              <w:rPr>
                <w:rFonts w:eastAsia="Times New Roman" w:cs="Open Sans Light"/>
                <w:color w:val="000000"/>
                <w:sz w:val="16"/>
                <w:szCs w:val="16"/>
                <w:lang w:eastAsia="en-AU"/>
              </w:rPr>
              <w:t>ransport</w:t>
            </w:r>
          </w:p>
        </w:tc>
        <w:tc>
          <w:tcPr>
            <w:tcW w:w="800" w:type="dxa"/>
            <w:shd w:val="clear" w:color="000000" w:fill="FFFFFF"/>
            <w:vAlign w:val="bottom"/>
            <w:hideMark/>
          </w:tcPr>
          <w:p w14:paraId="6FACD373" w14:textId="25C91679"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117</w:t>
            </w:r>
          </w:p>
        </w:tc>
        <w:tc>
          <w:tcPr>
            <w:tcW w:w="800" w:type="dxa"/>
            <w:shd w:val="clear" w:color="000000" w:fill="FFFFFF"/>
            <w:vAlign w:val="bottom"/>
            <w:hideMark/>
          </w:tcPr>
          <w:p w14:paraId="5438D318" w14:textId="10FFC835"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73</w:t>
            </w:r>
          </w:p>
        </w:tc>
        <w:tc>
          <w:tcPr>
            <w:tcW w:w="880" w:type="dxa"/>
            <w:shd w:val="clear" w:color="000000" w:fill="FFFFFF"/>
            <w:vAlign w:val="bottom"/>
            <w:hideMark/>
          </w:tcPr>
          <w:p w14:paraId="23072459" w14:textId="3FB05F03"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-122</w:t>
            </w:r>
          </w:p>
        </w:tc>
        <w:tc>
          <w:tcPr>
            <w:tcW w:w="800" w:type="dxa"/>
            <w:shd w:val="clear" w:color="000000" w:fill="FFFFFF"/>
            <w:vAlign w:val="bottom"/>
            <w:hideMark/>
          </w:tcPr>
          <w:p w14:paraId="640A41FF" w14:textId="776E44CD"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-60</w:t>
            </w:r>
          </w:p>
        </w:tc>
        <w:tc>
          <w:tcPr>
            <w:tcW w:w="700" w:type="dxa"/>
            <w:shd w:val="clear" w:color="000000" w:fill="FFFFFF"/>
            <w:vAlign w:val="bottom"/>
            <w:hideMark/>
          </w:tcPr>
          <w:p w14:paraId="7892C167" w14:textId="5C525645"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-147</w:t>
            </w:r>
          </w:p>
        </w:tc>
        <w:tc>
          <w:tcPr>
            <w:tcW w:w="700" w:type="dxa"/>
            <w:shd w:val="clear" w:color="000000" w:fill="FFFFFF"/>
            <w:vAlign w:val="bottom"/>
            <w:hideMark/>
          </w:tcPr>
          <w:p w14:paraId="31129098" w14:textId="5857987B"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-369</w:t>
            </w:r>
          </w:p>
        </w:tc>
        <w:tc>
          <w:tcPr>
            <w:tcW w:w="700" w:type="dxa"/>
            <w:shd w:val="clear" w:color="000000" w:fill="FFFFFF"/>
            <w:vAlign w:val="bottom"/>
            <w:hideMark/>
          </w:tcPr>
          <w:p w14:paraId="3041DA95" w14:textId="156106F8"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-94</w:t>
            </w:r>
          </w:p>
        </w:tc>
        <w:tc>
          <w:tcPr>
            <w:tcW w:w="700" w:type="dxa"/>
            <w:shd w:val="clear" w:color="000000" w:fill="FFFFFF"/>
            <w:vAlign w:val="bottom"/>
            <w:hideMark/>
          </w:tcPr>
          <w:p w14:paraId="696B44EB" w14:textId="4655068D"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-391</w:t>
            </w:r>
          </w:p>
        </w:tc>
        <w:tc>
          <w:tcPr>
            <w:tcW w:w="1240" w:type="dxa"/>
            <w:shd w:val="clear" w:color="000000" w:fill="FFFFFF"/>
            <w:vAlign w:val="bottom"/>
            <w:hideMark/>
          </w:tcPr>
          <w:p w14:paraId="533FCD74" w14:textId="77777777"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55</w:t>
            </w:r>
          </w:p>
        </w:tc>
      </w:tr>
      <w:tr w:rsidR="0012619E" w:rsidRPr="00830E1C" w14:paraId="373A1A27" w14:textId="77777777" w:rsidTr="0012619E">
        <w:trPr>
          <w:trHeight w:val="552"/>
        </w:trPr>
        <w:tc>
          <w:tcPr>
            <w:tcW w:w="1620" w:type="dxa"/>
            <w:shd w:val="clear" w:color="000000" w:fill="FFFFFF"/>
            <w:vAlign w:val="bottom"/>
            <w:hideMark/>
          </w:tcPr>
          <w:p w14:paraId="5B0AC23E" w14:textId="76EB727B" w:rsidR="0012619E" w:rsidRPr="00830E1C" w:rsidRDefault="0012619E" w:rsidP="0012619E">
            <w:pPr>
              <w:tabs>
                <w:tab w:val="clear" w:pos="567"/>
              </w:tabs>
              <w:spacing w:before="0" w:line="240" w:lineRule="auto"/>
              <w:rPr>
                <w:rFonts w:eastAsia="Times New Roman" w:cs="Open Sans Light"/>
                <w:color w:val="000000"/>
                <w:sz w:val="16"/>
                <w:szCs w:val="16"/>
                <w:lang w:eastAsia="en-AU"/>
              </w:rPr>
            </w:pPr>
            <w:r w:rsidRPr="00830E1C">
              <w:rPr>
                <w:rFonts w:eastAsia="Times New Roman" w:cs="Open Sans Light"/>
                <w:color w:val="000000"/>
                <w:sz w:val="16"/>
                <w:szCs w:val="16"/>
                <w:lang w:eastAsia="en-AU"/>
              </w:rPr>
              <w:t xml:space="preserve">Investment in </w:t>
            </w:r>
            <w:r w:rsidR="00D60293">
              <w:rPr>
                <w:rFonts w:eastAsia="Times New Roman" w:cs="Open Sans Light"/>
                <w:color w:val="000000"/>
                <w:sz w:val="16"/>
                <w:szCs w:val="16"/>
                <w:lang w:eastAsia="en-AU"/>
              </w:rPr>
              <w:t>U</w:t>
            </w:r>
            <w:r w:rsidRPr="00830E1C">
              <w:rPr>
                <w:rFonts w:eastAsia="Times New Roman" w:cs="Open Sans Light"/>
                <w:color w:val="000000"/>
                <w:sz w:val="16"/>
                <w:szCs w:val="16"/>
                <w:lang w:eastAsia="en-AU"/>
              </w:rPr>
              <w:t xml:space="preserve">rban </w:t>
            </w:r>
            <w:r w:rsidR="00D60293">
              <w:rPr>
                <w:rFonts w:eastAsia="Times New Roman" w:cs="Open Sans Light"/>
                <w:color w:val="000000"/>
                <w:sz w:val="16"/>
                <w:szCs w:val="16"/>
                <w:lang w:eastAsia="en-AU"/>
              </w:rPr>
              <w:t>T</w:t>
            </w:r>
            <w:r w:rsidRPr="00830E1C">
              <w:rPr>
                <w:rFonts w:eastAsia="Times New Roman" w:cs="Open Sans Light"/>
                <w:color w:val="000000"/>
                <w:sz w:val="16"/>
                <w:szCs w:val="16"/>
                <w:lang w:eastAsia="en-AU"/>
              </w:rPr>
              <w:t>ransport</w:t>
            </w:r>
          </w:p>
        </w:tc>
        <w:tc>
          <w:tcPr>
            <w:tcW w:w="800" w:type="dxa"/>
            <w:shd w:val="clear" w:color="000000" w:fill="FFFFFF"/>
            <w:vAlign w:val="bottom"/>
            <w:hideMark/>
          </w:tcPr>
          <w:p w14:paraId="46CABBF6" w14:textId="13205A39"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129</w:t>
            </w:r>
          </w:p>
        </w:tc>
        <w:tc>
          <w:tcPr>
            <w:tcW w:w="800" w:type="dxa"/>
            <w:shd w:val="clear" w:color="000000" w:fill="FFFFFF"/>
            <w:vAlign w:val="bottom"/>
            <w:hideMark/>
          </w:tcPr>
          <w:p w14:paraId="6A99945F" w14:textId="3CD6A189"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242</w:t>
            </w:r>
          </w:p>
        </w:tc>
        <w:tc>
          <w:tcPr>
            <w:tcW w:w="880" w:type="dxa"/>
            <w:shd w:val="clear" w:color="000000" w:fill="FFFFFF"/>
            <w:vAlign w:val="bottom"/>
            <w:hideMark/>
          </w:tcPr>
          <w:p w14:paraId="20DDEFB5" w14:textId="6C39D40C"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-231</w:t>
            </w:r>
          </w:p>
        </w:tc>
        <w:tc>
          <w:tcPr>
            <w:tcW w:w="800" w:type="dxa"/>
            <w:shd w:val="clear" w:color="000000" w:fill="FFFFFF"/>
            <w:vAlign w:val="bottom"/>
            <w:hideMark/>
          </w:tcPr>
          <w:p w14:paraId="7D41BB82" w14:textId="0188C806"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-43</w:t>
            </w:r>
          </w:p>
        </w:tc>
        <w:tc>
          <w:tcPr>
            <w:tcW w:w="700" w:type="dxa"/>
            <w:shd w:val="clear" w:color="000000" w:fill="FFFFFF"/>
            <w:vAlign w:val="bottom"/>
            <w:hideMark/>
          </w:tcPr>
          <w:p w14:paraId="5DC35260" w14:textId="5DC48CBA"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-357</w:t>
            </w:r>
          </w:p>
        </w:tc>
        <w:tc>
          <w:tcPr>
            <w:tcW w:w="700" w:type="dxa"/>
            <w:shd w:val="clear" w:color="000000" w:fill="FFFFFF"/>
            <w:vAlign w:val="bottom"/>
            <w:hideMark/>
          </w:tcPr>
          <w:p w14:paraId="293C194C" w14:textId="33818984"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-635</w:t>
            </w:r>
          </w:p>
        </w:tc>
        <w:tc>
          <w:tcPr>
            <w:tcW w:w="700" w:type="dxa"/>
            <w:shd w:val="clear" w:color="000000" w:fill="FFFFFF"/>
            <w:vAlign w:val="bottom"/>
            <w:hideMark/>
          </w:tcPr>
          <w:p w14:paraId="01A34C15" w14:textId="0B8556D6"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-380</w:t>
            </w:r>
          </w:p>
        </w:tc>
        <w:tc>
          <w:tcPr>
            <w:tcW w:w="700" w:type="dxa"/>
            <w:shd w:val="clear" w:color="000000" w:fill="FFFFFF"/>
            <w:vAlign w:val="bottom"/>
            <w:hideMark/>
          </w:tcPr>
          <w:p w14:paraId="70AA8270" w14:textId="46E91A60"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-612</w:t>
            </w:r>
          </w:p>
        </w:tc>
        <w:tc>
          <w:tcPr>
            <w:tcW w:w="1240" w:type="dxa"/>
            <w:shd w:val="clear" w:color="000000" w:fill="FFFFFF"/>
            <w:vAlign w:val="bottom"/>
            <w:hideMark/>
          </w:tcPr>
          <w:p w14:paraId="585B0776" w14:textId="2B3D87DE" w:rsidR="0012619E" w:rsidRPr="00830E1C" w:rsidRDefault="0012619E" w:rsidP="0012619E">
            <w:pPr>
              <w:tabs>
                <w:tab w:val="clear" w:pos="567"/>
              </w:tabs>
              <w:spacing w:before="0" w:line="240" w:lineRule="auto"/>
              <w:jc w:val="right"/>
              <w:rPr>
                <w:rFonts w:eastAsia="Times New Roman" w:cs="Open Sans Light"/>
                <w:color w:val="000000"/>
                <w:sz w:val="16"/>
                <w:szCs w:val="16"/>
                <w:lang w:eastAsia="en-AU"/>
              </w:rPr>
            </w:pPr>
            <w:r w:rsidRPr="0012619E">
              <w:rPr>
                <w:sz w:val="16"/>
                <w:szCs w:val="18"/>
              </w:rPr>
              <w:t>102</w:t>
            </w:r>
          </w:p>
        </w:tc>
      </w:tr>
      <w:tr w:rsidR="0012619E" w:rsidRPr="00830E1C" w14:paraId="2D639CCC" w14:textId="77777777" w:rsidTr="0012619E">
        <w:trPr>
          <w:trHeight w:val="319"/>
        </w:trPr>
        <w:tc>
          <w:tcPr>
            <w:tcW w:w="1620" w:type="dxa"/>
            <w:shd w:val="clear" w:color="auto" w:fill="E09F71"/>
            <w:vAlign w:val="bottom"/>
            <w:hideMark/>
          </w:tcPr>
          <w:p w14:paraId="4B0A0D4E" w14:textId="77777777" w:rsidR="0012619E" w:rsidRPr="00830E1C" w:rsidRDefault="0012619E" w:rsidP="0012619E">
            <w:pPr>
              <w:tabs>
                <w:tab w:val="clear" w:pos="567"/>
              </w:tabs>
              <w:spacing w:before="0" w:line="240" w:lineRule="auto"/>
              <w:rPr>
                <w:rFonts w:ascii="Open Sans Semibold" w:eastAsia="Times New Roman" w:hAnsi="Open Sans Semibold" w:cs="Open Sans Semibold"/>
                <w:color w:val="000000"/>
                <w:sz w:val="16"/>
                <w:szCs w:val="16"/>
                <w:lang w:eastAsia="en-AU"/>
              </w:rPr>
            </w:pPr>
            <w:r w:rsidRPr="00830E1C">
              <w:rPr>
                <w:rFonts w:ascii="Open Sans Semibold" w:eastAsia="Times New Roman" w:hAnsi="Open Sans Semibold" w:cs="Open Sans Semibold"/>
                <w:color w:val="000000"/>
                <w:sz w:val="16"/>
                <w:szCs w:val="16"/>
                <w:lang w:eastAsia="en-AU"/>
              </w:rPr>
              <w:t>Total</w:t>
            </w:r>
          </w:p>
        </w:tc>
        <w:tc>
          <w:tcPr>
            <w:tcW w:w="800" w:type="dxa"/>
            <w:shd w:val="clear" w:color="auto" w:fill="E09F71"/>
            <w:vAlign w:val="bottom"/>
            <w:hideMark/>
          </w:tcPr>
          <w:p w14:paraId="5BAD3995" w14:textId="66AE3CCF"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246</w:t>
            </w:r>
          </w:p>
        </w:tc>
        <w:tc>
          <w:tcPr>
            <w:tcW w:w="800" w:type="dxa"/>
            <w:shd w:val="clear" w:color="auto" w:fill="E09F71"/>
            <w:vAlign w:val="bottom"/>
            <w:hideMark/>
          </w:tcPr>
          <w:p w14:paraId="1F86F793" w14:textId="076FD3EA"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315</w:t>
            </w:r>
          </w:p>
        </w:tc>
        <w:tc>
          <w:tcPr>
            <w:tcW w:w="880" w:type="dxa"/>
            <w:shd w:val="clear" w:color="auto" w:fill="E09F71"/>
            <w:vAlign w:val="bottom"/>
            <w:hideMark/>
          </w:tcPr>
          <w:p w14:paraId="17D49234" w14:textId="682164AA"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-353</w:t>
            </w:r>
          </w:p>
        </w:tc>
        <w:tc>
          <w:tcPr>
            <w:tcW w:w="800" w:type="dxa"/>
            <w:shd w:val="clear" w:color="auto" w:fill="E09F71"/>
            <w:vAlign w:val="bottom"/>
            <w:hideMark/>
          </w:tcPr>
          <w:p w14:paraId="50F99986" w14:textId="641FB17C"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-103</w:t>
            </w:r>
          </w:p>
        </w:tc>
        <w:tc>
          <w:tcPr>
            <w:tcW w:w="700" w:type="dxa"/>
            <w:shd w:val="clear" w:color="auto" w:fill="E09F71"/>
            <w:vAlign w:val="bottom"/>
            <w:hideMark/>
          </w:tcPr>
          <w:p w14:paraId="12839235" w14:textId="2EE8D92F"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-504</w:t>
            </w:r>
          </w:p>
        </w:tc>
        <w:tc>
          <w:tcPr>
            <w:tcW w:w="700" w:type="dxa"/>
            <w:shd w:val="clear" w:color="auto" w:fill="E09F71"/>
            <w:vAlign w:val="bottom"/>
            <w:hideMark/>
          </w:tcPr>
          <w:p w14:paraId="5C8CBDA4" w14:textId="35E0B292"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-1,004</w:t>
            </w:r>
          </w:p>
        </w:tc>
        <w:tc>
          <w:tcPr>
            <w:tcW w:w="700" w:type="dxa"/>
            <w:shd w:val="clear" w:color="auto" w:fill="E09F71"/>
            <w:vAlign w:val="bottom"/>
            <w:hideMark/>
          </w:tcPr>
          <w:p w14:paraId="1E5413DF" w14:textId="082F645B"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-474</w:t>
            </w:r>
          </w:p>
        </w:tc>
        <w:tc>
          <w:tcPr>
            <w:tcW w:w="700" w:type="dxa"/>
            <w:shd w:val="clear" w:color="auto" w:fill="E09F71"/>
            <w:vAlign w:val="bottom"/>
            <w:hideMark/>
          </w:tcPr>
          <w:p w14:paraId="1A8B1CF1" w14:textId="1D29BE51"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-1,003</w:t>
            </w:r>
          </w:p>
        </w:tc>
        <w:tc>
          <w:tcPr>
            <w:tcW w:w="1240" w:type="dxa"/>
            <w:shd w:val="clear" w:color="auto" w:fill="E09F71"/>
            <w:vAlign w:val="bottom"/>
            <w:hideMark/>
          </w:tcPr>
          <w:p w14:paraId="65E2159A" w14:textId="2046CA94" w:rsidR="0012619E" w:rsidRPr="00830E1C" w:rsidRDefault="0012619E" w:rsidP="0012619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2619E">
              <w:rPr>
                <w:rFonts w:ascii="Open Sans Semibold" w:hAnsi="Open Sans Semibold" w:cs="Open Sans Semibold"/>
                <w:sz w:val="16"/>
                <w:szCs w:val="18"/>
              </w:rPr>
              <w:t>157</w:t>
            </w:r>
          </w:p>
        </w:tc>
      </w:tr>
    </w:tbl>
    <w:p w14:paraId="61830E81" w14:textId="77777777" w:rsidR="00E42A95" w:rsidRPr="004445B3" w:rsidRDefault="00E42A95" w:rsidP="00E42A95">
      <w:pPr>
        <w:pStyle w:val="CGCTablenote"/>
        <w:ind w:left="510" w:hanging="397"/>
      </w:pPr>
      <w:r w:rsidRPr="004445B3">
        <w:t xml:space="preserve">Note: Total effect shows ‘gross impacts’ (the positive or negative impact for each state). These cancel each other out because GST distribution is zero sum. </w:t>
      </w:r>
    </w:p>
    <w:p w14:paraId="7BD0673E" w14:textId="77777777" w:rsidR="00E42A95" w:rsidRDefault="00E42A95" w:rsidP="00E42A95">
      <w:pPr>
        <w:tabs>
          <w:tab w:val="clear" w:pos="567"/>
        </w:tabs>
        <w:spacing w:before="0" w:line="240" w:lineRule="auto"/>
        <w:rPr>
          <w:rFonts w:ascii="Work Sans" w:hAnsi="Work Sans"/>
          <w:color w:val="171717" w:themeColor="background2" w:themeShade="1A"/>
          <w:szCs w:val="20"/>
        </w:rPr>
      </w:pPr>
      <w:r>
        <w:br w:type="page"/>
      </w:r>
    </w:p>
    <w:bookmarkEnd w:id="9"/>
    <w:bookmarkEnd w:id="10"/>
    <w:p w14:paraId="0447F3A5" w14:textId="633CA932" w:rsidR="0080519B" w:rsidRPr="007A5FE7" w:rsidRDefault="0080519B" w:rsidP="0080519B">
      <w:pPr>
        <w:pStyle w:val="FWPNormal"/>
      </w:pPr>
      <w:r>
        <w:lastRenderedPageBreak/>
        <w:t>T</w:t>
      </w:r>
      <w:r w:rsidRPr="007A5FE7">
        <w:t>he Commission assess</w:t>
      </w:r>
      <w:r>
        <w:t>es</w:t>
      </w:r>
      <w:r w:rsidRPr="007A5FE7">
        <w:t xml:space="preserve"> </w:t>
      </w:r>
      <w:r w:rsidR="001B5DAA">
        <w:t>u</w:t>
      </w:r>
      <w:r w:rsidRPr="007A5FE7">
        <w:t xml:space="preserve">rban </w:t>
      </w:r>
      <w:r w:rsidR="001B5DAA">
        <w:t>t</w:t>
      </w:r>
      <w:r w:rsidRPr="007A5FE7">
        <w:t xml:space="preserve">ransport </w:t>
      </w:r>
      <w:r>
        <w:t>expenses using</w:t>
      </w:r>
      <w:r w:rsidRPr="007A5FE7">
        <w:t xml:space="preserve"> a statistical model of city characteristics. The </w:t>
      </w:r>
      <w:r>
        <w:t>modelled</w:t>
      </w:r>
      <w:r w:rsidRPr="007A5FE7">
        <w:t xml:space="preserve"> characteristics re</w:t>
      </w:r>
      <w:r w:rsidR="00CA1458">
        <w:t>present</w:t>
      </w:r>
      <w:r w:rsidRPr="007A5FE7">
        <w:t xml:space="preserve"> the </w:t>
      </w:r>
      <w:r>
        <w:t>Commission’s understanding of the key</w:t>
      </w:r>
      <w:r w:rsidRPr="007A5FE7">
        <w:t xml:space="preserve"> non-policy drivers of public transport service provision. They are:</w:t>
      </w:r>
    </w:p>
    <w:p w14:paraId="575AA73B" w14:textId="77777777" w:rsidR="0080519B" w:rsidRPr="007A5FE7" w:rsidRDefault="0080519B" w:rsidP="0080519B">
      <w:pPr>
        <w:pStyle w:val="CGCBullet1"/>
      </w:pPr>
      <w:r w:rsidRPr="007A5FE7">
        <w:t>the demand for public transport, measured by population density</w:t>
      </w:r>
    </w:p>
    <w:p w14:paraId="4BCE554E" w14:textId="77777777" w:rsidR="0080519B" w:rsidRPr="007A5FE7" w:rsidRDefault="0080519B" w:rsidP="0080519B">
      <w:pPr>
        <w:pStyle w:val="CGCBullet1"/>
      </w:pPr>
      <w:r w:rsidRPr="007A5FE7">
        <w:t>the supply of public transport, measured by heavy rail, and bus/light rail passenger numbers</w:t>
      </w:r>
    </w:p>
    <w:p w14:paraId="45AB6721" w14:textId="77777777" w:rsidR="0080519B" w:rsidRPr="007A5FE7" w:rsidRDefault="0080519B" w:rsidP="0080519B">
      <w:pPr>
        <w:pStyle w:val="CGCBullet1"/>
      </w:pPr>
      <w:r w:rsidRPr="007A5FE7">
        <w:t>network complexity, measured by average distance travelled to work</w:t>
      </w:r>
    </w:p>
    <w:p w14:paraId="5BA03600" w14:textId="77777777" w:rsidR="0080519B" w:rsidRPr="007A5FE7" w:rsidRDefault="0080519B" w:rsidP="0080519B">
      <w:pPr>
        <w:pStyle w:val="CGCBullet1"/>
      </w:pPr>
      <w:r w:rsidRPr="007A5FE7">
        <w:t>topography, measured by average urban area slope</w:t>
      </w:r>
    </w:p>
    <w:p w14:paraId="2C44961D" w14:textId="0A872FCE" w:rsidR="0080519B" w:rsidRPr="007A5FE7" w:rsidRDefault="0080519B" w:rsidP="0080519B">
      <w:pPr>
        <w:pStyle w:val="CGCBullet1"/>
      </w:pPr>
      <w:r w:rsidRPr="007A5FE7">
        <w:t>presence of transport modes, measured by the presence of ferries</w:t>
      </w:r>
      <w:r>
        <w:t>.</w:t>
      </w:r>
    </w:p>
    <w:p w14:paraId="5E3F9087" w14:textId="3549A48A" w:rsidR="0080519B" w:rsidRDefault="00E52838" w:rsidP="0080519B">
      <w:pPr>
        <w:pStyle w:val="FWPNormal"/>
      </w:pPr>
      <w:r>
        <w:t xml:space="preserve">Recognising the </w:t>
      </w:r>
      <w:r w:rsidR="00525428">
        <w:t xml:space="preserve">different views </w:t>
      </w:r>
      <w:r w:rsidR="00BB6E09">
        <w:t xml:space="preserve">among states </w:t>
      </w:r>
      <w:r w:rsidR="00E961AB">
        <w:t>on</w:t>
      </w:r>
      <w:r w:rsidR="00BB6E09">
        <w:t xml:space="preserve"> the </w:t>
      </w:r>
      <w:r w:rsidR="003F07C0">
        <w:t>U</w:t>
      </w:r>
      <w:r w:rsidR="00BB6E09">
        <w:t xml:space="preserve">rban </w:t>
      </w:r>
      <w:r w:rsidR="003F07C0">
        <w:t>T</w:t>
      </w:r>
      <w:r w:rsidR="00BB6E09">
        <w:t>ransport model</w:t>
      </w:r>
      <w:r w:rsidR="004A2EFF">
        <w:t xml:space="preserve"> in the 2025 </w:t>
      </w:r>
      <w:r w:rsidR="003F07C0">
        <w:t xml:space="preserve">Methodology </w:t>
      </w:r>
      <w:r w:rsidR="004A2EFF">
        <w:t>Review</w:t>
      </w:r>
      <w:r w:rsidR="00BB6E09">
        <w:t xml:space="preserve">, the </w:t>
      </w:r>
      <w:r w:rsidR="004A2EFF">
        <w:t xml:space="preserve">Commission </w:t>
      </w:r>
      <w:r w:rsidR="00564FA4" w:rsidRPr="00821E52">
        <w:t xml:space="preserve">considered it appropriate to </w:t>
      </w:r>
      <w:r w:rsidR="004A2EFF" w:rsidRPr="00821E52">
        <w:t xml:space="preserve">seek external </w:t>
      </w:r>
      <w:r w:rsidR="00D31B82" w:rsidRPr="00821E52">
        <w:t>advice</w:t>
      </w:r>
      <w:r w:rsidR="00D31B82">
        <w:t xml:space="preserve"> prior to the next methodology review.</w:t>
      </w:r>
    </w:p>
    <w:p w14:paraId="29C832DC" w14:textId="77777777" w:rsidR="00D03C57" w:rsidRDefault="00D03C57" w:rsidP="00D03C57">
      <w:pPr>
        <w:pStyle w:val="Heading3"/>
      </w:pPr>
      <w:r>
        <w:t>Scope of project</w:t>
      </w:r>
    </w:p>
    <w:p w14:paraId="4AC31235" w14:textId="76AE66C4" w:rsidR="001F4E4F" w:rsidRDefault="001F4E4F" w:rsidP="001F4E4F">
      <w:pPr>
        <w:pStyle w:val="FWPNormal"/>
      </w:pPr>
      <w:r>
        <w:t xml:space="preserve">This project </w:t>
      </w:r>
      <w:r w:rsidR="006B7801">
        <w:t xml:space="preserve">is </w:t>
      </w:r>
      <w:r>
        <w:t>review</w:t>
      </w:r>
      <w:r w:rsidR="006B7801">
        <w:t>ing</w:t>
      </w:r>
      <w:r>
        <w:t xml:space="preserve"> the</w:t>
      </w:r>
      <w:r w:rsidR="00EB1AEF">
        <w:t xml:space="preserve"> suitability of the</w:t>
      </w:r>
      <w:r w:rsidR="00C6363C">
        <w:t xml:space="preserve"> </w:t>
      </w:r>
      <w:r w:rsidR="002537B7">
        <w:t>U</w:t>
      </w:r>
      <w:r w:rsidR="00146350">
        <w:t xml:space="preserve">rban </w:t>
      </w:r>
      <w:r w:rsidR="002537B7">
        <w:t>T</w:t>
      </w:r>
      <w:r w:rsidR="00146350">
        <w:t xml:space="preserve">ransport </w:t>
      </w:r>
      <w:r w:rsidR="00CC0AFD">
        <w:t>A</w:t>
      </w:r>
      <w:r w:rsidR="00146350">
        <w:t>ssessment</w:t>
      </w:r>
      <w:r w:rsidR="00142993">
        <w:t xml:space="preserve"> with</w:t>
      </w:r>
      <w:r w:rsidR="0049420A">
        <w:t xml:space="preserve"> conside</w:t>
      </w:r>
      <w:r w:rsidR="00142993">
        <w:t xml:space="preserve">ration of </w:t>
      </w:r>
      <w:r>
        <w:t>issues</w:t>
      </w:r>
      <w:r w:rsidRPr="00A3371C">
        <w:t xml:space="preserve"> </w:t>
      </w:r>
      <w:r>
        <w:t>raised by state</w:t>
      </w:r>
      <w:r w:rsidR="005202AB">
        <w:t>s</w:t>
      </w:r>
      <w:r>
        <w:t xml:space="preserve"> </w:t>
      </w:r>
      <w:r w:rsidRPr="00A3371C">
        <w:t xml:space="preserve">in the 2025 </w:t>
      </w:r>
      <w:r w:rsidR="00887BE1">
        <w:t xml:space="preserve">Methodology </w:t>
      </w:r>
      <w:r w:rsidRPr="00A3371C">
        <w:t>Review</w:t>
      </w:r>
      <w:r>
        <w:t xml:space="preserve">. </w:t>
      </w:r>
      <w:r w:rsidRPr="00A3371C">
        <w:t>The</w:t>
      </w:r>
      <w:r>
        <w:t xml:space="preserve">y </w:t>
      </w:r>
      <w:r w:rsidRPr="00A3371C">
        <w:t>include</w:t>
      </w:r>
      <w:r>
        <w:t>:</w:t>
      </w:r>
    </w:p>
    <w:p w14:paraId="389E48CE" w14:textId="31153B93" w:rsidR="001F4E4F" w:rsidRDefault="20181D7D" w:rsidP="001F4E4F">
      <w:pPr>
        <w:pStyle w:val="CGCBullet1"/>
      </w:pPr>
      <w:r>
        <w:t>the dominan</w:t>
      </w:r>
      <w:r w:rsidR="7AE27216">
        <w:t>t influ</w:t>
      </w:r>
      <w:r w:rsidR="448838A3">
        <w:t>e</w:t>
      </w:r>
      <w:r w:rsidR="7AE27216">
        <w:t>nce</w:t>
      </w:r>
      <w:r>
        <w:t xml:space="preserve"> of the largest cities on the model</w:t>
      </w:r>
    </w:p>
    <w:p w14:paraId="2B5BE09A" w14:textId="77777777" w:rsidR="001F4E4F" w:rsidRDefault="001F4E4F" w:rsidP="001F4E4F">
      <w:pPr>
        <w:pStyle w:val="CGCBullet1"/>
      </w:pPr>
      <w:r w:rsidRPr="00A3371C">
        <w:t>the influence of individual state policies on transport expenditure</w:t>
      </w:r>
    </w:p>
    <w:p w14:paraId="7EC43EA5" w14:textId="77777777" w:rsidR="001F4E4F" w:rsidRDefault="001F4E4F" w:rsidP="001F4E4F">
      <w:pPr>
        <w:pStyle w:val="CGCBullet1"/>
      </w:pPr>
      <w:r w:rsidRPr="00A3371C">
        <w:t>the impact and measurement of population-weighted density</w:t>
      </w:r>
    </w:p>
    <w:p w14:paraId="49A443D1" w14:textId="77777777" w:rsidR="001F4E4F" w:rsidRDefault="001F4E4F" w:rsidP="001F4E4F">
      <w:pPr>
        <w:pStyle w:val="CGCBullet1"/>
      </w:pPr>
      <w:r w:rsidRPr="00A3371C">
        <w:t>the use of a dummy variable to reflect ferry transport</w:t>
      </w:r>
    </w:p>
    <w:p w14:paraId="3DCA76C7" w14:textId="77777777" w:rsidR="001F4E4F" w:rsidRPr="00A3371C" w:rsidRDefault="001F4E4F" w:rsidP="001F4E4F">
      <w:pPr>
        <w:pStyle w:val="CGCBullet1"/>
      </w:pPr>
      <w:r w:rsidRPr="00A3371C">
        <w:t>the inability to account for non-commuter public transport users.</w:t>
      </w:r>
    </w:p>
    <w:p w14:paraId="1B3B7F92" w14:textId="1EB2A0BE" w:rsidR="001F4E4F" w:rsidRDefault="001F4E4F" w:rsidP="001F4E4F">
      <w:pPr>
        <w:pStyle w:val="FWPNormal"/>
      </w:pPr>
      <w:r>
        <w:t xml:space="preserve">In addition to the issues raised by states, the Commission also considers that the </w:t>
      </w:r>
      <w:r w:rsidR="00887BE1">
        <w:t>U</w:t>
      </w:r>
      <w:r>
        <w:t xml:space="preserve">rban </w:t>
      </w:r>
      <w:r w:rsidR="00887BE1">
        <w:t>T</w:t>
      </w:r>
      <w:r>
        <w:t xml:space="preserve">ransport </w:t>
      </w:r>
      <w:r w:rsidR="00887BE1">
        <w:t>A</w:t>
      </w:r>
      <w:r>
        <w:t>ssessment is affected by:</w:t>
      </w:r>
    </w:p>
    <w:p w14:paraId="5499BE42" w14:textId="7ADCFA9C" w:rsidR="001F4E4F" w:rsidRDefault="001F4E4F" w:rsidP="001F4E4F">
      <w:pPr>
        <w:pStyle w:val="CGCBullet1"/>
      </w:pPr>
      <w:r>
        <w:t>the small number of cities in Australia</w:t>
      </w:r>
    </w:p>
    <w:p w14:paraId="2924C8FD" w14:textId="77777777" w:rsidR="001F4E4F" w:rsidRDefault="001F4E4F" w:rsidP="001F4E4F">
      <w:pPr>
        <w:pStyle w:val="CGCBullet1"/>
      </w:pPr>
      <w:r>
        <w:t>significant differences in city characteristics</w:t>
      </w:r>
    </w:p>
    <w:p w14:paraId="033F51AE" w14:textId="1669A8FA" w:rsidR="001F4E4F" w:rsidRDefault="001F4E4F" w:rsidP="001F4E4F">
      <w:pPr>
        <w:pStyle w:val="CGCBullet1"/>
      </w:pPr>
      <w:r>
        <w:t xml:space="preserve">limited </w:t>
      </w:r>
      <w:r w:rsidRPr="00A3371C">
        <w:t>nationally consistent and comparable data</w:t>
      </w:r>
      <w:r w:rsidR="00561F98">
        <w:t>.</w:t>
      </w:r>
    </w:p>
    <w:p w14:paraId="47B49973" w14:textId="206243D2" w:rsidR="00D5517D" w:rsidRPr="00E42A95" w:rsidRDefault="001F4E4F" w:rsidP="00D5517D">
      <w:pPr>
        <w:pStyle w:val="FWPNormal"/>
      </w:pPr>
      <w:r>
        <w:t xml:space="preserve">The issues raised by states and the Commission compound the difficulties of </w:t>
      </w:r>
      <w:r w:rsidR="00F44BA6">
        <w:t xml:space="preserve">assessing </w:t>
      </w:r>
      <w:r w:rsidR="00840A6A">
        <w:t>U</w:t>
      </w:r>
      <w:r>
        <w:t xml:space="preserve">rban </w:t>
      </w:r>
      <w:r w:rsidR="00840A6A">
        <w:t>T</w:t>
      </w:r>
      <w:r>
        <w:t xml:space="preserve">ransport </w:t>
      </w:r>
      <w:r w:rsidR="00FF4D58">
        <w:t>expense</w:t>
      </w:r>
      <w:r>
        <w:t xml:space="preserve"> needs across all Australian cities within a single model.</w:t>
      </w:r>
    </w:p>
    <w:p w14:paraId="0053E68F" w14:textId="77777777" w:rsidR="00D03C57" w:rsidRDefault="00D03C57" w:rsidP="00D03C57">
      <w:pPr>
        <w:pStyle w:val="Heading3"/>
      </w:pPr>
      <w:r>
        <w:t>Next steps</w:t>
      </w:r>
    </w:p>
    <w:p w14:paraId="52AFD542" w14:textId="47C04861" w:rsidR="00E42A95" w:rsidRPr="00D5336E" w:rsidRDefault="00FB443D" w:rsidP="00E42A95">
      <w:pPr>
        <w:pStyle w:val="FWPNormal"/>
      </w:pPr>
      <w:r>
        <w:t xml:space="preserve">The Commission </w:t>
      </w:r>
      <w:r w:rsidR="00C047A3">
        <w:t xml:space="preserve">has engaged </w:t>
      </w:r>
      <w:r w:rsidR="00525428">
        <w:t>external expertise</w:t>
      </w:r>
      <w:r w:rsidR="00C047A3">
        <w:t xml:space="preserve"> to</w:t>
      </w:r>
      <w:r w:rsidRPr="00821E52">
        <w:t xml:space="preserve"> </w:t>
      </w:r>
      <w:r w:rsidR="00525428">
        <w:t>assist with</w:t>
      </w:r>
      <w:r w:rsidR="00C047A3">
        <w:t xml:space="preserve"> </w:t>
      </w:r>
      <w:r w:rsidRPr="00821E52">
        <w:t>review</w:t>
      </w:r>
      <w:r w:rsidR="00525428">
        <w:t>ing</w:t>
      </w:r>
      <w:r>
        <w:t xml:space="preserve"> </w:t>
      </w:r>
      <w:r w:rsidR="00B6066C">
        <w:t xml:space="preserve">the </w:t>
      </w:r>
      <w:r w:rsidR="00B42A72">
        <w:t>T</w:t>
      </w:r>
      <w:r w:rsidR="00B6066C">
        <w:t xml:space="preserve">ransport </w:t>
      </w:r>
      <w:r w:rsidR="00840A6A">
        <w:t>A</w:t>
      </w:r>
      <w:r>
        <w:t xml:space="preserve">ssessment method. This work </w:t>
      </w:r>
      <w:r w:rsidR="00237461">
        <w:t xml:space="preserve">is </w:t>
      </w:r>
      <w:r>
        <w:t>considering the issues raised by states during the 2025</w:t>
      </w:r>
      <w:r w:rsidR="00D26369">
        <w:t> </w:t>
      </w:r>
      <w:r w:rsidR="00840A6A">
        <w:t>Methodology</w:t>
      </w:r>
      <w:r w:rsidR="00D26369">
        <w:t> </w:t>
      </w:r>
      <w:r>
        <w:t>Review, whether new data sources are available</w:t>
      </w:r>
      <w:r w:rsidR="00D26369">
        <w:t>,</w:t>
      </w:r>
      <w:r>
        <w:t xml:space="preserve"> and opportunities </w:t>
      </w:r>
      <w:r w:rsidRPr="00D5336E">
        <w:t>to improve the assessment method.</w:t>
      </w:r>
    </w:p>
    <w:p w14:paraId="228A9E2C" w14:textId="77777777" w:rsidR="00334454" w:rsidRPr="00D5336E" w:rsidRDefault="00334454">
      <w:pPr>
        <w:tabs>
          <w:tab w:val="clear" w:pos="567"/>
        </w:tabs>
        <w:spacing w:before="0" w:line="240" w:lineRule="auto"/>
        <w:rPr>
          <w:rFonts w:ascii="Work Sans" w:eastAsiaTheme="majorEastAsia" w:hAnsi="Work Sans" w:cs="Open Sans"/>
          <w:color w:val="CC5E12" w:themeColor="accent3"/>
          <w:sz w:val="36"/>
          <w:szCs w:val="36"/>
        </w:rPr>
      </w:pPr>
      <w:r w:rsidRPr="00D5336E">
        <w:rPr>
          <w:rFonts w:ascii="Work Sans" w:hAnsi="Work Sans"/>
        </w:rPr>
        <w:br w:type="page"/>
      </w:r>
    </w:p>
    <w:p w14:paraId="58FF08FD" w14:textId="004BA7C0" w:rsidR="00D03C57" w:rsidRDefault="000C4DDA" w:rsidP="00D03C57">
      <w:pPr>
        <w:pStyle w:val="Heading2"/>
      </w:pPr>
      <w:r>
        <w:lastRenderedPageBreak/>
        <w:t xml:space="preserve">Net </w:t>
      </w:r>
      <w:r w:rsidR="00107899">
        <w:t>z</w:t>
      </w:r>
      <w:r>
        <w:t>ero emissions</w:t>
      </w:r>
    </w:p>
    <w:p w14:paraId="28693DA1" w14:textId="77777777" w:rsidR="00D03C57" w:rsidRDefault="00D03C57" w:rsidP="00D03C57">
      <w:pPr>
        <w:pStyle w:val="Heading3"/>
      </w:pPr>
      <w:r>
        <w:t>Background</w:t>
      </w:r>
    </w:p>
    <w:p w14:paraId="5DA50492" w14:textId="1CD3B93C" w:rsidR="003C125B" w:rsidRPr="00D5336E" w:rsidRDefault="003C125B" w:rsidP="003C125B">
      <w:pPr>
        <w:pStyle w:val="FWPNormal"/>
      </w:pPr>
      <w:bookmarkStart w:id="11" w:name="_Ref210053883"/>
      <w:r w:rsidRPr="003C125B">
        <w:t xml:space="preserve">The Commonwealth and state governments have </w:t>
      </w:r>
      <w:r w:rsidR="00AB202F">
        <w:t xml:space="preserve">all </w:t>
      </w:r>
      <w:r w:rsidRPr="003C125B">
        <w:t>committed to achieving net</w:t>
      </w:r>
      <w:r>
        <w:rPr>
          <w:b/>
          <w:bCs/>
        </w:rPr>
        <w:t xml:space="preserve"> </w:t>
      </w:r>
      <w:r w:rsidRPr="003C125B">
        <w:t>zero emissions by 2050 as part of global efforts to decarbonise.</w:t>
      </w:r>
    </w:p>
    <w:bookmarkEnd w:id="11"/>
    <w:p w14:paraId="7551FE8E" w14:textId="4E62FD42" w:rsidR="00A61481" w:rsidRDefault="005B2608" w:rsidP="00A61481">
      <w:pPr>
        <w:pStyle w:val="FWPNormal"/>
      </w:pPr>
      <w:r w:rsidRPr="00D5336E">
        <w:t>Various levels of government are incentivising emission reductions and offsets via direct and indirect actions and policies. At the state level, this includes</w:t>
      </w:r>
      <w:r w:rsidRPr="005B2608">
        <w:t xml:space="preserve"> planning and regulation changes, direct grants and subsidies, infrastructure investment (including through state</w:t>
      </w:r>
      <w:r w:rsidR="00A61481" w:rsidRPr="00E36570">
        <w:noBreakHyphen/>
      </w:r>
      <w:r w:rsidRPr="005B2608">
        <w:t>owned entities), and activities to transform their own operations to reduce emissions.</w:t>
      </w:r>
    </w:p>
    <w:p w14:paraId="3D0882FF" w14:textId="5B95C08C" w:rsidR="0024308A" w:rsidRDefault="003458CE" w:rsidP="003458CE">
      <w:pPr>
        <w:pStyle w:val="FWPNormal"/>
      </w:pPr>
      <w:r>
        <w:t>The</w:t>
      </w:r>
      <w:r w:rsidR="00DC3550">
        <w:t xml:space="preserve"> </w:t>
      </w:r>
      <w:r>
        <w:t>transition</w:t>
      </w:r>
      <w:r w:rsidR="006805A4">
        <w:t xml:space="preserve"> to net zero </w:t>
      </w:r>
      <w:r w:rsidR="00531195">
        <w:t>varies</w:t>
      </w:r>
      <w:r w:rsidR="00F81FEB">
        <w:t xml:space="preserve"> at</w:t>
      </w:r>
      <w:r w:rsidR="006805A4">
        <w:t xml:space="preserve"> the Commonwealth and state levels</w:t>
      </w:r>
      <w:r w:rsidR="00531195">
        <w:t xml:space="preserve"> and</w:t>
      </w:r>
      <w:r>
        <w:t xml:space="preserve"> involves a range of changes to </w:t>
      </w:r>
      <w:r w:rsidR="00CC3ADF">
        <w:t xml:space="preserve">state </w:t>
      </w:r>
      <w:r>
        <w:t xml:space="preserve">revenue raising and </w:t>
      </w:r>
      <w:r w:rsidR="00DC3550">
        <w:t>expenditure.</w:t>
      </w:r>
      <w:r>
        <w:t xml:space="preserve"> </w:t>
      </w:r>
      <w:r w:rsidR="002E3F80">
        <w:t xml:space="preserve">In the coming years, </w:t>
      </w:r>
      <w:r w:rsidR="00021EA0" w:rsidRPr="00CF12E8">
        <w:t xml:space="preserve">state </w:t>
      </w:r>
      <w:r w:rsidR="00557378" w:rsidRPr="00CF12E8">
        <w:t xml:space="preserve">revenue and </w:t>
      </w:r>
      <w:r w:rsidR="00021EA0" w:rsidRPr="00CF12E8">
        <w:t>expenditure</w:t>
      </w:r>
      <w:r w:rsidR="00541E82" w:rsidRPr="00CF12E8">
        <w:t xml:space="preserve"> </w:t>
      </w:r>
      <w:r w:rsidR="00557378" w:rsidRPr="00CF12E8">
        <w:t>related to</w:t>
      </w:r>
      <w:r w:rsidR="00541E82" w:rsidRPr="00CF12E8">
        <w:t xml:space="preserve"> emission</w:t>
      </w:r>
      <w:r w:rsidR="00292E62">
        <w:t>‍-‍</w:t>
      </w:r>
      <w:r w:rsidR="009B10D3" w:rsidRPr="00CF12E8">
        <w:t xml:space="preserve">reducing </w:t>
      </w:r>
      <w:r w:rsidR="00795964" w:rsidRPr="00CF12E8">
        <w:t>activities</w:t>
      </w:r>
      <w:r w:rsidR="00021EA0" w:rsidRPr="00CF12E8">
        <w:t xml:space="preserve"> </w:t>
      </w:r>
      <w:r w:rsidR="00760462" w:rsidRPr="00CF12E8">
        <w:t>is anticipated</w:t>
      </w:r>
      <w:r w:rsidR="00DD6AFF" w:rsidRPr="00CF12E8">
        <w:t xml:space="preserve"> to grow</w:t>
      </w:r>
      <w:r w:rsidR="00CE46E8" w:rsidRPr="00CF12E8">
        <w:t>.</w:t>
      </w:r>
    </w:p>
    <w:p w14:paraId="3B078FBB" w14:textId="5A86A67B" w:rsidR="00403135" w:rsidRDefault="00072C20" w:rsidP="00BD72D4">
      <w:pPr>
        <w:pStyle w:val="FWPNormal"/>
      </w:pPr>
      <w:r>
        <w:t>In the 2025</w:t>
      </w:r>
      <w:r w:rsidR="00D255FD">
        <w:t> </w:t>
      </w:r>
      <w:r>
        <w:t>Methodology Review</w:t>
      </w:r>
      <w:r w:rsidR="000B2506">
        <w:t>,</w:t>
      </w:r>
      <w:r>
        <w:t xml:space="preserve"> the Commission n</w:t>
      </w:r>
      <w:r w:rsidR="00BD72D4">
        <w:t>ot</w:t>
      </w:r>
      <w:r>
        <w:t>ed</w:t>
      </w:r>
      <w:r w:rsidR="00BD72D4">
        <w:t xml:space="preserve"> that </w:t>
      </w:r>
      <w:r w:rsidR="00612A30">
        <w:t>the transition</w:t>
      </w:r>
      <w:r w:rsidR="006269A4">
        <w:t xml:space="preserve"> to net zero</w:t>
      </w:r>
      <w:r w:rsidR="00BD72D4">
        <w:t xml:space="preserve"> </w:t>
      </w:r>
      <w:r w:rsidR="000A32AE">
        <w:t>wa</w:t>
      </w:r>
      <w:r w:rsidR="00BD72D4">
        <w:t>s an emerging issue</w:t>
      </w:r>
      <w:r w:rsidR="000510CE">
        <w:t xml:space="preserve"> for the states</w:t>
      </w:r>
      <w:r>
        <w:t>.</w:t>
      </w:r>
      <w:r w:rsidR="00E1210D">
        <w:t xml:space="preserve"> </w:t>
      </w:r>
      <w:r w:rsidR="003F702F">
        <w:t>I</w:t>
      </w:r>
      <w:r>
        <w:t>t</w:t>
      </w:r>
      <w:r w:rsidR="00BD72D4">
        <w:t xml:space="preserve"> </w:t>
      </w:r>
      <w:r w:rsidR="009E5DEE">
        <w:t>decided to</w:t>
      </w:r>
      <w:r w:rsidR="00BD72D4">
        <w:t xml:space="preserve"> monitor policies</w:t>
      </w:r>
      <w:r w:rsidR="00475CB3">
        <w:t xml:space="preserve"> </w:t>
      </w:r>
      <w:r w:rsidR="00F93C3E">
        <w:t>associated with th</w:t>
      </w:r>
      <w:r w:rsidR="00B2534A">
        <w:t>e</w:t>
      </w:r>
      <w:r w:rsidR="00F93C3E">
        <w:t xml:space="preserve"> transition </w:t>
      </w:r>
      <w:r w:rsidR="00475CB3">
        <w:t>and their impact o</w:t>
      </w:r>
      <w:r w:rsidR="00B61EB3">
        <w:t>n</w:t>
      </w:r>
      <w:r w:rsidR="00475CB3">
        <w:t xml:space="preserve"> states’ revenue raising capacit</w:t>
      </w:r>
      <w:r w:rsidR="00396BCB">
        <w:t>ies</w:t>
      </w:r>
      <w:r w:rsidR="00475CB3">
        <w:t xml:space="preserve"> and expenditure</w:t>
      </w:r>
      <w:r w:rsidR="00396BCB">
        <w:t>s</w:t>
      </w:r>
      <w:r w:rsidR="00BD72D4">
        <w:t>.</w:t>
      </w:r>
      <w:r w:rsidR="00B4784C">
        <w:t xml:space="preserve"> </w:t>
      </w:r>
      <w:r w:rsidR="001820E5">
        <w:t>The Commission</w:t>
      </w:r>
      <w:r w:rsidR="00B4784C">
        <w:t xml:space="preserve"> also</w:t>
      </w:r>
      <w:r w:rsidR="007E4D92">
        <w:t xml:space="preserve"> decided to</w:t>
      </w:r>
      <w:r w:rsidR="001606C1">
        <w:t xml:space="preserve"> explore the</w:t>
      </w:r>
      <w:r w:rsidR="009725E3">
        <w:t xml:space="preserve"> </w:t>
      </w:r>
      <w:r w:rsidR="00AC5964">
        <w:t>feasibility</w:t>
      </w:r>
      <w:r w:rsidR="001606C1">
        <w:t xml:space="preserve"> of a separate </w:t>
      </w:r>
      <w:r w:rsidR="00A422BC">
        <w:t xml:space="preserve">net zero </w:t>
      </w:r>
      <w:r w:rsidR="001606C1">
        <w:t xml:space="preserve">assessment </w:t>
      </w:r>
      <w:r w:rsidR="00A422BC">
        <w:t>in preparation for the next methodology review.</w:t>
      </w:r>
    </w:p>
    <w:p w14:paraId="686E0055" w14:textId="081A5596" w:rsidR="00D03C57" w:rsidRPr="005B2608" w:rsidRDefault="00D03C57" w:rsidP="005B2608">
      <w:pPr>
        <w:pStyle w:val="Heading3"/>
        <w:rPr>
          <w:rFonts w:eastAsiaTheme="minorHAnsi" w:cstheme="minorBidi"/>
          <w:b w:val="0"/>
          <w:bCs w:val="0"/>
          <w:color w:val="171717" w:themeColor="background2" w:themeShade="1A"/>
          <w:sz w:val="20"/>
          <w:szCs w:val="20"/>
        </w:rPr>
      </w:pPr>
      <w:r>
        <w:t>Scope of project</w:t>
      </w:r>
    </w:p>
    <w:p w14:paraId="1FC98788" w14:textId="7B121605" w:rsidR="00DD4032" w:rsidRDefault="00672628" w:rsidP="006E0693">
      <w:pPr>
        <w:rPr>
          <w:rFonts w:ascii="Work Sans" w:hAnsi="Work Sans"/>
        </w:rPr>
      </w:pPr>
      <w:r w:rsidRPr="002A57DC">
        <w:rPr>
          <w:rFonts w:ascii="Work Sans" w:hAnsi="Work Sans"/>
        </w:rPr>
        <w:t>This project</w:t>
      </w:r>
      <w:r w:rsidR="00B2534A">
        <w:rPr>
          <w:rFonts w:ascii="Work Sans" w:hAnsi="Work Sans"/>
        </w:rPr>
        <w:t xml:space="preserve"> is</w:t>
      </w:r>
      <w:r w:rsidRPr="002A57DC">
        <w:rPr>
          <w:rFonts w:ascii="Work Sans" w:hAnsi="Work Sans"/>
        </w:rPr>
        <w:t xml:space="preserve"> </w:t>
      </w:r>
      <w:r w:rsidR="00645606" w:rsidRPr="009E08EF">
        <w:rPr>
          <w:rFonts w:ascii="Work Sans" w:hAnsi="Work Sans"/>
        </w:rPr>
        <w:t>consider</w:t>
      </w:r>
      <w:r w:rsidR="00B2534A">
        <w:rPr>
          <w:rFonts w:ascii="Work Sans" w:hAnsi="Work Sans"/>
        </w:rPr>
        <w:t>ing</w:t>
      </w:r>
      <w:r w:rsidR="00645606" w:rsidRPr="009E08EF">
        <w:rPr>
          <w:rFonts w:ascii="Work Sans" w:hAnsi="Work Sans"/>
        </w:rPr>
        <w:t xml:space="preserve"> whether there is a conceptual case for assessing state expenditure relating to the transition to net zero emissions, </w:t>
      </w:r>
      <w:r w:rsidR="000F5853">
        <w:rPr>
          <w:rFonts w:ascii="Work Sans" w:hAnsi="Work Sans"/>
        </w:rPr>
        <w:t>as well as</w:t>
      </w:r>
      <w:r w:rsidR="000F5853" w:rsidRPr="009E08EF">
        <w:rPr>
          <w:rFonts w:ascii="Work Sans" w:hAnsi="Work Sans"/>
        </w:rPr>
        <w:t xml:space="preserve"> </w:t>
      </w:r>
      <w:r w:rsidR="00645606" w:rsidRPr="009E08EF">
        <w:rPr>
          <w:rFonts w:ascii="Work Sans" w:hAnsi="Work Sans"/>
        </w:rPr>
        <w:t>whether policy neutral expense drivers can be identified and supported by available, fit-for-purpose data.</w:t>
      </w:r>
      <w:r w:rsidR="00B1345C" w:rsidRPr="00B1345C">
        <w:rPr>
          <w:rFonts w:ascii="Work Sans" w:hAnsi="Work Sans"/>
        </w:rPr>
        <w:t xml:space="preserve"> </w:t>
      </w:r>
      <w:r w:rsidR="00B1345C">
        <w:rPr>
          <w:rFonts w:ascii="Work Sans" w:hAnsi="Work Sans"/>
        </w:rPr>
        <w:t xml:space="preserve">The Commission </w:t>
      </w:r>
      <w:r w:rsidR="0040167B">
        <w:rPr>
          <w:rFonts w:ascii="Work Sans" w:hAnsi="Work Sans"/>
        </w:rPr>
        <w:t>is</w:t>
      </w:r>
      <w:r w:rsidR="00B1345C">
        <w:rPr>
          <w:rFonts w:ascii="Work Sans" w:hAnsi="Work Sans"/>
        </w:rPr>
        <w:t xml:space="preserve"> </w:t>
      </w:r>
      <w:r w:rsidR="006E0693" w:rsidRPr="006E0693">
        <w:rPr>
          <w:rFonts w:ascii="Work Sans" w:hAnsi="Work Sans"/>
        </w:rPr>
        <w:t>consider</w:t>
      </w:r>
      <w:r w:rsidR="0040167B">
        <w:rPr>
          <w:rFonts w:ascii="Work Sans" w:hAnsi="Work Sans"/>
        </w:rPr>
        <w:t>ing</w:t>
      </w:r>
      <w:r w:rsidR="006E0693" w:rsidRPr="006E0693">
        <w:rPr>
          <w:rFonts w:ascii="Work Sans" w:hAnsi="Work Sans"/>
        </w:rPr>
        <w:t xml:space="preserve"> the extent to which </w:t>
      </w:r>
      <w:r w:rsidR="0058452F">
        <w:rPr>
          <w:rFonts w:ascii="Work Sans" w:hAnsi="Work Sans"/>
        </w:rPr>
        <w:t>its</w:t>
      </w:r>
      <w:r w:rsidR="006E0693" w:rsidRPr="006E0693">
        <w:rPr>
          <w:rFonts w:ascii="Work Sans" w:hAnsi="Work Sans"/>
        </w:rPr>
        <w:t xml:space="preserve"> assessment methodology</w:t>
      </w:r>
      <w:r w:rsidR="0026256F">
        <w:rPr>
          <w:rFonts w:ascii="Work Sans" w:hAnsi="Work Sans"/>
        </w:rPr>
        <w:t xml:space="preserve"> </w:t>
      </w:r>
      <w:r w:rsidR="00EB3F1E">
        <w:rPr>
          <w:rFonts w:ascii="Work Sans" w:hAnsi="Work Sans"/>
        </w:rPr>
        <w:t>already</w:t>
      </w:r>
      <w:r w:rsidR="006E0693" w:rsidRPr="006E0693">
        <w:rPr>
          <w:rFonts w:ascii="Work Sans" w:hAnsi="Work Sans"/>
        </w:rPr>
        <w:t xml:space="preserve"> captures the impacts of</w:t>
      </w:r>
      <w:r w:rsidR="000F5591">
        <w:rPr>
          <w:rFonts w:ascii="Work Sans" w:hAnsi="Work Sans"/>
        </w:rPr>
        <w:t xml:space="preserve"> the</w:t>
      </w:r>
      <w:r w:rsidR="006E0693" w:rsidRPr="006E0693">
        <w:rPr>
          <w:rFonts w:ascii="Work Sans" w:hAnsi="Work Sans"/>
        </w:rPr>
        <w:t xml:space="preserve"> </w:t>
      </w:r>
      <w:r w:rsidR="000F5591">
        <w:rPr>
          <w:rFonts w:ascii="Work Sans" w:hAnsi="Work Sans"/>
        </w:rPr>
        <w:t>net zero transition</w:t>
      </w:r>
      <w:r w:rsidR="006E0693" w:rsidRPr="006E0693">
        <w:rPr>
          <w:rFonts w:ascii="Work Sans" w:hAnsi="Work Sans"/>
        </w:rPr>
        <w:t xml:space="preserve"> on states’ relative fiscal capacities and/or whether a change in approach may be warranted</w:t>
      </w:r>
      <w:r w:rsidR="00783712">
        <w:rPr>
          <w:rFonts w:ascii="Work Sans" w:hAnsi="Work Sans"/>
        </w:rPr>
        <w:t>.</w:t>
      </w:r>
    </w:p>
    <w:p w14:paraId="6C1A75E1" w14:textId="77777777" w:rsidR="00E42A95" w:rsidRDefault="00D03C57" w:rsidP="00E42A95">
      <w:pPr>
        <w:pStyle w:val="Heading3"/>
      </w:pPr>
      <w:r>
        <w:t>Next steps</w:t>
      </w:r>
    </w:p>
    <w:p w14:paraId="43B86BE0" w14:textId="7C462683" w:rsidR="00D03C57" w:rsidRPr="003C2B0C" w:rsidRDefault="00FE1BCE" w:rsidP="003C2B0C">
      <w:pPr>
        <w:pStyle w:val="FWPNormal"/>
      </w:pPr>
      <w:r>
        <w:t xml:space="preserve">The Commission </w:t>
      </w:r>
      <w:r w:rsidR="00DC1756">
        <w:t xml:space="preserve">is </w:t>
      </w:r>
      <w:r w:rsidR="00D16E11">
        <w:t>assess</w:t>
      </w:r>
      <w:r w:rsidR="00DC1756">
        <w:t>ing</w:t>
      </w:r>
      <w:r w:rsidR="000F5853">
        <w:t xml:space="preserve"> whether current </w:t>
      </w:r>
      <w:r w:rsidR="00184DF0">
        <w:t>methods</w:t>
      </w:r>
      <w:r w:rsidR="0016586A">
        <w:t xml:space="preserve"> </w:t>
      </w:r>
      <w:r w:rsidR="00484866">
        <w:t xml:space="preserve">take sufficient </w:t>
      </w:r>
      <w:r w:rsidR="0056155B">
        <w:t xml:space="preserve">account of </w:t>
      </w:r>
      <w:r w:rsidR="00AC1651">
        <w:t xml:space="preserve">states’ </w:t>
      </w:r>
      <w:r w:rsidR="00CF3826">
        <w:t>actions and policies</w:t>
      </w:r>
      <w:r w:rsidR="00356CAA">
        <w:t xml:space="preserve"> </w:t>
      </w:r>
      <w:r w:rsidR="003C2B0C">
        <w:t>in relation to the transition to net zero.</w:t>
      </w:r>
      <w:r w:rsidR="00D00C6D">
        <w:t xml:space="preserve"> </w:t>
      </w:r>
      <w:r w:rsidR="00523505">
        <w:t>T</w:t>
      </w:r>
      <w:r w:rsidR="00BC27C5">
        <w:t>h</w:t>
      </w:r>
      <w:r w:rsidR="003B4F19">
        <w:t xml:space="preserve">is work </w:t>
      </w:r>
      <w:r w:rsidR="00DC1756">
        <w:t>is</w:t>
      </w:r>
      <w:r w:rsidR="001D3541">
        <w:t xml:space="preserve"> </w:t>
      </w:r>
      <w:r w:rsidR="00BC27C5">
        <w:t>seek</w:t>
      </w:r>
      <w:r w:rsidR="00CA2D42">
        <w:t>ing</w:t>
      </w:r>
      <w:r w:rsidR="00BC27C5">
        <w:t xml:space="preserve"> to </w:t>
      </w:r>
      <w:r w:rsidR="00532EB4">
        <w:t>identify</w:t>
      </w:r>
      <w:r w:rsidR="002A1446">
        <w:t xml:space="preserve"> </w:t>
      </w:r>
      <w:r w:rsidR="00CE308C">
        <w:t>suitable</w:t>
      </w:r>
      <w:r w:rsidR="00AF1523">
        <w:t xml:space="preserve"> sources of data</w:t>
      </w:r>
      <w:r w:rsidR="00C96534">
        <w:t xml:space="preserve"> and </w:t>
      </w:r>
      <w:r w:rsidR="00C64080">
        <w:t xml:space="preserve">consider the extent to which the </w:t>
      </w:r>
      <w:r w:rsidR="00862F9D">
        <w:t xml:space="preserve">equalisation framework </w:t>
      </w:r>
      <w:r w:rsidR="00246372">
        <w:t xml:space="preserve">accommodates </w:t>
      </w:r>
      <w:r w:rsidR="00CC225A">
        <w:t xml:space="preserve">relevant </w:t>
      </w:r>
      <w:r w:rsidR="004D2339">
        <w:t>expenditure and revenue</w:t>
      </w:r>
      <w:r w:rsidR="00E91962">
        <w:t xml:space="preserve">. </w:t>
      </w:r>
      <w:r w:rsidR="007116D5">
        <w:t>This</w:t>
      </w:r>
      <w:r w:rsidR="00424BEC">
        <w:t xml:space="preserve"> </w:t>
      </w:r>
      <w:r w:rsidR="00044BB8">
        <w:t>project</w:t>
      </w:r>
      <w:r w:rsidR="003A3B8D">
        <w:t xml:space="preserve"> will</w:t>
      </w:r>
      <w:r w:rsidR="00424BEC">
        <w:t xml:space="preserve"> </w:t>
      </w:r>
      <w:r w:rsidR="007116D5">
        <w:t>help</w:t>
      </w:r>
      <w:r w:rsidR="007A7619">
        <w:t xml:space="preserve"> build the Commission’s understanding of this policy area</w:t>
      </w:r>
      <w:r w:rsidR="003A0B86">
        <w:t xml:space="preserve"> </w:t>
      </w:r>
      <w:r w:rsidR="008A7AA0">
        <w:t xml:space="preserve">in preparation for </w:t>
      </w:r>
      <w:r w:rsidR="00666E3E">
        <w:t>its</w:t>
      </w:r>
      <w:r w:rsidR="00E91962">
        <w:t xml:space="preserve"> </w:t>
      </w:r>
      <w:r w:rsidR="00424BEC">
        <w:t>next methodology review</w:t>
      </w:r>
      <w:r w:rsidR="003A3B8D">
        <w:t>.</w:t>
      </w:r>
      <w:r w:rsidR="00D03C57">
        <w:br w:type="page"/>
      </w:r>
    </w:p>
    <w:p w14:paraId="31D32C69" w14:textId="3BEB0F58" w:rsidR="00D03C57" w:rsidRDefault="00D03C57" w:rsidP="00D03C57">
      <w:pPr>
        <w:pStyle w:val="Heading2"/>
      </w:pPr>
      <w:r>
        <w:lastRenderedPageBreak/>
        <w:t>Attachment A</w:t>
      </w:r>
    </w:p>
    <w:p w14:paraId="2144AAC1" w14:textId="23D41A09" w:rsidR="00D03C57" w:rsidRPr="00D03C57" w:rsidRDefault="00FF607A" w:rsidP="00D03C57">
      <w:pPr>
        <w:pStyle w:val="Heading3"/>
      </w:pPr>
      <w:r>
        <w:t>F</w:t>
      </w:r>
      <w:r w:rsidR="00D03C57">
        <w:t xml:space="preserve">orward </w:t>
      </w:r>
      <w:r>
        <w:t>W</w:t>
      </w:r>
      <w:r w:rsidR="00D03C57">
        <w:t xml:space="preserve">ork </w:t>
      </w:r>
      <w:r>
        <w:t>P</w:t>
      </w:r>
      <w:r w:rsidR="00D03C57">
        <w:t>rogram research projects</w:t>
      </w:r>
    </w:p>
    <w:p w14:paraId="116F5165" w14:textId="7AF82ECF" w:rsidR="00A46261" w:rsidRPr="00C01D56" w:rsidRDefault="00A46261" w:rsidP="00A46261">
      <w:pPr>
        <w:tabs>
          <w:tab w:val="left" w:pos="6379"/>
          <w:tab w:val="left" w:pos="6521"/>
        </w:tabs>
        <w:rPr>
          <w:rFonts w:ascii="Work Sans" w:hAnsi="Work Sans"/>
          <w:szCs w:val="20"/>
        </w:rPr>
      </w:pPr>
      <w:r w:rsidRPr="00C01D56">
        <w:rPr>
          <w:rFonts w:ascii="Work Sans" w:hAnsi="Work Sans"/>
          <w:szCs w:val="20"/>
        </w:rPr>
        <w:t>As part of the 2025</w:t>
      </w:r>
      <w:r w:rsidR="00D255FD">
        <w:rPr>
          <w:rFonts w:ascii="Work Sans" w:hAnsi="Work Sans"/>
          <w:szCs w:val="20"/>
        </w:rPr>
        <w:t> </w:t>
      </w:r>
      <w:r w:rsidRPr="00C01D56">
        <w:rPr>
          <w:rFonts w:ascii="Work Sans" w:hAnsi="Work Sans"/>
          <w:szCs w:val="20"/>
        </w:rPr>
        <w:t>Methodology</w:t>
      </w:r>
      <w:r w:rsidR="00D255FD">
        <w:rPr>
          <w:rFonts w:ascii="Work Sans" w:hAnsi="Work Sans"/>
          <w:szCs w:val="20"/>
        </w:rPr>
        <w:t> </w:t>
      </w:r>
      <w:r w:rsidRPr="00C01D56">
        <w:rPr>
          <w:rFonts w:ascii="Work Sans" w:hAnsi="Work Sans"/>
          <w:szCs w:val="20"/>
        </w:rPr>
        <w:t xml:space="preserve">Review, the Commission outlined </w:t>
      </w:r>
      <w:r>
        <w:rPr>
          <w:rFonts w:ascii="Work Sans" w:hAnsi="Work Sans"/>
          <w:szCs w:val="20"/>
        </w:rPr>
        <w:t xml:space="preserve">9 </w:t>
      </w:r>
      <w:r w:rsidR="00525428">
        <w:rPr>
          <w:rFonts w:ascii="Work Sans" w:hAnsi="Work Sans"/>
          <w:szCs w:val="20"/>
        </w:rPr>
        <w:t xml:space="preserve">potential </w:t>
      </w:r>
      <w:r>
        <w:rPr>
          <w:rFonts w:ascii="Work Sans" w:hAnsi="Work Sans"/>
          <w:szCs w:val="20"/>
        </w:rPr>
        <w:t>research projects</w:t>
      </w:r>
      <w:r w:rsidR="006827D8">
        <w:rPr>
          <w:rFonts w:ascii="Work Sans" w:hAnsi="Work Sans"/>
          <w:szCs w:val="20"/>
        </w:rPr>
        <w:t xml:space="preserve"> as part of </w:t>
      </w:r>
      <w:r>
        <w:rPr>
          <w:rFonts w:ascii="Work Sans" w:hAnsi="Work Sans"/>
          <w:szCs w:val="20"/>
        </w:rPr>
        <w:t xml:space="preserve">a </w:t>
      </w:r>
      <w:r w:rsidR="00F651D3">
        <w:rPr>
          <w:rFonts w:ascii="Work Sans" w:hAnsi="Work Sans"/>
          <w:szCs w:val="20"/>
        </w:rPr>
        <w:t>F</w:t>
      </w:r>
      <w:r w:rsidRPr="00C01D56">
        <w:rPr>
          <w:rFonts w:ascii="Work Sans" w:hAnsi="Work Sans"/>
          <w:szCs w:val="20"/>
        </w:rPr>
        <w:t xml:space="preserve">orward </w:t>
      </w:r>
      <w:r w:rsidR="00F651D3">
        <w:rPr>
          <w:rFonts w:ascii="Work Sans" w:hAnsi="Work Sans"/>
          <w:szCs w:val="20"/>
        </w:rPr>
        <w:t>W</w:t>
      </w:r>
      <w:r w:rsidRPr="00C01D56">
        <w:rPr>
          <w:rFonts w:ascii="Work Sans" w:hAnsi="Work Sans"/>
          <w:szCs w:val="20"/>
        </w:rPr>
        <w:t xml:space="preserve">ork </w:t>
      </w:r>
      <w:r w:rsidR="00F651D3">
        <w:rPr>
          <w:rFonts w:ascii="Work Sans" w:hAnsi="Work Sans"/>
          <w:szCs w:val="20"/>
        </w:rPr>
        <w:t>P</w:t>
      </w:r>
      <w:r>
        <w:rPr>
          <w:rFonts w:ascii="Work Sans" w:hAnsi="Work Sans"/>
          <w:szCs w:val="20"/>
        </w:rPr>
        <w:t>rogram</w:t>
      </w:r>
      <w:r w:rsidRPr="00C01D56">
        <w:rPr>
          <w:rFonts w:ascii="Work Sans" w:hAnsi="Work Sans"/>
          <w:szCs w:val="20"/>
        </w:rPr>
        <w:t>.</w:t>
      </w:r>
      <w:r>
        <w:rPr>
          <w:rFonts w:ascii="Work Sans" w:hAnsi="Work Sans"/>
          <w:szCs w:val="20"/>
        </w:rPr>
        <w:t xml:space="preserve"> The below list </w:t>
      </w:r>
      <w:r w:rsidR="00D40DD3">
        <w:rPr>
          <w:rFonts w:ascii="Work Sans" w:hAnsi="Work Sans"/>
          <w:szCs w:val="20"/>
        </w:rPr>
        <w:t>outlines</w:t>
      </w:r>
      <w:r>
        <w:rPr>
          <w:rFonts w:ascii="Work Sans" w:hAnsi="Work Sans"/>
          <w:szCs w:val="20"/>
        </w:rPr>
        <w:t xml:space="preserve"> each research</w:t>
      </w:r>
      <w:r w:rsidR="009961D3">
        <w:rPr>
          <w:rFonts w:ascii="Work Sans" w:hAnsi="Work Sans"/>
          <w:szCs w:val="20"/>
        </w:rPr>
        <w:t xml:space="preserve"> project</w:t>
      </w:r>
      <w:r w:rsidR="00F55871">
        <w:rPr>
          <w:rFonts w:ascii="Work Sans" w:hAnsi="Work Sans"/>
          <w:szCs w:val="20"/>
        </w:rPr>
        <w:t>:</w:t>
      </w:r>
    </w:p>
    <w:p w14:paraId="76923A9F" w14:textId="64F27B8F" w:rsidR="00A46261" w:rsidRDefault="00A46261" w:rsidP="00A46261">
      <w:pPr>
        <w:pStyle w:val="CGCBullet1"/>
        <w:tabs>
          <w:tab w:val="left" w:pos="6379"/>
          <w:tab w:val="left" w:pos="6521"/>
        </w:tabs>
      </w:pPr>
      <w:r>
        <w:t>I</w:t>
      </w:r>
      <w:r w:rsidRPr="00E93CE7">
        <w:t>nvestigating the feasibility of introducing elasticity adjustments in the revenue assessments</w:t>
      </w:r>
      <w:r>
        <w:t>.</w:t>
      </w:r>
    </w:p>
    <w:p w14:paraId="62DFE909" w14:textId="408784F3" w:rsidR="00A46261" w:rsidRPr="00E93CE7" w:rsidRDefault="00A46261" w:rsidP="00A46261">
      <w:pPr>
        <w:pStyle w:val="CGCBullet1"/>
        <w:tabs>
          <w:tab w:val="left" w:pos="6379"/>
          <w:tab w:val="left" w:pos="6521"/>
        </w:tabs>
      </w:pPr>
      <w:r>
        <w:t>R</w:t>
      </w:r>
      <w:r w:rsidRPr="00E93CE7">
        <w:t xml:space="preserve">e-evaluating the </w:t>
      </w:r>
      <w:r w:rsidR="00730C70">
        <w:t>U</w:t>
      </w:r>
      <w:r w:rsidRPr="00E93CE7">
        <w:t xml:space="preserve">rban </w:t>
      </w:r>
      <w:r w:rsidR="00730C70">
        <w:t>T</w:t>
      </w:r>
      <w:r w:rsidRPr="00E93CE7">
        <w:t xml:space="preserve">ransport </w:t>
      </w:r>
      <w:r w:rsidR="00730C70">
        <w:t>A</w:t>
      </w:r>
      <w:r w:rsidRPr="00E93CE7">
        <w:t>ssessment</w:t>
      </w:r>
      <w:r>
        <w:t>.</w:t>
      </w:r>
    </w:p>
    <w:p w14:paraId="5D963DB7" w14:textId="3296B034" w:rsidR="00356995" w:rsidRPr="00356995" w:rsidRDefault="009D33B8" w:rsidP="00356995">
      <w:pPr>
        <w:pStyle w:val="CGCBullet1"/>
      </w:pPr>
      <w:r>
        <w:t>C</w:t>
      </w:r>
      <w:r w:rsidR="00356995" w:rsidRPr="00356995">
        <w:t xml:space="preserve">onsidering the case for separately assessing </w:t>
      </w:r>
      <w:r w:rsidR="00356995" w:rsidRPr="00322EDC">
        <w:t xml:space="preserve">state </w:t>
      </w:r>
      <w:r w:rsidR="000E248A" w:rsidRPr="00322EDC">
        <w:t>revenue and</w:t>
      </w:r>
      <w:r w:rsidR="000E248A">
        <w:t xml:space="preserve"> </w:t>
      </w:r>
      <w:r w:rsidR="00B336E1">
        <w:t>expenses</w:t>
      </w:r>
      <w:r w:rsidR="00B336E1" w:rsidRPr="00356995">
        <w:t xml:space="preserve"> </w:t>
      </w:r>
      <w:r w:rsidR="00356995" w:rsidRPr="00356995">
        <w:t>relating to the transition to net zero emissions.</w:t>
      </w:r>
    </w:p>
    <w:p w14:paraId="42FBE11A" w14:textId="77777777" w:rsidR="00A46261" w:rsidRDefault="00A46261" w:rsidP="00A46261">
      <w:pPr>
        <w:pStyle w:val="CGCBullet1"/>
        <w:tabs>
          <w:tab w:val="left" w:pos="6379"/>
          <w:tab w:val="left" w:pos="6521"/>
        </w:tabs>
      </w:pPr>
      <w:r>
        <w:t>Investigating the suitability of the Commission’s current measure of First Nations disadvantage.</w:t>
      </w:r>
    </w:p>
    <w:p w14:paraId="53F76C53" w14:textId="71E05CBC" w:rsidR="00A46261" w:rsidRDefault="00A46261" w:rsidP="00A46261">
      <w:pPr>
        <w:pStyle w:val="CGCBullet1"/>
        <w:tabs>
          <w:tab w:val="left" w:pos="6379"/>
          <w:tab w:val="left" w:pos="6521"/>
        </w:tabs>
      </w:pPr>
      <w:r>
        <w:t>I</w:t>
      </w:r>
      <w:r w:rsidRPr="00E93CE7">
        <w:t xml:space="preserve">nvestigating the feasibility of introducing </w:t>
      </w:r>
      <w:r>
        <w:t xml:space="preserve">a dominant state adjustment in the </w:t>
      </w:r>
      <w:r w:rsidR="000A0A0B">
        <w:t>M</w:t>
      </w:r>
      <w:r>
        <w:t xml:space="preserve">ining </w:t>
      </w:r>
      <w:r w:rsidR="00FE7664">
        <w:t>R</w:t>
      </w:r>
      <w:r>
        <w:t xml:space="preserve">evenue </w:t>
      </w:r>
      <w:r w:rsidR="00FE7664">
        <w:t>A</w:t>
      </w:r>
      <w:r>
        <w:t>ssessment to reduce any disincentive to increase royalty rates.</w:t>
      </w:r>
    </w:p>
    <w:p w14:paraId="60C7EC7A" w14:textId="1203A3CF" w:rsidR="00A46261" w:rsidRDefault="00A46261" w:rsidP="00A46261">
      <w:pPr>
        <w:pStyle w:val="CGCBullet1"/>
      </w:pPr>
      <w:r>
        <w:t xml:space="preserve">Updating the data underpinning the </w:t>
      </w:r>
      <w:r w:rsidR="003965E2">
        <w:t>A</w:t>
      </w:r>
      <w:r>
        <w:t xml:space="preserve">dministrative </w:t>
      </w:r>
      <w:r w:rsidR="003965E2">
        <w:t>S</w:t>
      </w:r>
      <w:r>
        <w:t xml:space="preserve">cale </w:t>
      </w:r>
      <w:r w:rsidR="003965E2">
        <w:t>A</w:t>
      </w:r>
      <w:r>
        <w:t>ssessment.</w:t>
      </w:r>
    </w:p>
    <w:p w14:paraId="70C7F5D6" w14:textId="5862D661" w:rsidR="00A46261" w:rsidRDefault="00A46261" w:rsidP="00A46261">
      <w:pPr>
        <w:pStyle w:val="CGCBullet1"/>
      </w:pPr>
      <w:r>
        <w:t>Considering cultural and linguistic diversity as a possible driver of state expense needs, including whether it can be reliably measured in the Commission’s assessments.</w:t>
      </w:r>
    </w:p>
    <w:p w14:paraId="422EF3B3" w14:textId="0A61EAF5" w:rsidR="00A46261" w:rsidRDefault="00A46261" w:rsidP="00A46261">
      <w:pPr>
        <w:pStyle w:val="CGCBullet1"/>
      </w:pPr>
      <w:r>
        <w:t xml:space="preserve">Exploring the evidence on the extent that non-state health sectors influence state sector </w:t>
      </w:r>
      <w:r w:rsidR="00303590">
        <w:t>H</w:t>
      </w:r>
      <w:r>
        <w:t xml:space="preserve">ealth expense needs, which </w:t>
      </w:r>
      <w:r w:rsidR="00D15CE0">
        <w:t xml:space="preserve">is </w:t>
      </w:r>
      <w:r>
        <w:t>relevant to the Commission’s non</w:t>
      </w:r>
      <w:r w:rsidR="009C1F47">
        <w:noBreakHyphen/>
      </w:r>
      <w:r>
        <w:t xml:space="preserve">state sector adjustment in its </w:t>
      </w:r>
      <w:r w:rsidR="009C1F47">
        <w:t>H</w:t>
      </w:r>
      <w:r>
        <w:t xml:space="preserve">ealth </w:t>
      </w:r>
      <w:r w:rsidR="009C1F47">
        <w:t>A</w:t>
      </w:r>
      <w:r>
        <w:t>ssessment.</w:t>
      </w:r>
    </w:p>
    <w:p w14:paraId="23B6176D" w14:textId="2BD13CDF" w:rsidR="00AD53D2" w:rsidRPr="00667FA9" w:rsidRDefault="00A46261" w:rsidP="00D838D7">
      <w:pPr>
        <w:pStyle w:val="CGCBullet1"/>
      </w:pPr>
      <w:r>
        <w:t xml:space="preserve">Examining the Commission’s </w:t>
      </w:r>
      <w:r w:rsidR="002D745F">
        <w:t>H</w:t>
      </w:r>
      <w:r>
        <w:t xml:space="preserve">ealth </w:t>
      </w:r>
      <w:r w:rsidR="002D745F">
        <w:t>A</w:t>
      </w:r>
      <w:r>
        <w:t>ssessment methods (outside of the non</w:t>
      </w:r>
      <w:r w:rsidR="009C1F47">
        <w:noBreakHyphen/>
      </w:r>
      <w:r>
        <w:t>state sector) and exploring opportunities to simplify or improve current approaches and reduce reliance on judgement.</w:t>
      </w:r>
    </w:p>
    <w:sectPr w:rsidR="00AD53D2" w:rsidRPr="00667FA9" w:rsidSect="009C59BD">
      <w:footerReference w:type="default" r:id="rId18"/>
      <w:pgSz w:w="11900" w:h="16840"/>
      <w:pgMar w:top="1985" w:right="1418" w:bottom="1418" w:left="1418"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23FA3" w14:textId="77777777" w:rsidR="00E82A1A" w:rsidRDefault="00E82A1A" w:rsidP="005C0550">
      <w:pPr>
        <w:spacing w:before="0" w:line="240" w:lineRule="auto"/>
      </w:pPr>
      <w:r>
        <w:separator/>
      </w:r>
    </w:p>
  </w:endnote>
  <w:endnote w:type="continuationSeparator" w:id="0">
    <w:p w14:paraId="317E0B8A" w14:textId="77777777" w:rsidR="00E82A1A" w:rsidRDefault="00E82A1A" w:rsidP="005C0550">
      <w:pPr>
        <w:spacing w:before="0" w:line="240" w:lineRule="auto"/>
      </w:pPr>
      <w:r>
        <w:continuationSeparator/>
      </w:r>
    </w:p>
  </w:endnote>
  <w:endnote w:type="continuationNotice" w:id="1">
    <w:p w14:paraId="0CF06D9E" w14:textId="77777777" w:rsidR="00E82A1A" w:rsidRDefault="00E82A1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Work Sans">
    <w:altName w:val="Calibri"/>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5555125"/>
      <w:docPartObj>
        <w:docPartGallery w:val="Page Numbers (Bottom of Page)"/>
        <w:docPartUnique/>
      </w:docPartObj>
    </w:sdtPr>
    <w:sdtContent>
      <w:p w14:paraId="74BA921F" w14:textId="6126DBBB" w:rsidR="008B3F9B" w:rsidRDefault="008B3F9B" w:rsidP="004B1E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03134E" w14:textId="77777777" w:rsidR="008B3F9B" w:rsidRDefault="008B3F9B" w:rsidP="008B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2075" w14:textId="2DD779C2" w:rsidR="008B3F9B" w:rsidRPr="008B3F9B" w:rsidRDefault="008B3F9B" w:rsidP="004B1E93">
    <w:pPr>
      <w:pStyle w:val="Footer"/>
      <w:framePr w:wrap="none" w:vAnchor="text" w:hAnchor="margin" w:xAlign="right" w:y="1"/>
      <w:rPr>
        <w:rStyle w:val="PageNumber"/>
        <w:rFonts w:ascii="Open Sans" w:hAnsi="Open Sans" w:cs="Open Sans"/>
      </w:rPr>
    </w:pPr>
  </w:p>
  <w:p w14:paraId="7F855381" w14:textId="06E54B65" w:rsidR="008B3F9B" w:rsidRPr="00B15655" w:rsidRDefault="008B3F9B" w:rsidP="00B15655">
    <w:pPr>
      <w:tabs>
        <w:tab w:val="center" w:pos="4513"/>
        <w:tab w:val="right" w:pos="9026"/>
      </w:tabs>
      <w:rPr>
        <w:rFonts w:ascii="Work Sans" w:hAnsi="Work Sans"/>
        <w:color w:val="006991"/>
      </w:rPr>
    </w:pPr>
    <w:r w:rsidRPr="008B3F9B">
      <w:rPr>
        <w:rFonts w:ascii="Open Sans" w:hAnsi="Open Sans" w:cs="Open Sans"/>
      </w:rPr>
      <w:tab/>
    </w:r>
    <w:r w:rsidRPr="008B3F9B">
      <w:rPr>
        <w:rFonts w:ascii="Open Sans" w:hAnsi="Open Sans" w:cs="Open San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Open Sans" w:hAnsi="Open Sans" w:cs="Open Sans"/>
      </w:rPr>
      <w:id w:val="398727225"/>
      <w:docPartObj>
        <w:docPartGallery w:val="Page Numbers (Bottom of Page)"/>
        <w:docPartUnique/>
      </w:docPartObj>
    </w:sdtPr>
    <w:sdtContent>
      <w:p w14:paraId="403F178C" w14:textId="77777777" w:rsidR="009C59BD" w:rsidRPr="008B3F9B" w:rsidRDefault="00000000" w:rsidP="004B1E93">
        <w:pPr>
          <w:pStyle w:val="Footer"/>
          <w:framePr w:wrap="none" w:vAnchor="text" w:hAnchor="margin" w:xAlign="right" w:y="1"/>
          <w:rPr>
            <w:rStyle w:val="PageNumber"/>
            <w:rFonts w:ascii="Open Sans" w:hAnsi="Open Sans" w:cs="Open Sans"/>
          </w:rPr>
        </w:pPr>
      </w:p>
    </w:sdtContent>
  </w:sdt>
  <w:p w14:paraId="4F773013" w14:textId="756AC789" w:rsidR="009C59BD" w:rsidRPr="00B15655" w:rsidRDefault="009C59BD" w:rsidP="00B15655">
    <w:pPr>
      <w:tabs>
        <w:tab w:val="center" w:pos="4513"/>
        <w:tab w:val="right" w:pos="9026"/>
      </w:tabs>
      <w:rPr>
        <w:rFonts w:ascii="Work Sans" w:hAnsi="Work Sans"/>
        <w:color w:val="006991"/>
      </w:rPr>
    </w:pPr>
    <w:r w:rsidRPr="000665E8">
      <w:rPr>
        <w:rFonts w:ascii="Open Sans Semibold" w:hAnsi="Open Sans Semibold" w:cs="Open Sans Semibold"/>
        <w:color w:val="006991"/>
        <w:sz w:val="14"/>
        <w:szCs w:val="14"/>
      </w:rPr>
      <w:t>Commonwealth Grants Commission</w:t>
    </w:r>
    <w:r>
      <w:rPr>
        <w:rFonts w:ascii="Open Sans Semibold" w:hAnsi="Open Sans Semibold" w:cs="Open Sans Semibold"/>
        <w:color w:val="006991"/>
        <w:sz w:val="14"/>
        <w:szCs w:val="14"/>
      </w:rPr>
      <w:t xml:space="preserve"> </w:t>
    </w:r>
    <w:r>
      <w:rPr>
        <w:rFonts w:ascii="Open Sans" w:hAnsi="Open Sans" w:cs="Open Sans"/>
        <w:sz w:val="14"/>
        <w:szCs w:val="14"/>
      </w:rPr>
      <w:t>Research</w:t>
    </w:r>
    <w:r w:rsidRPr="00D455E8">
      <w:rPr>
        <w:rFonts w:ascii="Open Sans" w:hAnsi="Open Sans" w:cs="Open Sans"/>
        <w:sz w:val="14"/>
        <w:szCs w:val="14"/>
      </w:rPr>
      <w:t xml:space="preserve"> </w:t>
    </w:r>
    <w:r w:rsidR="00712AA3">
      <w:rPr>
        <w:rFonts w:ascii="Open Sans" w:hAnsi="Open Sans" w:cs="Open Sans"/>
        <w:sz w:val="14"/>
        <w:szCs w:val="14"/>
      </w:rPr>
      <w:t>Update</w:t>
    </w:r>
    <w:r w:rsidRPr="000536C3">
      <w:rPr>
        <w:rFonts w:ascii="Work Sans" w:hAnsi="Work Sans"/>
        <w:color w:val="006991"/>
      </w:rPr>
      <w:tab/>
    </w:r>
    <w:r w:rsidRPr="000536C3">
      <w:rPr>
        <w:rFonts w:ascii="Work Sans" w:hAnsi="Work Sans"/>
        <w:color w:val="006991"/>
      </w:rPr>
      <w:tab/>
      <w:t xml:space="preserve"> </w:t>
    </w:r>
    <w:r w:rsidRPr="00F37867">
      <w:rPr>
        <w:rFonts w:ascii="Work Sans" w:hAnsi="Work Sans"/>
        <w:sz w:val="14"/>
        <w:szCs w:val="14"/>
      </w:rPr>
      <w:fldChar w:fldCharType="begin"/>
    </w:r>
    <w:r w:rsidRPr="00F37867">
      <w:rPr>
        <w:rFonts w:ascii="Work Sans" w:hAnsi="Work Sans"/>
        <w:sz w:val="14"/>
        <w:szCs w:val="14"/>
      </w:rPr>
      <w:instrText xml:space="preserve"> PAGE   \* MERGEFORMAT </w:instrText>
    </w:r>
    <w:r w:rsidRPr="00F37867">
      <w:rPr>
        <w:rFonts w:ascii="Work Sans" w:hAnsi="Work Sans"/>
        <w:sz w:val="14"/>
        <w:szCs w:val="14"/>
      </w:rPr>
      <w:fldChar w:fldCharType="separate"/>
    </w:r>
    <w:r>
      <w:rPr>
        <w:rFonts w:ascii="Work Sans" w:hAnsi="Work Sans"/>
        <w:sz w:val="14"/>
        <w:szCs w:val="14"/>
      </w:rPr>
      <w:t>1</w:t>
    </w:r>
    <w:r w:rsidRPr="00F37867">
      <w:rPr>
        <w:rFonts w:ascii="Work Sans" w:hAnsi="Work Sans"/>
        <w:noProof/>
        <w:sz w:val="14"/>
        <w:szCs w:val="14"/>
      </w:rPr>
      <w:fldChar w:fldCharType="end"/>
    </w:r>
    <w:r w:rsidRPr="008B3F9B">
      <w:rPr>
        <w:rFonts w:ascii="Open Sans" w:hAnsi="Open Sans" w:cs="Open Sans"/>
      </w:rPr>
      <w:tab/>
    </w:r>
    <w:r w:rsidRPr="008B3F9B">
      <w:rPr>
        <w:rFonts w:ascii="Open Sans" w:hAnsi="Open Sans" w:cs="Open San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D434C" w14:textId="77777777" w:rsidR="00E82A1A" w:rsidRDefault="00E82A1A" w:rsidP="005C0550">
      <w:pPr>
        <w:spacing w:before="0" w:line="240" w:lineRule="auto"/>
      </w:pPr>
      <w:r>
        <w:separator/>
      </w:r>
    </w:p>
  </w:footnote>
  <w:footnote w:type="continuationSeparator" w:id="0">
    <w:p w14:paraId="0C7C3609" w14:textId="77777777" w:rsidR="00E82A1A" w:rsidRDefault="00E82A1A" w:rsidP="005C0550">
      <w:pPr>
        <w:spacing w:before="0" w:line="240" w:lineRule="auto"/>
      </w:pPr>
      <w:r>
        <w:continuationSeparator/>
      </w:r>
    </w:p>
  </w:footnote>
  <w:footnote w:type="continuationNotice" w:id="1">
    <w:p w14:paraId="51AC64D5" w14:textId="77777777" w:rsidR="00E82A1A" w:rsidRDefault="00E82A1A">
      <w:pPr>
        <w:spacing w:before="0" w:line="240" w:lineRule="auto"/>
      </w:pPr>
    </w:p>
  </w:footnote>
  <w:footnote w:id="2">
    <w:p w14:paraId="3C4A6277" w14:textId="3AD8BA69" w:rsidR="0015275B" w:rsidRPr="000A67F9" w:rsidRDefault="0015275B" w:rsidP="0015275B">
      <w:pPr>
        <w:pStyle w:val="FootnoteText"/>
        <w:rPr>
          <w:rStyle w:val="FootnoteReference"/>
        </w:rPr>
      </w:pPr>
      <w:r w:rsidRPr="00774DD5">
        <w:rPr>
          <w:rStyle w:val="FootnoteReference"/>
          <w:sz w:val="20"/>
          <w:vertAlign w:val="superscript"/>
        </w:rPr>
        <w:footnoteRef/>
      </w:r>
      <w:r w:rsidRPr="000A67F9">
        <w:rPr>
          <w:rStyle w:val="FootnoteReference"/>
        </w:rPr>
        <w:t xml:space="preserve"> </w:t>
      </w:r>
      <w:r w:rsidRPr="00AB3D33">
        <w:rPr>
          <w:rStyle w:val="FootnoteReference"/>
        </w:rPr>
        <w:t>Commercial property is exempt from land tax in the ACT but does attract land tax in most other states, while the Northern</w:t>
      </w:r>
      <w:r w:rsidR="006805FB">
        <w:t> </w:t>
      </w:r>
      <w:r w:rsidRPr="00AB3D33">
        <w:rPr>
          <w:rStyle w:val="FootnoteReference"/>
        </w:rPr>
        <w:t xml:space="preserve">Territory doesn’t levy land taxes at all. </w:t>
      </w:r>
      <w:r w:rsidRPr="00E42771">
        <w:rPr>
          <w:rStyle w:val="FootnoteReference"/>
        </w:rPr>
        <w:t>Small</w:t>
      </w:r>
      <w:r w:rsidRPr="00AB3D33">
        <w:rPr>
          <w:rStyle w:val="FootnoteReference"/>
        </w:rPr>
        <w:t xml:space="preserve"> businesses are exempt from payroll taxes in all states, however the threshold for exemption differs between states</w:t>
      </w:r>
      <w:r w:rsidR="00E40426">
        <w:t>.</w:t>
      </w:r>
      <w:r w:rsidRPr="00AB3D33">
        <w:rPr>
          <w:rStyle w:val="FootnoteReference"/>
        </w:rPr>
        <w:t xml:space="preserve"> </w:t>
      </w:r>
      <w:r w:rsidR="00D40160">
        <w:t>I</w:t>
      </w:r>
      <w:r w:rsidRPr="00AB3D33">
        <w:rPr>
          <w:rStyle w:val="FootnoteReference"/>
        </w:rPr>
        <w:t xml:space="preserve">n the ACT </w:t>
      </w:r>
      <w:r>
        <w:t xml:space="preserve">the threshold is </w:t>
      </w:r>
      <w:r w:rsidRPr="00774DD5">
        <w:rPr>
          <w:rStyle w:val="FootnoteReference"/>
        </w:rPr>
        <w:t>$2</w:t>
      </w:r>
      <w:r w:rsidR="006E4460">
        <w:t> </w:t>
      </w:r>
      <w:r w:rsidRPr="00774DD5">
        <w:rPr>
          <w:rStyle w:val="FootnoteReference"/>
        </w:rPr>
        <w:t>m</w:t>
      </w:r>
      <w:r w:rsidR="006E4460">
        <w:rPr>
          <w:rStyle w:val="FootnoteReference"/>
        </w:rPr>
        <w:t>i</w:t>
      </w:r>
      <w:r w:rsidR="006E4460">
        <w:t>llion</w:t>
      </w:r>
      <w:r w:rsidRPr="00774DD5">
        <w:rPr>
          <w:rStyle w:val="FootnoteReference"/>
        </w:rPr>
        <w:t xml:space="preserve"> per</w:t>
      </w:r>
      <w:r w:rsidR="002E3D2C">
        <w:t> </w:t>
      </w:r>
      <w:r w:rsidR="005158CD">
        <w:t>annum</w:t>
      </w:r>
      <w:r w:rsidRPr="00AB3D33">
        <w:rPr>
          <w:rStyle w:val="FootnoteReference"/>
        </w:rPr>
        <w:t xml:space="preserve">, while in Victoria </w:t>
      </w:r>
      <w:r>
        <w:rPr>
          <w:rStyle w:val="FootnoteReference"/>
        </w:rPr>
        <w:t>i</w:t>
      </w:r>
      <w:r>
        <w:t>t</w:t>
      </w:r>
      <w:r w:rsidRPr="00AB3D33">
        <w:rPr>
          <w:rStyle w:val="FootnoteReference"/>
        </w:rPr>
        <w:t xml:space="preserve"> is $1</w:t>
      </w:r>
      <w:r w:rsidR="002E3D2C">
        <w:t> </w:t>
      </w:r>
      <w:r w:rsidR="006E4460" w:rsidRPr="00774DD5">
        <w:rPr>
          <w:rStyle w:val="FootnoteReference"/>
        </w:rPr>
        <w:t>m</w:t>
      </w:r>
      <w:r w:rsidR="006E4460">
        <w:rPr>
          <w:rStyle w:val="FootnoteReference"/>
        </w:rPr>
        <w:t>i</w:t>
      </w:r>
      <w:r w:rsidR="006E4460">
        <w:t xml:space="preserve">llion </w:t>
      </w:r>
      <w:r>
        <w:t>per</w:t>
      </w:r>
      <w:r w:rsidR="002E3D2C">
        <w:t> </w:t>
      </w:r>
      <w:r w:rsidR="005158CD">
        <w:t>annum</w:t>
      </w:r>
      <w:r w:rsidRPr="000A67F9">
        <w:rPr>
          <w:rStyle w:val="FootnoteReference"/>
        </w:rPr>
        <w:t>.</w:t>
      </w:r>
    </w:p>
  </w:footnote>
  <w:footnote w:id="3">
    <w:p w14:paraId="1D051CD9" w14:textId="2E83F043" w:rsidR="00E318C9" w:rsidRDefault="00E318C9" w:rsidP="00E318C9">
      <w:pPr>
        <w:pStyle w:val="FootnoteText"/>
      </w:pPr>
      <w:r w:rsidRPr="007A7698">
        <w:rPr>
          <w:rStyle w:val="FootnoteReference"/>
          <w:sz w:val="20"/>
          <w:vertAlign w:val="superscript"/>
        </w:rPr>
        <w:footnoteRef/>
      </w:r>
      <w:r w:rsidRPr="007A7698">
        <w:rPr>
          <w:sz w:val="20"/>
          <w:vertAlign w:val="superscript"/>
        </w:rPr>
        <w:t xml:space="preserve"> </w:t>
      </w:r>
      <w:r w:rsidRPr="0060505F">
        <w:t xml:space="preserve">The </w:t>
      </w:r>
      <w:r w:rsidR="00E103C1">
        <w:t xml:space="preserve">Commission’s </w:t>
      </w:r>
      <w:r w:rsidRPr="0060505F">
        <w:t>policy neutrality</w:t>
      </w:r>
      <w:r w:rsidR="00076D23">
        <w:t xml:space="preserve"> supporting</w:t>
      </w:r>
      <w:r w:rsidR="00E103C1">
        <w:t xml:space="preserve"> principle</w:t>
      </w:r>
      <w:r w:rsidRPr="0060505F">
        <w:t xml:space="preserve"> </w:t>
      </w:r>
      <w:r w:rsidR="0080116F">
        <w:t>is</w:t>
      </w:r>
      <w:r w:rsidRPr="0060505F">
        <w:t xml:space="preserve"> a state’s policy choices should not directly influence its GST share and the Commission’s assessments should not create policy incentives </w:t>
      </w:r>
      <w:r w:rsidR="00687732">
        <w:t xml:space="preserve">or disincentives </w:t>
      </w:r>
      <w:r w:rsidRPr="0060505F">
        <w:t>for states.</w:t>
      </w:r>
    </w:p>
  </w:footnote>
  <w:footnote w:id="4">
    <w:p w14:paraId="2559874B" w14:textId="0C653655" w:rsidR="00E318C9" w:rsidRPr="00FB0070" w:rsidRDefault="00E318C9" w:rsidP="00E318C9">
      <w:pPr>
        <w:pStyle w:val="FootnoteText"/>
        <w:rPr>
          <w:rStyle w:val="FootnoteReference"/>
        </w:rPr>
      </w:pPr>
      <w:r w:rsidRPr="007660FD">
        <w:rPr>
          <w:rStyle w:val="FootnoteReference"/>
          <w:sz w:val="20"/>
          <w:vertAlign w:val="superscript"/>
        </w:rPr>
        <w:footnoteRef/>
      </w:r>
      <w:r w:rsidRPr="00FB0070">
        <w:rPr>
          <w:rStyle w:val="FootnoteReference"/>
        </w:rPr>
        <w:t xml:space="preserve"> ERA Seligman, </w:t>
      </w:r>
      <w:r w:rsidRPr="002E3D2C">
        <w:rPr>
          <w:rStyle w:val="FootnoteReference"/>
          <w:i/>
        </w:rPr>
        <w:t>The Shifting and Incidence of Taxation</w:t>
      </w:r>
      <w:r w:rsidRPr="00FB0070">
        <w:rPr>
          <w:rStyle w:val="FootnoteReference"/>
        </w:rPr>
        <w:t>,</w:t>
      </w:r>
      <w:r>
        <w:t xml:space="preserve"> </w:t>
      </w:r>
      <w:r w:rsidR="009C071D">
        <w:t>2nd</w:t>
      </w:r>
      <w:r w:rsidR="000A529E">
        <w:t xml:space="preserve"> </w:t>
      </w:r>
      <w:r w:rsidR="00C4588A">
        <w:t>e</w:t>
      </w:r>
      <w:r w:rsidR="009C071D">
        <w:t>d</w:t>
      </w:r>
      <w:r w:rsidR="00C4588A">
        <w:t>itio</w:t>
      </w:r>
      <w:r w:rsidR="009C071D">
        <w:t>n</w:t>
      </w:r>
      <w:r w:rsidR="00C4588A">
        <w:t>,</w:t>
      </w:r>
      <w:r w:rsidR="009C071D">
        <w:t xml:space="preserve"> </w:t>
      </w:r>
      <w:r w:rsidR="00692E63">
        <w:t>Columbia University Press</w:t>
      </w:r>
      <w:r w:rsidR="005940FC">
        <w:t xml:space="preserve">, </w:t>
      </w:r>
      <w:r w:rsidR="00692E63">
        <w:t>New York</w:t>
      </w:r>
      <w:r w:rsidR="005940FC">
        <w:t>,</w:t>
      </w:r>
      <w:r w:rsidRPr="00FB0070">
        <w:rPr>
          <w:rStyle w:val="FootnoteReference"/>
        </w:rPr>
        <w:t xml:space="preserve"> 1902.</w:t>
      </w:r>
    </w:p>
  </w:footnote>
  <w:footnote w:id="5">
    <w:p w14:paraId="76A80E14" w14:textId="69E8447A" w:rsidR="00E318C9" w:rsidRDefault="00E318C9" w:rsidP="00E318C9">
      <w:pPr>
        <w:pStyle w:val="FootnoteText"/>
      </w:pPr>
      <w:r w:rsidRPr="007660FD">
        <w:rPr>
          <w:rStyle w:val="FootnoteReference"/>
          <w:sz w:val="20"/>
          <w:vertAlign w:val="superscript"/>
        </w:rPr>
        <w:footnoteRef/>
      </w:r>
      <w:r w:rsidRPr="007660FD">
        <w:rPr>
          <w:rStyle w:val="FootnoteReference"/>
          <w:sz w:val="20"/>
          <w:vertAlign w:val="superscript"/>
        </w:rPr>
        <w:t xml:space="preserve"> </w:t>
      </w:r>
      <w:r w:rsidR="00AC046B">
        <w:t>T</w:t>
      </w:r>
      <w:r w:rsidRPr="00FB0070">
        <w:rPr>
          <w:rStyle w:val="FootnoteReference"/>
        </w:rPr>
        <w:t>ax elasticity is defined as the proportional change in a tax base for a proportional change in the relevant tax rate.</w:t>
      </w:r>
    </w:p>
  </w:footnote>
  <w:footnote w:id="6">
    <w:p w14:paraId="2830FA32" w14:textId="708C4570" w:rsidR="00E318C9" w:rsidRDefault="00E318C9" w:rsidP="00E318C9">
      <w:pPr>
        <w:pStyle w:val="FootnoteText"/>
      </w:pPr>
      <w:r w:rsidRPr="0028668B">
        <w:rPr>
          <w:rStyle w:val="FootnoteReference"/>
          <w:sz w:val="20"/>
          <w:vertAlign w:val="superscript"/>
        </w:rPr>
        <w:footnoteRef/>
      </w:r>
      <w:r>
        <w:t xml:space="preserve"> </w:t>
      </w:r>
      <w:r w:rsidRPr="001D13D8">
        <w:t xml:space="preserve">The </w:t>
      </w:r>
      <w:r w:rsidR="00D653B8">
        <w:t xml:space="preserve">Commission’s </w:t>
      </w:r>
      <w:r w:rsidRPr="001D13D8">
        <w:t>practicality</w:t>
      </w:r>
      <w:r w:rsidR="00E103C1">
        <w:t xml:space="preserve"> </w:t>
      </w:r>
      <w:r w:rsidR="00076D23">
        <w:t xml:space="preserve">supporting </w:t>
      </w:r>
      <w:r w:rsidR="00E103C1">
        <w:t>principle</w:t>
      </w:r>
      <w:r w:rsidRPr="001D13D8">
        <w:t xml:space="preserve"> is that assessments should be based on sound and reliable data and methods and should be as simple as possible, while capturing the major influences on state expenses and revenue.</w:t>
      </w:r>
    </w:p>
  </w:footnote>
  <w:footnote w:id="7">
    <w:p w14:paraId="79FB1D69" w14:textId="655451B9" w:rsidR="00E318C9" w:rsidRDefault="00E318C9" w:rsidP="00E318C9">
      <w:pPr>
        <w:pStyle w:val="FootnoteText"/>
      </w:pPr>
      <w:r w:rsidRPr="007660FD">
        <w:rPr>
          <w:rStyle w:val="FootnoteReference"/>
          <w:rFonts w:cs="Open Sans Light"/>
          <w:sz w:val="20"/>
          <w:vertAlign w:val="superscript"/>
        </w:rPr>
        <w:footnoteRef/>
      </w:r>
      <w:r w:rsidRPr="00FB0070">
        <w:rPr>
          <w:rFonts w:cs="Open Sans Light"/>
          <w:szCs w:val="14"/>
        </w:rPr>
        <w:t xml:space="preserve"> R Steinhauser, M Sinning </w:t>
      </w:r>
      <w:r w:rsidR="00093FBB">
        <w:rPr>
          <w:rFonts w:cs="Open Sans Light"/>
          <w:szCs w:val="14"/>
        </w:rPr>
        <w:t>and</w:t>
      </w:r>
      <w:r w:rsidRPr="00FB0070">
        <w:rPr>
          <w:rFonts w:cs="Open Sans Light"/>
          <w:szCs w:val="14"/>
        </w:rPr>
        <w:t xml:space="preserve"> K Sobeck, </w:t>
      </w:r>
      <w:hyperlink r:id="rId1" w:history="1">
        <w:r w:rsidRPr="00FB0070">
          <w:rPr>
            <w:rStyle w:val="Hyperlink"/>
            <w:rFonts w:cs="Open Sans Light"/>
            <w:szCs w:val="14"/>
          </w:rPr>
          <w:t>State tax elasticities of revenue bases</w:t>
        </w:r>
      </w:hyperlink>
      <w:r w:rsidRPr="00FB0070">
        <w:rPr>
          <w:rFonts w:cs="Open Sans Light"/>
          <w:szCs w:val="14"/>
        </w:rPr>
        <w:t>, Tax and Transfer Policy Institute, 2018, accessed</w:t>
      </w:r>
      <w:r>
        <w:rPr>
          <w:rFonts w:cs="Open Sans Light"/>
          <w:szCs w:val="14"/>
        </w:rPr>
        <w:t> </w:t>
      </w:r>
      <w:r w:rsidRPr="00FB0070">
        <w:rPr>
          <w:rFonts w:cs="Open Sans Light"/>
          <w:szCs w:val="14"/>
        </w:rPr>
        <w:t>8</w:t>
      </w:r>
      <w:r w:rsidR="007178FB">
        <w:rPr>
          <w:rFonts w:cs="Open Sans Light"/>
          <w:szCs w:val="14"/>
        </w:rPr>
        <w:t> </w:t>
      </w:r>
      <w:r w:rsidRPr="00FB0070">
        <w:rPr>
          <w:rFonts w:cs="Open Sans Light"/>
          <w:szCs w:val="14"/>
        </w:rPr>
        <w:t>August 2025.</w:t>
      </w:r>
    </w:p>
  </w:footnote>
  <w:footnote w:id="8">
    <w:p w14:paraId="2FA52785" w14:textId="63265D37" w:rsidR="003835B6" w:rsidRDefault="003835B6" w:rsidP="003835B6">
      <w:pPr>
        <w:pStyle w:val="FootnoteText"/>
      </w:pPr>
      <w:r w:rsidRPr="006F1909">
        <w:rPr>
          <w:rStyle w:val="FootnoteReference"/>
          <w:rFonts w:cs="Open Sans Light"/>
          <w:sz w:val="20"/>
          <w:vertAlign w:val="superscript"/>
        </w:rPr>
        <w:footnoteRef/>
      </w:r>
      <w:r>
        <w:t xml:space="preserve"> </w:t>
      </w:r>
      <w:r w:rsidRPr="00FB0070">
        <w:rPr>
          <w:rFonts w:cs="Open Sans Light"/>
          <w:szCs w:val="14"/>
        </w:rPr>
        <w:t xml:space="preserve">R Steinhauser, M Sinning </w:t>
      </w:r>
      <w:r w:rsidR="00093FBB">
        <w:rPr>
          <w:rFonts w:cs="Open Sans Light"/>
          <w:szCs w:val="14"/>
        </w:rPr>
        <w:t>and</w:t>
      </w:r>
      <w:r w:rsidRPr="00FB0070">
        <w:rPr>
          <w:rFonts w:cs="Open Sans Light"/>
          <w:szCs w:val="14"/>
        </w:rPr>
        <w:t xml:space="preserve"> K Sobeck, </w:t>
      </w:r>
      <w:hyperlink r:id="rId2" w:history="1">
        <w:r w:rsidRPr="00FB0070">
          <w:rPr>
            <w:rStyle w:val="Hyperlink"/>
            <w:rFonts w:cs="Open Sans Light"/>
            <w:szCs w:val="14"/>
          </w:rPr>
          <w:t>State tax elasticities of revenue bases</w:t>
        </w:r>
      </w:hyperlink>
      <w:r w:rsidRPr="00FB0070">
        <w:rPr>
          <w:rFonts w:cs="Open Sans Light"/>
          <w:szCs w:val="14"/>
        </w:rPr>
        <w:t>, Tax and Transfer Policy Institute, 2018, accessed</w:t>
      </w:r>
      <w:r>
        <w:rPr>
          <w:rFonts w:cs="Open Sans Light"/>
          <w:szCs w:val="14"/>
        </w:rPr>
        <w:t> </w:t>
      </w:r>
      <w:r w:rsidRPr="00FB0070">
        <w:rPr>
          <w:rFonts w:cs="Open Sans Light"/>
          <w:szCs w:val="14"/>
        </w:rPr>
        <w:t>8</w:t>
      </w:r>
      <w:r w:rsidR="00F113BD">
        <w:rPr>
          <w:rFonts w:cs="Open Sans Light"/>
          <w:szCs w:val="14"/>
        </w:rPr>
        <w:t> </w:t>
      </w:r>
      <w:r w:rsidRPr="00FB0070">
        <w:rPr>
          <w:rFonts w:cs="Open Sans Light"/>
          <w:szCs w:val="14"/>
        </w:rPr>
        <w:t>August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604C0" w14:textId="5419948E" w:rsidR="00893D17" w:rsidRDefault="00893D17">
    <w:pPr>
      <w:pStyle w:val="Header"/>
    </w:pPr>
    <w:r>
      <w:rPr>
        <w:noProof/>
      </w:rPr>
      <w:drawing>
        <wp:anchor distT="0" distB="0" distL="114300" distR="114300" simplePos="0" relativeHeight="251658244" behindDoc="1" locked="1" layoutInCell="1" allowOverlap="1" wp14:anchorId="7464EAE4" wp14:editId="377C3ECE">
          <wp:simplePos x="0" y="0"/>
          <wp:positionH relativeFrom="column">
            <wp:posOffset>-914400</wp:posOffset>
          </wp:positionH>
          <wp:positionV relativeFrom="page">
            <wp:posOffset>11430</wp:posOffset>
          </wp:positionV>
          <wp:extent cx="7561580" cy="10688320"/>
          <wp:effectExtent l="0" t="0" r="1270" b="0"/>
          <wp:wrapNone/>
          <wp:docPr id="1" name="Picture 1" descr="A black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orang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0688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859C9" w14:textId="713926D7" w:rsidR="00C25219" w:rsidRDefault="00AB73C2">
    <w:pPr>
      <w:pStyle w:val="Header"/>
    </w:pPr>
    <w:r>
      <w:rPr>
        <w:noProof/>
      </w:rPr>
      <w:drawing>
        <wp:anchor distT="0" distB="0" distL="114300" distR="114300" simplePos="0" relativeHeight="251658240" behindDoc="1" locked="0" layoutInCell="1" allowOverlap="1" wp14:anchorId="3D0DD578" wp14:editId="34A479C4">
          <wp:simplePos x="0" y="0"/>
          <wp:positionH relativeFrom="column">
            <wp:posOffset>-899907</wp:posOffset>
          </wp:positionH>
          <wp:positionV relativeFrom="paragraph">
            <wp:posOffset>-469723</wp:posOffset>
          </wp:positionV>
          <wp:extent cx="7562789" cy="10689589"/>
          <wp:effectExtent l="0" t="0" r="0" b="4445"/>
          <wp:wrapNone/>
          <wp:docPr id="1766754496" name="Picture 176675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5E0448FF" wp14:editId="3893EFC1">
          <wp:simplePos x="0" y="0"/>
          <wp:positionH relativeFrom="column">
            <wp:posOffset>-923290</wp:posOffset>
          </wp:positionH>
          <wp:positionV relativeFrom="paragraph">
            <wp:posOffset>10351135</wp:posOffset>
          </wp:positionV>
          <wp:extent cx="7580630" cy="10691495"/>
          <wp:effectExtent l="0" t="0" r="1270" b="1905"/>
          <wp:wrapNone/>
          <wp:docPr id="479755872" name="Picture 47975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405092777" name="Picture 40509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1"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715768116" name="Picture 71576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98842"/>
    <w:multiLevelType w:val="hybridMultilevel"/>
    <w:tmpl w:val="D5B64C40"/>
    <w:lvl w:ilvl="0" w:tplc="9F621FC8">
      <w:start w:val="1"/>
      <w:numFmt w:val="bullet"/>
      <w:lvlText w:val=""/>
      <w:lvlJc w:val="left"/>
      <w:pPr>
        <w:ind w:left="720" w:hanging="360"/>
      </w:pPr>
      <w:rPr>
        <w:rFonts w:ascii="Symbol" w:hAnsi="Symbol" w:hint="default"/>
      </w:rPr>
    </w:lvl>
    <w:lvl w:ilvl="1" w:tplc="94505DF4">
      <w:start w:val="1"/>
      <w:numFmt w:val="bullet"/>
      <w:lvlText w:val="o"/>
      <w:lvlJc w:val="left"/>
      <w:pPr>
        <w:ind w:left="1440" w:hanging="360"/>
      </w:pPr>
      <w:rPr>
        <w:rFonts w:ascii="Courier New" w:hAnsi="Courier New" w:hint="default"/>
      </w:rPr>
    </w:lvl>
    <w:lvl w:ilvl="2" w:tplc="B40CA00C">
      <w:start w:val="1"/>
      <w:numFmt w:val="bullet"/>
      <w:lvlText w:val=""/>
      <w:lvlJc w:val="left"/>
      <w:pPr>
        <w:ind w:left="2160" w:hanging="360"/>
      </w:pPr>
      <w:rPr>
        <w:rFonts w:ascii="Wingdings" w:hAnsi="Wingdings" w:hint="default"/>
      </w:rPr>
    </w:lvl>
    <w:lvl w:ilvl="3" w:tplc="9E84BB2C">
      <w:start w:val="1"/>
      <w:numFmt w:val="bullet"/>
      <w:lvlText w:val=""/>
      <w:lvlJc w:val="left"/>
      <w:pPr>
        <w:ind w:left="2880" w:hanging="360"/>
      </w:pPr>
      <w:rPr>
        <w:rFonts w:ascii="Symbol" w:hAnsi="Symbol" w:hint="default"/>
      </w:rPr>
    </w:lvl>
    <w:lvl w:ilvl="4" w:tplc="229C477A">
      <w:start w:val="1"/>
      <w:numFmt w:val="bullet"/>
      <w:lvlText w:val="o"/>
      <w:lvlJc w:val="left"/>
      <w:pPr>
        <w:ind w:left="3600" w:hanging="360"/>
      </w:pPr>
      <w:rPr>
        <w:rFonts w:ascii="Courier New" w:hAnsi="Courier New" w:hint="default"/>
      </w:rPr>
    </w:lvl>
    <w:lvl w:ilvl="5" w:tplc="8AE04330">
      <w:start w:val="1"/>
      <w:numFmt w:val="bullet"/>
      <w:lvlText w:val=""/>
      <w:lvlJc w:val="left"/>
      <w:pPr>
        <w:ind w:left="4320" w:hanging="360"/>
      </w:pPr>
      <w:rPr>
        <w:rFonts w:ascii="Wingdings" w:hAnsi="Wingdings" w:hint="default"/>
      </w:rPr>
    </w:lvl>
    <w:lvl w:ilvl="6" w:tplc="E1840F32">
      <w:start w:val="1"/>
      <w:numFmt w:val="bullet"/>
      <w:lvlText w:val=""/>
      <w:lvlJc w:val="left"/>
      <w:pPr>
        <w:ind w:left="5040" w:hanging="360"/>
      </w:pPr>
      <w:rPr>
        <w:rFonts w:ascii="Symbol" w:hAnsi="Symbol" w:hint="default"/>
      </w:rPr>
    </w:lvl>
    <w:lvl w:ilvl="7" w:tplc="48F2C93A">
      <w:start w:val="1"/>
      <w:numFmt w:val="bullet"/>
      <w:lvlText w:val="o"/>
      <w:lvlJc w:val="left"/>
      <w:pPr>
        <w:ind w:left="5760" w:hanging="360"/>
      </w:pPr>
      <w:rPr>
        <w:rFonts w:ascii="Courier New" w:hAnsi="Courier New" w:hint="default"/>
      </w:rPr>
    </w:lvl>
    <w:lvl w:ilvl="8" w:tplc="5C8E0B62">
      <w:start w:val="1"/>
      <w:numFmt w:val="bullet"/>
      <w:lvlText w:val=""/>
      <w:lvlJc w:val="left"/>
      <w:pPr>
        <w:ind w:left="6480" w:hanging="360"/>
      </w:pPr>
      <w:rPr>
        <w:rFonts w:ascii="Wingdings" w:hAnsi="Wingdings" w:hint="default"/>
      </w:rPr>
    </w:lvl>
  </w:abstractNum>
  <w:abstractNum w:abstractNumId="1" w15:restartNumberingAfterBreak="0">
    <w:nsid w:val="37A328B4"/>
    <w:multiLevelType w:val="hybridMultilevel"/>
    <w:tmpl w:val="A39AE41A"/>
    <w:lvl w:ilvl="0" w:tplc="75ACC68A">
      <w:start w:val="1"/>
      <w:numFmt w:val="bullet"/>
      <w:pStyle w:val="CGCBullet1"/>
      <w:lvlText w:val=""/>
      <w:lvlJc w:val="left"/>
      <w:pPr>
        <w:ind w:left="92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2B1144"/>
    <w:multiLevelType w:val="hybridMultilevel"/>
    <w:tmpl w:val="5F48BBEC"/>
    <w:lvl w:ilvl="0" w:tplc="063EF0AC">
      <w:start w:val="1"/>
      <w:numFmt w:val="bullet"/>
      <w:pStyle w:val="CGCBullet2"/>
      <w:lvlText w:val=""/>
      <w:lvlJc w:val="left"/>
      <w:pPr>
        <w:ind w:left="1571" w:hanging="360"/>
      </w:pPr>
      <w:rPr>
        <w:rFonts w:ascii="Symbol" w:hAnsi="Symbol" w:hint="default"/>
        <w:color w:val="auto"/>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655A6B4E"/>
    <w:multiLevelType w:val="multilevel"/>
    <w:tmpl w:val="C9D8FA48"/>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66956221">
    <w:abstractNumId w:val="0"/>
  </w:num>
  <w:num w:numId="2" w16cid:durableId="676619033">
    <w:abstractNumId w:val="2"/>
  </w:num>
  <w:num w:numId="3" w16cid:durableId="174540925">
    <w:abstractNumId w:val="1"/>
  </w:num>
  <w:num w:numId="4" w16cid:durableId="1042705913">
    <w:abstractNumId w:val="4"/>
  </w:num>
  <w:num w:numId="5" w16cid:durableId="925961211">
    <w:abstractNumId w:val="3"/>
  </w:num>
  <w:num w:numId="6" w16cid:durableId="1244410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628"/>
    <w:rsid w:val="00000BDE"/>
    <w:rsid w:val="000057E8"/>
    <w:rsid w:val="00007767"/>
    <w:rsid w:val="00012602"/>
    <w:rsid w:val="0001625B"/>
    <w:rsid w:val="00021EA0"/>
    <w:rsid w:val="000231C1"/>
    <w:rsid w:val="00024312"/>
    <w:rsid w:val="00025CE9"/>
    <w:rsid w:val="000264C3"/>
    <w:rsid w:val="00037C87"/>
    <w:rsid w:val="00040653"/>
    <w:rsid w:val="00044BB8"/>
    <w:rsid w:val="00046C95"/>
    <w:rsid w:val="00046D60"/>
    <w:rsid w:val="00050110"/>
    <w:rsid w:val="000506C1"/>
    <w:rsid w:val="000510CE"/>
    <w:rsid w:val="00051C59"/>
    <w:rsid w:val="0005333E"/>
    <w:rsid w:val="000564C2"/>
    <w:rsid w:val="00061D75"/>
    <w:rsid w:val="00063D10"/>
    <w:rsid w:val="00064214"/>
    <w:rsid w:val="00065BC4"/>
    <w:rsid w:val="000672F4"/>
    <w:rsid w:val="00070DE9"/>
    <w:rsid w:val="00072C20"/>
    <w:rsid w:val="00073B90"/>
    <w:rsid w:val="0007566D"/>
    <w:rsid w:val="00076D23"/>
    <w:rsid w:val="00081784"/>
    <w:rsid w:val="00082E8F"/>
    <w:rsid w:val="00093FBB"/>
    <w:rsid w:val="00094A66"/>
    <w:rsid w:val="0009614E"/>
    <w:rsid w:val="000A0812"/>
    <w:rsid w:val="000A0A0B"/>
    <w:rsid w:val="000A1DF6"/>
    <w:rsid w:val="000A32AE"/>
    <w:rsid w:val="000A34B4"/>
    <w:rsid w:val="000A355A"/>
    <w:rsid w:val="000A529E"/>
    <w:rsid w:val="000A6276"/>
    <w:rsid w:val="000B2506"/>
    <w:rsid w:val="000B5AC0"/>
    <w:rsid w:val="000B7063"/>
    <w:rsid w:val="000C0041"/>
    <w:rsid w:val="000C22F8"/>
    <w:rsid w:val="000C2E28"/>
    <w:rsid w:val="000C4DDA"/>
    <w:rsid w:val="000C551F"/>
    <w:rsid w:val="000C5A24"/>
    <w:rsid w:val="000C5FF7"/>
    <w:rsid w:val="000D069E"/>
    <w:rsid w:val="000D23A3"/>
    <w:rsid w:val="000D47D9"/>
    <w:rsid w:val="000D5912"/>
    <w:rsid w:val="000D5CBC"/>
    <w:rsid w:val="000D6E1C"/>
    <w:rsid w:val="000D7351"/>
    <w:rsid w:val="000E2232"/>
    <w:rsid w:val="000E248A"/>
    <w:rsid w:val="000E3C5C"/>
    <w:rsid w:val="000E4319"/>
    <w:rsid w:val="000F24DB"/>
    <w:rsid w:val="000F2CF5"/>
    <w:rsid w:val="000F2F0F"/>
    <w:rsid w:val="000F3925"/>
    <w:rsid w:val="000F43E9"/>
    <w:rsid w:val="000F5591"/>
    <w:rsid w:val="000F5853"/>
    <w:rsid w:val="000F7709"/>
    <w:rsid w:val="00104FA3"/>
    <w:rsid w:val="00106473"/>
    <w:rsid w:val="00106FD9"/>
    <w:rsid w:val="00107899"/>
    <w:rsid w:val="0011082D"/>
    <w:rsid w:val="00112DA8"/>
    <w:rsid w:val="00114A49"/>
    <w:rsid w:val="00117DB4"/>
    <w:rsid w:val="00121627"/>
    <w:rsid w:val="00123672"/>
    <w:rsid w:val="0012619E"/>
    <w:rsid w:val="001301EA"/>
    <w:rsid w:val="00130863"/>
    <w:rsid w:val="00132886"/>
    <w:rsid w:val="00132A11"/>
    <w:rsid w:val="001337BD"/>
    <w:rsid w:val="0013528D"/>
    <w:rsid w:val="00135E10"/>
    <w:rsid w:val="0013705F"/>
    <w:rsid w:val="00142993"/>
    <w:rsid w:val="00142B5A"/>
    <w:rsid w:val="0014315D"/>
    <w:rsid w:val="00145188"/>
    <w:rsid w:val="00146350"/>
    <w:rsid w:val="0015275B"/>
    <w:rsid w:val="0015643E"/>
    <w:rsid w:val="001606C1"/>
    <w:rsid w:val="00160A7E"/>
    <w:rsid w:val="0016586A"/>
    <w:rsid w:val="00167CC1"/>
    <w:rsid w:val="00167E06"/>
    <w:rsid w:val="00170438"/>
    <w:rsid w:val="0017374C"/>
    <w:rsid w:val="00175B3E"/>
    <w:rsid w:val="00177CBA"/>
    <w:rsid w:val="00181BBF"/>
    <w:rsid w:val="001820E5"/>
    <w:rsid w:val="00184DF0"/>
    <w:rsid w:val="00184E70"/>
    <w:rsid w:val="00185804"/>
    <w:rsid w:val="00186E63"/>
    <w:rsid w:val="001879FC"/>
    <w:rsid w:val="00194A8B"/>
    <w:rsid w:val="0019710A"/>
    <w:rsid w:val="001A060B"/>
    <w:rsid w:val="001A0E79"/>
    <w:rsid w:val="001A5D64"/>
    <w:rsid w:val="001B021A"/>
    <w:rsid w:val="001B3A59"/>
    <w:rsid w:val="001B591F"/>
    <w:rsid w:val="001B5DAA"/>
    <w:rsid w:val="001B6346"/>
    <w:rsid w:val="001B7889"/>
    <w:rsid w:val="001B7E33"/>
    <w:rsid w:val="001C3DC2"/>
    <w:rsid w:val="001C784E"/>
    <w:rsid w:val="001D236A"/>
    <w:rsid w:val="001D3541"/>
    <w:rsid w:val="001D3B72"/>
    <w:rsid w:val="001D4EC5"/>
    <w:rsid w:val="001D4FB4"/>
    <w:rsid w:val="001D6836"/>
    <w:rsid w:val="001E20BE"/>
    <w:rsid w:val="001E2D1B"/>
    <w:rsid w:val="001E3ACE"/>
    <w:rsid w:val="001F0F6B"/>
    <w:rsid w:val="001F35B1"/>
    <w:rsid w:val="001F3F4D"/>
    <w:rsid w:val="001F4E4F"/>
    <w:rsid w:val="001F5057"/>
    <w:rsid w:val="001F530D"/>
    <w:rsid w:val="001F6697"/>
    <w:rsid w:val="00202F0F"/>
    <w:rsid w:val="002063A1"/>
    <w:rsid w:val="0021023B"/>
    <w:rsid w:val="0021411E"/>
    <w:rsid w:val="002151B2"/>
    <w:rsid w:val="00216471"/>
    <w:rsid w:val="00217390"/>
    <w:rsid w:val="002177FB"/>
    <w:rsid w:val="0022217B"/>
    <w:rsid w:val="002225A6"/>
    <w:rsid w:val="0022366B"/>
    <w:rsid w:val="00224BDE"/>
    <w:rsid w:val="002253E1"/>
    <w:rsid w:val="002254CF"/>
    <w:rsid w:val="0022680E"/>
    <w:rsid w:val="00226FE2"/>
    <w:rsid w:val="002317E3"/>
    <w:rsid w:val="00233269"/>
    <w:rsid w:val="0023718F"/>
    <w:rsid w:val="00237461"/>
    <w:rsid w:val="0024089C"/>
    <w:rsid w:val="0024308A"/>
    <w:rsid w:val="00246372"/>
    <w:rsid w:val="00250980"/>
    <w:rsid w:val="00251E94"/>
    <w:rsid w:val="002537B7"/>
    <w:rsid w:val="002546AF"/>
    <w:rsid w:val="0025513A"/>
    <w:rsid w:val="002560F8"/>
    <w:rsid w:val="00257590"/>
    <w:rsid w:val="00257DEB"/>
    <w:rsid w:val="00260CF1"/>
    <w:rsid w:val="00261281"/>
    <w:rsid w:val="0026256F"/>
    <w:rsid w:val="002647CC"/>
    <w:rsid w:val="0026591D"/>
    <w:rsid w:val="00266193"/>
    <w:rsid w:val="00271A0A"/>
    <w:rsid w:val="00272486"/>
    <w:rsid w:val="00272D42"/>
    <w:rsid w:val="002771D6"/>
    <w:rsid w:val="0027774F"/>
    <w:rsid w:val="0027792B"/>
    <w:rsid w:val="0028199B"/>
    <w:rsid w:val="00281B86"/>
    <w:rsid w:val="0028378D"/>
    <w:rsid w:val="00285A59"/>
    <w:rsid w:val="0028668B"/>
    <w:rsid w:val="00287609"/>
    <w:rsid w:val="00291C8D"/>
    <w:rsid w:val="00292E62"/>
    <w:rsid w:val="002A0958"/>
    <w:rsid w:val="002A1446"/>
    <w:rsid w:val="002A153D"/>
    <w:rsid w:val="002B045B"/>
    <w:rsid w:val="002B0870"/>
    <w:rsid w:val="002B21C5"/>
    <w:rsid w:val="002B2AE7"/>
    <w:rsid w:val="002B3A26"/>
    <w:rsid w:val="002B3CBB"/>
    <w:rsid w:val="002B4FD0"/>
    <w:rsid w:val="002B7A3C"/>
    <w:rsid w:val="002C084C"/>
    <w:rsid w:val="002C1E57"/>
    <w:rsid w:val="002C4B61"/>
    <w:rsid w:val="002C722D"/>
    <w:rsid w:val="002C77EF"/>
    <w:rsid w:val="002C77FB"/>
    <w:rsid w:val="002C78C3"/>
    <w:rsid w:val="002D144D"/>
    <w:rsid w:val="002D431D"/>
    <w:rsid w:val="002D5200"/>
    <w:rsid w:val="002D5949"/>
    <w:rsid w:val="002D5E35"/>
    <w:rsid w:val="002D745F"/>
    <w:rsid w:val="002D7A79"/>
    <w:rsid w:val="002E3D2C"/>
    <w:rsid w:val="002E3F80"/>
    <w:rsid w:val="002F04A3"/>
    <w:rsid w:val="002F408A"/>
    <w:rsid w:val="002F448A"/>
    <w:rsid w:val="002F5814"/>
    <w:rsid w:val="002F650D"/>
    <w:rsid w:val="002F66E2"/>
    <w:rsid w:val="003026DD"/>
    <w:rsid w:val="00303590"/>
    <w:rsid w:val="00304651"/>
    <w:rsid w:val="00305AFD"/>
    <w:rsid w:val="00312502"/>
    <w:rsid w:val="00321361"/>
    <w:rsid w:val="0032266B"/>
    <w:rsid w:val="00322EDC"/>
    <w:rsid w:val="00324AB4"/>
    <w:rsid w:val="00325939"/>
    <w:rsid w:val="00326358"/>
    <w:rsid w:val="00327818"/>
    <w:rsid w:val="00327E3F"/>
    <w:rsid w:val="00327FC4"/>
    <w:rsid w:val="003314E1"/>
    <w:rsid w:val="00334454"/>
    <w:rsid w:val="00337787"/>
    <w:rsid w:val="00341C0E"/>
    <w:rsid w:val="00342F64"/>
    <w:rsid w:val="003458CE"/>
    <w:rsid w:val="00346715"/>
    <w:rsid w:val="003550BF"/>
    <w:rsid w:val="00356995"/>
    <w:rsid w:val="00356CAA"/>
    <w:rsid w:val="00361F55"/>
    <w:rsid w:val="0036342F"/>
    <w:rsid w:val="00366261"/>
    <w:rsid w:val="003676CB"/>
    <w:rsid w:val="003700D5"/>
    <w:rsid w:val="00370F3F"/>
    <w:rsid w:val="003740A7"/>
    <w:rsid w:val="00374412"/>
    <w:rsid w:val="0037538F"/>
    <w:rsid w:val="003759A1"/>
    <w:rsid w:val="00381079"/>
    <w:rsid w:val="00381949"/>
    <w:rsid w:val="0038279D"/>
    <w:rsid w:val="003835B6"/>
    <w:rsid w:val="00383E88"/>
    <w:rsid w:val="00383E8A"/>
    <w:rsid w:val="003872F4"/>
    <w:rsid w:val="003937A6"/>
    <w:rsid w:val="003938BE"/>
    <w:rsid w:val="00396090"/>
    <w:rsid w:val="003965E2"/>
    <w:rsid w:val="00396BB4"/>
    <w:rsid w:val="00396BCB"/>
    <w:rsid w:val="003A0B86"/>
    <w:rsid w:val="003A1196"/>
    <w:rsid w:val="003A34B6"/>
    <w:rsid w:val="003A34F4"/>
    <w:rsid w:val="003A3A55"/>
    <w:rsid w:val="003A3B8D"/>
    <w:rsid w:val="003A3E8D"/>
    <w:rsid w:val="003A44C0"/>
    <w:rsid w:val="003A47A8"/>
    <w:rsid w:val="003A47D7"/>
    <w:rsid w:val="003A6AEB"/>
    <w:rsid w:val="003B2CF6"/>
    <w:rsid w:val="003B4767"/>
    <w:rsid w:val="003B4F19"/>
    <w:rsid w:val="003B5DB3"/>
    <w:rsid w:val="003C0F33"/>
    <w:rsid w:val="003C125B"/>
    <w:rsid w:val="003C1612"/>
    <w:rsid w:val="003C2B0C"/>
    <w:rsid w:val="003C3452"/>
    <w:rsid w:val="003C4228"/>
    <w:rsid w:val="003C69C6"/>
    <w:rsid w:val="003C6ADE"/>
    <w:rsid w:val="003C7E49"/>
    <w:rsid w:val="003D2137"/>
    <w:rsid w:val="003D69CE"/>
    <w:rsid w:val="003E07DF"/>
    <w:rsid w:val="003E12EB"/>
    <w:rsid w:val="003E712E"/>
    <w:rsid w:val="003F07C0"/>
    <w:rsid w:val="003F0ECA"/>
    <w:rsid w:val="003F23AA"/>
    <w:rsid w:val="003F6E29"/>
    <w:rsid w:val="003F702F"/>
    <w:rsid w:val="0040167B"/>
    <w:rsid w:val="00401F4A"/>
    <w:rsid w:val="00402995"/>
    <w:rsid w:val="00402A5C"/>
    <w:rsid w:val="00402BF7"/>
    <w:rsid w:val="00403135"/>
    <w:rsid w:val="00406740"/>
    <w:rsid w:val="00411EC0"/>
    <w:rsid w:val="004121FC"/>
    <w:rsid w:val="00412F1A"/>
    <w:rsid w:val="00416637"/>
    <w:rsid w:val="00420465"/>
    <w:rsid w:val="00421094"/>
    <w:rsid w:val="00424BEC"/>
    <w:rsid w:val="00427D0B"/>
    <w:rsid w:val="0043203B"/>
    <w:rsid w:val="00432E9F"/>
    <w:rsid w:val="0043368A"/>
    <w:rsid w:val="00433996"/>
    <w:rsid w:val="004344CD"/>
    <w:rsid w:val="004350AA"/>
    <w:rsid w:val="00437719"/>
    <w:rsid w:val="00440A17"/>
    <w:rsid w:val="00442B2C"/>
    <w:rsid w:val="00442F96"/>
    <w:rsid w:val="004473B9"/>
    <w:rsid w:val="00451863"/>
    <w:rsid w:val="00451A44"/>
    <w:rsid w:val="00451FD4"/>
    <w:rsid w:val="0045676D"/>
    <w:rsid w:val="004600C4"/>
    <w:rsid w:val="0046319A"/>
    <w:rsid w:val="004664DE"/>
    <w:rsid w:val="00467385"/>
    <w:rsid w:val="00467610"/>
    <w:rsid w:val="0046785C"/>
    <w:rsid w:val="00470937"/>
    <w:rsid w:val="00470D3C"/>
    <w:rsid w:val="00471677"/>
    <w:rsid w:val="0047411E"/>
    <w:rsid w:val="0047421E"/>
    <w:rsid w:val="00475CB3"/>
    <w:rsid w:val="00483844"/>
    <w:rsid w:val="00484866"/>
    <w:rsid w:val="00484D8C"/>
    <w:rsid w:val="00485264"/>
    <w:rsid w:val="00485386"/>
    <w:rsid w:val="004939A0"/>
    <w:rsid w:val="0049420A"/>
    <w:rsid w:val="0049443E"/>
    <w:rsid w:val="00496842"/>
    <w:rsid w:val="004A07C2"/>
    <w:rsid w:val="004A1127"/>
    <w:rsid w:val="004A2EFF"/>
    <w:rsid w:val="004A3126"/>
    <w:rsid w:val="004A54F1"/>
    <w:rsid w:val="004A7471"/>
    <w:rsid w:val="004B1E93"/>
    <w:rsid w:val="004B6EA3"/>
    <w:rsid w:val="004C1E57"/>
    <w:rsid w:val="004C1F97"/>
    <w:rsid w:val="004C3B9D"/>
    <w:rsid w:val="004C54BA"/>
    <w:rsid w:val="004C5A61"/>
    <w:rsid w:val="004C78B6"/>
    <w:rsid w:val="004D1FA8"/>
    <w:rsid w:val="004D2339"/>
    <w:rsid w:val="004D3F31"/>
    <w:rsid w:val="004D3F3B"/>
    <w:rsid w:val="004D53F6"/>
    <w:rsid w:val="004D708B"/>
    <w:rsid w:val="004E272E"/>
    <w:rsid w:val="004E6B96"/>
    <w:rsid w:val="004F0D8A"/>
    <w:rsid w:val="004F2361"/>
    <w:rsid w:val="004F2CF8"/>
    <w:rsid w:val="00511326"/>
    <w:rsid w:val="00511747"/>
    <w:rsid w:val="005154B6"/>
    <w:rsid w:val="005158CD"/>
    <w:rsid w:val="00516AB8"/>
    <w:rsid w:val="005202AB"/>
    <w:rsid w:val="0052111F"/>
    <w:rsid w:val="00523505"/>
    <w:rsid w:val="00523C96"/>
    <w:rsid w:val="00524A72"/>
    <w:rsid w:val="00525428"/>
    <w:rsid w:val="00525AD9"/>
    <w:rsid w:val="005273E1"/>
    <w:rsid w:val="00531195"/>
    <w:rsid w:val="005316E9"/>
    <w:rsid w:val="00531839"/>
    <w:rsid w:val="00532EB4"/>
    <w:rsid w:val="0053788B"/>
    <w:rsid w:val="00537D42"/>
    <w:rsid w:val="00541E82"/>
    <w:rsid w:val="00541EDB"/>
    <w:rsid w:val="005517BE"/>
    <w:rsid w:val="0055244D"/>
    <w:rsid w:val="00554C85"/>
    <w:rsid w:val="00554DE2"/>
    <w:rsid w:val="00557378"/>
    <w:rsid w:val="00560207"/>
    <w:rsid w:val="005610FD"/>
    <w:rsid w:val="0056155B"/>
    <w:rsid w:val="00561F98"/>
    <w:rsid w:val="0056444B"/>
    <w:rsid w:val="00564FA4"/>
    <w:rsid w:val="005733AB"/>
    <w:rsid w:val="00576B99"/>
    <w:rsid w:val="00581FE5"/>
    <w:rsid w:val="00582123"/>
    <w:rsid w:val="00582BC2"/>
    <w:rsid w:val="0058452F"/>
    <w:rsid w:val="00584CA4"/>
    <w:rsid w:val="00585246"/>
    <w:rsid w:val="00590696"/>
    <w:rsid w:val="00590C74"/>
    <w:rsid w:val="00590E38"/>
    <w:rsid w:val="0059164B"/>
    <w:rsid w:val="005938AB"/>
    <w:rsid w:val="00593F10"/>
    <w:rsid w:val="005940FC"/>
    <w:rsid w:val="005A527B"/>
    <w:rsid w:val="005A768E"/>
    <w:rsid w:val="005A7D29"/>
    <w:rsid w:val="005B02E3"/>
    <w:rsid w:val="005B2608"/>
    <w:rsid w:val="005C0089"/>
    <w:rsid w:val="005C0550"/>
    <w:rsid w:val="005C08CB"/>
    <w:rsid w:val="005C315A"/>
    <w:rsid w:val="005C73E1"/>
    <w:rsid w:val="005D0942"/>
    <w:rsid w:val="005D16D5"/>
    <w:rsid w:val="005D1EF1"/>
    <w:rsid w:val="005D5A60"/>
    <w:rsid w:val="005D6A14"/>
    <w:rsid w:val="005D6DFF"/>
    <w:rsid w:val="005D7039"/>
    <w:rsid w:val="005E1FEE"/>
    <w:rsid w:val="005E2196"/>
    <w:rsid w:val="005E6850"/>
    <w:rsid w:val="005F0047"/>
    <w:rsid w:val="005F051E"/>
    <w:rsid w:val="005F0975"/>
    <w:rsid w:val="005F5E96"/>
    <w:rsid w:val="005F70F7"/>
    <w:rsid w:val="00603BB0"/>
    <w:rsid w:val="00603F83"/>
    <w:rsid w:val="00606047"/>
    <w:rsid w:val="00606660"/>
    <w:rsid w:val="006110E9"/>
    <w:rsid w:val="00611D2F"/>
    <w:rsid w:val="00612A30"/>
    <w:rsid w:val="00613642"/>
    <w:rsid w:val="00614A0C"/>
    <w:rsid w:val="0062179A"/>
    <w:rsid w:val="00621E63"/>
    <w:rsid w:val="006225A6"/>
    <w:rsid w:val="0062297F"/>
    <w:rsid w:val="00624C38"/>
    <w:rsid w:val="00624E3F"/>
    <w:rsid w:val="00625066"/>
    <w:rsid w:val="00626468"/>
    <w:rsid w:val="006269A4"/>
    <w:rsid w:val="00634183"/>
    <w:rsid w:val="00636332"/>
    <w:rsid w:val="0064183D"/>
    <w:rsid w:val="00641FAE"/>
    <w:rsid w:val="00645606"/>
    <w:rsid w:val="006466FE"/>
    <w:rsid w:val="00646888"/>
    <w:rsid w:val="006475EE"/>
    <w:rsid w:val="00647946"/>
    <w:rsid w:val="00647B5C"/>
    <w:rsid w:val="0065034A"/>
    <w:rsid w:val="00653B3E"/>
    <w:rsid w:val="006546CF"/>
    <w:rsid w:val="00654EC9"/>
    <w:rsid w:val="00655AE2"/>
    <w:rsid w:val="00656980"/>
    <w:rsid w:val="00656F91"/>
    <w:rsid w:val="006574FA"/>
    <w:rsid w:val="00662B01"/>
    <w:rsid w:val="006662B0"/>
    <w:rsid w:val="006666E4"/>
    <w:rsid w:val="00666E3E"/>
    <w:rsid w:val="00667FA9"/>
    <w:rsid w:val="00670411"/>
    <w:rsid w:val="00672628"/>
    <w:rsid w:val="00672A38"/>
    <w:rsid w:val="00675851"/>
    <w:rsid w:val="006770B0"/>
    <w:rsid w:val="006805A4"/>
    <w:rsid w:val="006805FB"/>
    <w:rsid w:val="00681535"/>
    <w:rsid w:val="00682128"/>
    <w:rsid w:val="0068238D"/>
    <w:rsid w:val="006827D8"/>
    <w:rsid w:val="00682CCF"/>
    <w:rsid w:val="00682D65"/>
    <w:rsid w:val="00683AF4"/>
    <w:rsid w:val="00684AC5"/>
    <w:rsid w:val="00687732"/>
    <w:rsid w:val="00692E63"/>
    <w:rsid w:val="006931A9"/>
    <w:rsid w:val="00693E1D"/>
    <w:rsid w:val="0069461B"/>
    <w:rsid w:val="006964CD"/>
    <w:rsid w:val="006A00B3"/>
    <w:rsid w:val="006A0C34"/>
    <w:rsid w:val="006A4810"/>
    <w:rsid w:val="006A55FD"/>
    <w:rsid w:val="006B05FC"/>
    <w:rsid w:val="006B385A"/>
    <w:rsid w:val="006B41DF"/>
    <w:rsid w:val="006B51AC"/>
    <w:rsid w:val="006B5653"/>
    <w:rsid w:val="006B6526"/>
    <w:rsid w:val="006B68F0"/>
    <w:rsid w:val="006B7801"/>
    <w:rsid w:val="006C2B2E"/>
    <w:rsid w:val="006C2F42"/>
    <w:rsid w:val="006C3ABC"/>
    <w:rsid w:val="006C5993"/>
    <w:rsid w:val="006C59BA"/>
    <w:rsid w:val="006C6147"/>
    <w:rsid w:val="006D1197"/>
    <w:rsid w:val="006D1E16"/>
    <w:rsid w:val="006D331F"/>
    <w:rsid w:val="006D6E6B"/>
    <w:rsid w:val="006D7625"/>
    <w:rsid w:val="006E0693"/>
    <w:rsid w:val="006E2C85"/>
    <w:rsid w:val="006E3373"/>
    <w:rsid w:val="006E4460"/>
    <w:rsid w:val="006E6000"/>
    <w:rsid w:val="006E7F50"/>
    <w:rsid w:val="006F4FA9"/>
    <w:rsid w:val="006F7B83"/>
    <w:rsid w:val="006F7EF1"/>
    <w:rsid w:val="00700BDF"/>
    <w:rsid w:val="00700CCF"/>
    <w:rsid w:val="00701459"/>
    <w:rsid w:val="00702376"/>
    <w:rsid w:val="0070661E"/>
    <w:rsid w:val="0070742F"/>
    <w:rsid w:val="007100BF"/>
    <w:rsid w:val="007116D5"/>
    <w:rsid w:val="007117F8"/>
    <w:rsid w:val="00712AA3"/>
    <w:rsid w:val="007173E1"/>
    <w:rsid w:val="007178FB"/>
    <w:rsid w:val="00717F84"/>
    <w:rsid w:val="0072285A"/>
    <w:rsid w:val="007254FF"/>
    <w:rsid w:val="00726936"/>
    <w:rsid w:val="00726EED"/>
    <w:rsid w:val="0072740D"/>
    <w:rsid w:val="00730C70"/>
    <w:rsid w:val="00730DAA"/>
    <w:rsid w:val="00731D44"/>
    <w:rsid w:val="00731E77"/>
    <w:rsid w:val="0073268F"/>
    <w:rsid w:val="007333DD"/>
    <w:rsid w:val="00733702"/>
    <w:rsid w:val="00740DD1"/>
    <w:rsid w:val="0074247F"/>
    <w:rsid w:val="00745082"/>
    <w:rsid w:val="00745177"/>
    <w:rsid w:val="00750796"/>
    <w:rsid w:val="007563EC"/>
    <w:rsid w:val="007575C1"/>
    <w:rsid w:val="00757A2A"/>
    <w:rsid w:val="00760462"/>
    <w:rsid w:val="007613E4"/>
    <w:rsid w:val="007623C4"/>
    <w:rsid w:val="00762E16"/>
    <w:rsid w:val="0076306E"/>
    <w:rsid w:val="0076644E"/>
    <w:rsid w:val="00773108"/>
    <w:rsid w:val="0078169C"/>
    <w:rsid w:val="00783712"/>
    <w:rsid w:val="00783A88"/>
    <w:rsid w:val="00785620"/>
    <w:rsid w:val="00787963"/>
    <w:rsid w:val="00790352"/>
    <w:rsid w:val="0079039C"/>
    <w:rsid w:val="0079243C"/>
    <w:rsid w:val="00795964"/>
    <w:rsid w:val="007963A2"/>
    <w:rsid w:val="007A1E56"/>
    <w:rsid w:val="007A33ED"/>
    <w:rsid w:val="007A4A32"/>
    <w:rsid w:val="007A507A"/>
    <w:rsid w:val="007A5A34"/>
    <w:rsid w:val="007A7619"/>
    <w:rsid w:val="007B035D"/>
    <w:rsid w:val="007B0627"/>
    <w:rsid w:val="007B224E"/>
    <w:rsid w:val="007B675E"/>
    <w:rsid w:val="007B73CA"/>
    <w:rsid w:val="007C04F3"/>
    <w:rsid w:val="007C0FA8"/>
    <w:rsid w:val="007C3BC8"/>
    <w:rsid w:val="007C3DB7"/>
    <w:rsid w:val="007C5E24"/>
    <w:rsid w:val="007C62D8"/>
    <w:rsid w:val="007C6A8E"/>
    <w:rsid w:val="007D7013"/>
    <w:rsid w:val="007D75D5"/>
    <w:rsid w:val="007D7BDE"/>
    <w:rsid w:val="007E000E"/>
    <w:rsid w:val="007E18BA"/>
    <w:rsid w:val="007E4D92"/>
    <w:rsid w:val="007E541F"/>
    <w:rsid w:val="007E7A3A"/>
    <w:rsid w:val="007F020C"/>
    <w:rsid w:val="007F4894"/>
    <w:rsid w:val="007F51B6"/>
    <w:rsid w:val="007F77F4"/>
    <w:rsid w:val="00800BD6"/>
    <w:rsid w:val="0080116F"/>
    <w:rsid w:val="0080519B"/>
    <w:rsid w:val="00805C91"/>
    <w:rsid w:val="0081182B"/>
    <w:rsid w:val="00814055"/>
    <w:rsid w:val="00815E1B"/>
    <w:rsid w:val="00817440"/>
    <w:rsid w:val="0081796D"/>
    <w:rsid w:val="00820D9A"/>
    <w:rsid w:val="00821E52"/>
    <w:rsid w:val="00822C78"/>
    <w:rsid w:val="00824E1F"/>
    <w:rsid w:val="0082608F"/>
    <w:rsid w:val="00826766"/>
    <w:rsid w:val="00827215"/>
    <w:rsid w:val="00830F22"/>
    <w:rsid w:val="00831124"/>
    <w:rsid w:val="00834105"/>
    <w:rsid w:val="00834273"/>
    <w:rsid w:val="00840A6A"/>
    <w:rsid w:val="008464C7"/>
    <w:rsid w:val="00847EA3"/>
    <w:rsid w:val="00850A1A"/>
    <w:rsid w:val="0085280F"/>
    <w:rsid w:val="00852F2C"/>
    <w:rsid w:val="00854334"/>
    <w:rsid w:val="0085480F"/>
    <w:rsid w:val="00855969"/>
    <w:rsid w:val="00855C5F"/>
    <w:rsid w:val="00855D59"/>
    <w:rsid w:val="00857364"/>
    <w:rsid w:val="008575E2"/>
    <w:rsid w:val="00862F9D"/>
    <w:rsid w:val="00864272"/>
    <w:rsid w:val="008666F0"/>
    <w:rsid w:val="0087029B"/>
    <w:rsid w:val="00870FC7"/>
    <w:rsid w:val="00874C91"/>
    <w:rsid w:val="0087723D"/>
    <w:rsid w:val="008777CF"/>
    <w:rsid w:val="00880BBD"/>
    <w:rsid w:val="008822C3"/>
    <w:rsid w:val="008837E4"/>
    <w:rsid w:val="0088792C"/>
    <w:rsid w:val="00887BE1"/>
    <w:rsid w:val="00893D17"/>
    <w:rsid w:val="00896FDE"/>
    <w:rsid w:val="0089709D"/>
    <w:rsid w:val="00897D1F"/>
    <w:rsid w:val="008A0832"/>
    <w:rsid w:val="008A08D5"/>
    <w:rsid w:val="008A13D7"/>
    <w:rsid w:val="008A251E"/>
    <w:rsid w:val="008A35CE"/>
    <w:rsid w:val="008A4D72"/>
    <w:rsid w:val="008A6E48"/>
    <w:rsid w:val="008A7AA0"/>
    <w:rsid w:val="008B3F9B"/>
    <w:rsid w:val="008B4672"/>
    <w:rsid w:val="008B5B85"/>
    <w:rsid w:val="008C2B28"/>
    <w:rsid w:val="008C68B1"/>
    <w:rsid w:val="008C7C14"/>
    <w:rsid w:val="008D2E7F"/>
    <w:rsid w:val="008D58F6"/>
    <w:rsid w:val="008D6B71"/>
    <w:rsid w:val="008E04F4"/>
    <w:rsid w:val="008E27DE"/>
    <w:rsid w:val="008E404D"/>
    <w:rsid w:val="008E43DD"/>
    <w:rsid w:val="008E53C1"/>
    <w:rsid w:val="008E6813"/>
    <w:rsid w:val="008E7D70"/>
    <w:rsid w:val="008E7F0F"/>
    <w:rsid w:val="008F4458"/>
    <w:rsid w:val="008F7D3E"/>
    <w:rsid w:val="009010BC"/>
    <w:rsid w:val="00901272"/>
    <w:rsid w:val="00901F86"/>
    <w:rsid w:val="00903BCD"/>
    <w:rsid w:val="009044DF"/>
    <w:rsid w:val="009053EF"/>
    <w:rsid w:val="00905F55"/>
    <w:rsid w:val="009062AA"/>
    <w:rsid w:val="00910318"/>
    <w:rsid w:val="00910A55"/>
    <w:rsid w:val="009118B1"/>
    <w:rsid w:val="00912662"/>
    <w:rsid w:val="00913EDD"/>
    <w:rsid w:val="0091502A"/>
    <w:rsid w:val="00916F61"/>
    <w:rsid w:val="00917916"/>
    <w:rsid w:val="009245C4"/>
    <w:rsid w:val="0092505C"/>
    <w:rsid w:val="00925354"/>
    <w:rsid w:val="00930480"/>
    <w:rsid w:val="0093111A"/>
    <w:rsid w:val="0093510B"/>
    <w:rsid w:val="0093520B"/>
    <w:rsid w:val="00940807"/>
    <w:rsid w:val="00940983"/>
    <w:rsid w:val="00941067"/>
    <w:rsid w:val="009446F2"/>
    <w:rsid w:val="0094521D"/>
    <w:rsid w:val="009455DF"/>
    <w:rsid w:val="00946082"/>
    <w:rsid w:val="00951F0D"/>
    <w:rsid w:val="00952B02"/>
    <w:rsid w:val="0095505F"/>
    <w:rsid w:val="00961B1B"/>
    <w:rsid w:val="00963FB6"/>
    <w:rsid w:val="009649B0"/>
    <w:rsid w:val="00964ECD"/>
    <w:rsid w:val="00970C11"/>
    <w:rsid w:val="009725E3"/>
    <w:rsid w:val="00975499"/>
    <w:rsid w:val="00976938"/>
    <w:rsid w:val="00980397"/>
    <w:rsid w:val="00980CCF"/>
    <w:rsid w:val="00985B43"/>
    <w:rsid w:val="00987167"/>
    <w:rsid w:val="009902C3"/>
    <w:rsid w:val="009908AA"/>
    <w:rsid w:val="00990C8A"/>
    <w:rsid w:val="009947FF"/>
    <w:rsid w:val="009961D3"/>
    <w:rsid w:val="009961DD"/>
    <w:rsid w:val="009977FA"/>
    <w:rsid w:val="009A11CD"/>
    <w:rsid w:val="009A2D41"/>
    <w:rsid w:val="009A718D"/>
    <w:rsid w:val="009B10D3"/>
    <w:rsid w:val="009B3837"/>
    <w:rsid w:val="009B6E31"/>
    <w:rsid w:val="009C071D"/>
    <w:rsid w:val="009C19F0"/>
    <w:rsid w:val="009C1F47"/>
    <w:rsid w:val="009C59BD"/>
    <w:rsid w:val="009D065C"/>
    <w:rsid w:val="009D0AE7"/>
    <w:rsid w:val="009D1B7B"/>
    <w:rsid w:val="009D33B8"/>
    <w:rsid w:val="009D400C"/>
    <w:rsid w:val="009D7B4B"/>
    <w:rsid w:val="009E08EF"/>
    <w:rsid w:val="009E1253"/>
    <w:rsid w:val="009E5DEE"/>
    <w:rsid w:val="009E6299"/>
    <w:rsid w:val="009F0102"/>
    <w:rsid w:val="009F312B"/>
    <w:rsid w:val="009F3336"/>
    <w:rsid w:val="009F3456"/>
    <w:rsid w:val="00A00888"/>
    <w:rsid w:val="00A009B0"/>
    <w:rsid w:val="00A01CCF"/>
    <w:rsid w:val="00A035E6"/>
    <w:rsid w:val="00A1567D"/>
    <w:rsid w:val="00A171CE"/>
    <w:rsid w:val="00A17983"/>
    <w:rsid w:val="00A2047B"/>
    <w:rsid w:val="00A209B9"/>
    <w:rsid w:val="00A232E6"/>
    <w:rsid w:val="00A25BF7"/>
    <w:rsid w:val="00A26137"/>
    <w:rsid w:val="00A26E67"/>
    <w:rsid w:val="00A2776B"/>
    <w:rsid w:val="00A31DD6"/>
    <w:rsid w:val="00A345CD"/>
    <w:rsid w:val="00A36340"/>
    <w:rsid w:val="00A41C60"/>
    <w:rsid w:val="00A422BC"/>
    <w:rsid w:val="00A426EE"/>
    <w:rsid w:val="00A428F6"/>
    <w:rsid w:val="00A43ED2"/>
    <w:rsid w:val="00A43FCD"/>
    <w:rsid w:val="00A46261"/>
    <w:rsid w:val="00A469E7"/>
    <w:rsid w:val="00A51C99"/>
    <w:rsid w:val="00A5540B"/>
    <w:rsid w:val="00A5775A"/>
    <w:rsid w:val="00A60274"/>
    <w:rsid w:val="00A60C5D"/>
    <w:rsid w:val="00A61481"/>
    <w:rsid w:val="00A62318"/>
    <w:rsid w:val="00A624AD"/>
    <w:rsid w:val="00A632F1"/>
    <w:rsid w:val="00A64EAF"/>
    <w:rsid w:val="00A65347"/>
    <w:rsid w:val="00A66A96"/>
    <w:rsid w:val="00A74F2E"/>
    <w:rsid w:val="00A767C2"/>
    <w:rsid w:val="00A7789B"/>
    <w:rsid w:val="00A81113"/>
    <w:rsid w:val="00A81261"/>
    <w:rsid w:val="00A866C7"/>
    <w:rsid w:val="00A9039D"/>
    <w:rsid w:val="00A90455"/>
    <w:rsid w:val="00A91D52"/>
    <w:rsid w:val="00A92E70"/>
    <w:rsid w:val="00A932C6"/>
    <w:rsid w:val="00A942EC"/>
    <w:rsid w:val="00AA05C8"/>
    <w:rsid w:val="00AA11A3"/>
    <w:rsid w:val="00AA5553"/>
    <w:rsid w:val="00AA59C1"/>
    <w:rsid w:val="00AB02CA"/>
    <w:rsid w:val="00AB202F"/>
    <w:rsid w:val="00AB2C24"/>
    <w:rsid w:val="00AB2C47"/>
    <w:rsid w:val="00AB3853"/>
    <w:rsid w:val="00AB43E9"/>
    <w:rsid w:val="00AB518A"/>
    <w:rsid w:val="00AB61D1"/>
    <w:rsid w:val="00AB73C2"/>
    <w:rsid w:val="00AC046B"/>
    <w:rsid w:val="00AC1651"/>
    <w:rsid w:val="00AC2917"/>
    <w:rsid w:val="00AC3C1F"/>
    <w:rsid w:val="00AC4B71"/>
    <w:rsid w:val="00AC5964"/>
    <w:rsid w:val="00AC645E"/>
    <w:rsid w:val="00AD1F19"/>
    <w:rsid w:val="00AD3751"/>
    <w:rsid w:val="00AD4997"/>
    <w:rsid w:val="00AD4E00"/>
    <w:rsid w:val="00AD53D2"/>
    <w:rsid w:val="00AD74C6"/>
    <w:rsid w:val="00AE24FF"/>
    <w:rsid w:val="00AE334A"/>
    <w:rsid w:val="00AE3A5B"/>
    <w:rsid w:val="00AE4474"/>
    <w:rsid w:val="00AE48BB"/>
    <w:rsid w:val="00AE655A"/>
    <w:rsid w:val="00AE76EA"/>
    <w:rsid w:val="00AE78FF"/>
    <w:rsid w:val="00AF1523"/>
    <w:rsid w:val="00AF15F9"/>
    <w:rsid w:val="00AF170A"/>
    <w:rsid w:val="00AF2C56"/>
    <w:rsid w:val="00AF727D"/>
    <w:rsid w:val="00AF7875"/>
    <w:rsid w:val="00AF7C7B"/>
    <w:rsid w:val="00B00A4D"/>
    <w:rsid w:val="00B05F9E"/>
    <w:rsid w:val="00B0712D"/>
    <w:rsid w:val="00B075B6"/>
    <w:rsid w:val="00B10F03"/>
    <w:rsid w:val="00B1345C"/>
    <w:rsid w:val="00B138F4"/>
    <w:rsid w:val="00B146FC"/>
    <w:rsid w:val="00B15655"/>
    <w:rsid w:val="00B15A89"/>
    <w:rsid w:val="00B22513"/>
    <w:rsid w:val="00B23639"/>
    <w:rsid w:val="00B2534A"/>
    <w:rsid w:val="00B25492"/>
    <w:rsid w:val="00B258FA"/>
    <w:rsid w:val="00B274E6"/>
    <w:rsid w:val="00B336E1"/>
    <w:rsid w:val="00B36218"/>
    <w:rsid w:val="00B417A0"/>
    <w:rsid w:val="00B42A72"/>
    <w:rsid w:val="00B44C11"/>
    <w:rsid w:val="00B4784C"/>
    <w:rsid w:val="00B51798"/>
    <w:rsid w:val="00B57FA9"/>
    <w:rsid w:val="00B6066C"/>
    <w:rsid w:val="00B61EB3"/>
    <w:rsid w:val="00B63695"/>
    <w:rsid w:val="00B65CF9"/>
    <w:rsid w:val="00B65FA8"/>
    <w:rsid w:val="00B66853"/>
    <w:rsid w:val="00B73299"/>
    <w:rsid w:val="00B808B6"/>
    <w:rsid w:val="00B83017"/>
    <w:rsid w:val="00B845EE"/>
    <w:rsid w:val="00B85066"/>
    <w:rsid w:val="00B85E66"/>
    <w:rsid w:val="00B9254E"/>
    <w:rsid w:val="00B92F3F"/>
    <w:rsid w:val="00BA1B00"/>
    <w:rsid w:val="00BA48BE"/>
    <w:rsid w:val="00BA7A29"/>
    <w:rsid w:val="00BB365A"/>
    <w:rsid w:val="00BB3A52"/>
    <w:rsid w:val="00BB5EF1"/>
    <w:rsid w:val="00BB6E06"/>
    <w:rsid w:val="00BB6E09"/>
    <w:rsid w:val="00BC0816"/>
    <w:rsid w:val="00BC27C5"/>
    <w:rsid w:val="00BC6F58"/>
    <w:rsid w:val="00BC7337"/>
    <w:rsid w:val="00BC7649"/>
    <w:rsid w:val="00BD1DA2"/>
    <w:rsid w:val="00BD2364"/>
    <w:rsid w:val="00BD3882"/>
    <w:rsid w:val="00BD552D"/>
    <w:rsid w:val="00BD72D4"/>
    <w:rsid w:val="00BD7A2B"/>
    <w:rsid w:val="00BE418D"/>
    <w:rsid w:val="00BE4A70"/>
    <w:rsid w:val="00BF0258"/>
    <w:rsid w:val="00BF0342"/>
    <w:rsid w:val="00BF0F53"/>
    <w:rsid w:val="00BF3524"/>
    <w:rsid w:val="00BF388A"/>
    <w:rsid w:val="00BF7DC9"/>
    <w:rsid w:val="00C0002D"/>
    <w:rsid w:val="00C00F96"/>
    <w:rsid w:val="00C01CD6"/>
    <w:rsid w:val="00C047A3"/>
    <w:rsid w:val="00C06744"/>
    <w:rsid w:val="00C07AD2"/>
    <w:rsid w:val="00C12E3A"/>
    <w:rsid w:val="00C13A64"/>
    <w:rsid w:val="00C145A5"/>
    <w:rsid w:val="00C150F1"/>
    <w:rsid w:val="00C1682D"/>
    <w:rsid w:val="00C17CA2"/>
    <w:rsid w:val="00C206CF"/>
    <w:rsid w:val="00C20FA8"/>
    <w:rsid w:val="00C243F9"/>
    <w:rsid w:val="00C25219"/>
    <w:rsid w:val="00C25C96"/>
    <w:rsid w:val="00C26197"/>
    <w:rsid w:val="00C309C2"/>
    <w:rsid w:val="00C33AF8"/>
    <w:rsid w:val="00C34F75"/>
    <w:rsid w:val="00C3670A"/>
    <w:rsid w:val="00C403DA"/>
    <w:rsid w:val="00C417CD"/>
    <w:rsid w:val="00C41C42"/>
    <w:rsid w:val="00C4389F"/>
    <w:rsid w:val="00C4588A"/>
    <w:rsid w:val="00C45D78"/>
    <w:rsid w:val="00C501A5"/>
    <w:rsid w:val="00C53C5A"/>
    <w:rsid w:val="00C564B3"/>
    <w:rsid w:val="00C57C1A"/>
    <w:rsid w:val="00C62A95"/>
    <w:rsid w:val="00C63280"/>
    <w:rsid w:val="00C6363C"/>
    <w:rsid w:val="00C64080"/>
    <w:rsid w:val="00C65C9B"/>
    <w:rsid w:val="00C674C5"/>
    <w:rsid w:val="00C70637"/>
    <w:rsid w:val="00C71F13"/>
    <w:rsid w:val="00C748A6"/>
    <w:rsid w:val="00C74E2A"/>
    <w:rsid w:val="00C76849"/>
    <w:rsid w:val="00C76DE2"/>
    <w:rsid w:val="00C83BD3"/>
    <w:rsid w:val="00C8484C"/>
    <w:rsid w:val="00C868B9"/>
    <w:rsid w:val="00C90A33"/>
    <w:rsid w:val="00C92C91"/>
    <w:rsid w:val="00C9327A"/>
    <w:rsid w:val="00C96377"/>
    <w:rsid w:val="00C96534"/>
    <w:rsid w:val="00CA1458"/>
    <w:rsid w:val="00CA2D42"/>
    <w:rsid w:val="00CA4425"/>
    <w:rsid w:val="00CA46FA"/>
    <w:rsid w:val="00CA5226"/>
    <w:rsid w:val="00CA56DE"/>
    <w:rsid w:val="00CB1B5B"/>
    <w:rsid w:val="00CB661A"/>
    <w:rsid w:val="00CC053B"/>
    <w:rsid w:val="00CC0AFD"/>
    <w:rsid w:val="00CC1005"/>
    <w:rsid w:val="00CC1D4B"/>
    <w:rsid w:val="00CC225A"/>
    <w:rsid w:val="00CC34F4"/>
    <w:rsid w:val="00CC35FD"/>
    <w:rsid w:val="00CC3ADF"/>
    <w:rsid w:val="00CC7A6C"/>
    <w:rsid w:val="00CC7AFD"/>
    <w:rsid w:val="00CD3BF4"/>
    <w:rsid w:val="00CD4C9A"/>
    <w:rsid w:val="00CD7969"/>
    <w:rsid w:val="00CE13C1"/>
    <w:rsid w:val="00CE1CE7"/>
    <w:rsid w:val="00CE27EA"/>
    <w:rsid w:val="00CE308C"/>
    <w:rsid w:val="00CE368E"/>
    <w:rsid w:val="00CE46E8"/>
    <w:rsid w:val="00CE5EB3"/>
    <w:rsid w:val="00CE70F9"/>
    <w:rsid w:val="00CF064D"/>
    <w:rsid w:val="00CF1049"/>
    <w:rsid w:val="00CF12E8"/>
    <w:rsid w:val="00CF3826"/>
    <w:rsid w:val="00CF7B4A"/>
    <w:rsid w:val="00CF7BB4"/>
    <w:rsid w:val="00D000AA"/>
    <w:rsid w:val="00D0060F"/>
    <w:rsid w:val="00D00C6D"/>
    <w:rsid w:val="00D03C57"/>
    <w:rsid w:val="00D0637D"/>
    <w:rsid w:val="00D077F5"/>
    <w:rsid w:val="00D07831"/>
    <w:rsid w:val="00D117E8"/>
    <w:rsid w:val="00D15CE0"/>
    <w:rsid w:val="00D16E11"/>
    <w:rsid w:val="00D215D8"/>
    <w:rsid w:val="00D22F66"/>
    <w:rsid w:val="00D24423"/>
    <w:rsid w:val="00D255FD"/>
    <w:rsid w:val="00D25A93"/>
    <w:rsid w:val="00D26369"/>
    <w:rsid w:val="00D267A5"/>
    <w:rsid w:val="00D269E8"/>
    <w:rsid w:val="00D27F84"/>
    <w:rsid w:val="00D30BA4"/>
    <w:rsid w:val="00D30D12"/>
    <w:rsid w:val="00D31749"/>
    <w:rsid w:val="00D31B82"/>
    <w:rsid w:val="00D35BC9"/>
    <w:rsid w:val="00D40160"/>
    <w:rsid w:val="00D40DD3"/>
    <w:rsid w:val="00D41C67"/>
    <w:rsid w:val="00D455FF"/>
    <w:rsid w:val="00D45EAD"/>
    <w:rsid w:val="00D46266"/>
    <w:rsid w:val="00D4655A"/>
    <w:rsid w:val="00D46E1F"/>
    <w:rsid w:val="00D47BBB"/>
    <w:rsid w:val="00D47C51"/>
    <w:rsid w:val="00D47EA1"/>
    <w:rsid w:val="00D5181E"/>
    <w:rsid w:val="00D5336E"/>
    <w:rsid w:val="00D53B17"/>
    <w:rsid w:val="00D5426C"/>
    <w:rsid w:val="00D5517D"/>
    <w:rsid w:val="00D60293"/>
    <w:rsid w:val="00D6379E"/>
    <w:rsid w:val="00D63E9E"/>
    <w:rsid w:val="00D64971"/>
    <w:rsid w:val="00D64EDF"/>
    <w:rsid w:val="00D653B8"/>
    <w:rsid w:val="00D67BF0"/>
    <w:rsid w:val="00D70C47"/>
    <w:rsid w:val="00D713F3"/>
    <w:rsid w:val="00D71F1F"/>
    <w:rsid w:val="00D73A32"/>
    <w:rsid w:val="00D74BF9"/>
    <w:rsid w:val="00D74CFE"/>
    <w:rsid w:val="00D7690D"/>
    <w:rsid w:val="00D80385"/>
    <w:rsid w:val="00D81D83"/>
    <w:rsid w:val="00D82F2C"/>
    <w:rsid w:val="00D838D7"/>
    <w:rsid w:val="00D869AA"/>
    <w:rsid w:val="00D872CB"/>
    <w:rsid w:val="00D87BCE"/>
    <w:rsid w:val="00D96571"/>
    <w:rsid w:val="00D97AB2"/>
    <w:rsid w:val="00DA19BC"/>
    <w:rsid w:val="00DA27FB"/>
    <w:rsid w:val="00DA2ACA"/>
    <w:rsid w:val="00DA32AC"/>
    <w:rsid w:val="00DA369A"/>
    <w:rsid w:val="00DA6058"/>
    <w:rsid w:val="00DA765F"/>
    <w:rsid w:val="00DB2A8E"/>
    <w:rsid w:val="00DB3E78"/>
    <w:rsid w:val="00DB411F"/>
    <w:rsid w:val="00DB4466"/>
    <w:rsid w:val="00DB5C44"/>
    <w:rsid w:val="00DB68CE"/>
    <w:rsid w:val="00DB7297"/>
    <w:rsid w:val="00DC09E0"/>
    <w:rsid w:val="00DC1480"/>
    <w:rsid w:val="00DC1756"/>
    <w:rsid w:val="00DC2723"/>
    <w:rsid w:val="00DC3550"/>
    <w:rsid w:val="00DC44EB"/>
    <w:rsid w:val="00DC4987"/>
    <w:rsid w:val="00DC72D9"/>
    <w:rsid w:val="00DD0804"/>
    <w:rsid w:val="00DD1900"/>
    <w:rsid w:val="00DD3A11"/>
    <w:rsid w:val="00DD4032"/>
    <w:rsid w:val="00DD58C5"/>
    <w:rsid w:val="00DD6007"/>
    <w:rsid w:val="00DD6058"/>
    <w:rsid w:val="00DD6AFF"/>
    <w:rsid w:val="00DD7432"/>
    <w:rsid w:val="00DE5B4D"/>
    <w:rsid w:val="00DF2A11"/>
    <w:rsid w:val="00DF37C3"/>
    <w:rsid w:val="00DF624B"/>
    <w:rsid w:val="00DF6EC7"/>
    <w:rsid w:val="00E00674"/>
    <w:rsid w:val="00E023DD"/>
    <w:rsid w:val="00E02698"/>
    <w:rsid w:val="00E0375D"/>
    <w:rsid w:val="00E0563E"/>
    <w:rsid w:val="00E07DD4"/>
    <w:rsid w:val="00E103C1"/>
    <w:rsid w:val="00E10A9C"/>
    <w:rsid w:val="00E11BB5"/>
    <w:rsid w:val="00E1210D"/>
    <w:rsid w:val="00E15CA5"/>
    <w:rsid w:val="00E277B6"/>
    <w:rsid w:val="00E27E74"/>
    <w:rsid w:val="00E31472"/>
    <w:rsid w:val="00E318C9"/>
    <w:rsid w:val="00E31BAC"/>
    <w:rsid w:val="00E32EEC"/>
    <w:rsid w:val="00E347E9"/>
    <w:rsid w:val="00E348A9"/>
    <w:rsid w:val="00E363D6"/>
    <w:rsid w:val="00E36570"/>
    <w:rsid w:val="00E37221"/>
    <w:rsid w:val="00E40426"/>
    <w:rsid w:val="00E42A95"/>
    <w:rsid w:val="00E42E54"/>
    <w:rsid w:val="00E45978"/>
    <w:rsid w:val="00E4784D"/>
    <w:rsid w:val="00E4793B"/>
    <w:rsid w:val="00E50A2B"/>
    <w:rsid w:val="00E52838"/>
    <w:rsid w:val="00E52A8E"/>
    <w:rsid w:val="00E54A46"/>
    <w:rsid w:val="00E55824"/>
    <w:rsid w:val="00E55838"/>
    <w:rsid w:val="00E57B94"/>
    <w:rsid w:val="00E67294"/>
    <w:rsid w:val="00E704ED"/>
    <w:rsid w:val="00E736D7"/>
    <w:rsid w:val="00E74374"/>
    <w:rsid w:val="00E74ADF"/>
    <w:rsid w:val="00E74E9C"/>
    <w:rsid w:val="00E77934"/>
    <w:rsid w:val="00E779E6"/>
    <w:rsid w:val="00E82405"/>
    <w:rsid w:val="00E82A1A"/>
    <w:rsid w:val="00E91962"/>
    <w:rsid w:val="00E929AA"/>
    <w:rsid w:val="00E92F17"/>
    <w:rsid w:val="00E930FB"/>
    <w:rsid w:val="00E93CA7"/>
    <w:rsid w:val="00E9548D"/>
    <w:rsid w:val="00E961AB"/>
    <w:rsid w:val="00E97567"/>
    <w:rsid w:val="00E97B18"/>
    <w:rsid w:val="00EA1DC4"/>
    <w:rsid w:val="00EA2DE7"/>
    <w:rsid w:val="00EA3CA3"/>
    <w:rsid w:val="00EA3CEA"/>
    <w:rsid w:val="00EA3F34"/>
    <w:rsid w:val="00EA3F92"/>
    <w:rsid w:val="00EA44E5"/>
    <w:rsid w:val="00EA6D4A"/>
    <w:rsid w:val="00EA7914"/>
    <w:rsid w:val="00EB0E04"/>
    <w:rsid w:val="00EB1AEF"/>
    <w:rsid w:val="00EB308F"/>
    <w:rsid w:val="00EB3F1E"/>
    <w:rsid w:val="00EC205D"/>
    <w:rsid w:val="00EC2DF3"/>
    <w:rsid w:val="00EC4F7F"/>
    <w:rsid w:val="00EC5542"/>
    <w:rsid w:val="00EC5ED5"/>
    <w:rsid w:val="00EC6BE5"/>
    <w:rsid w:val="00ED0B1F"/>
    <w:rsid w:val="00ED2D0B"/>
    <w:rsid w:val="00EE02CF"/>
    <w:rsid w:val="00EE2CC4"/>
    <w:rsid w:val="00EE2D38"/>
    <w:rsid w:val="00EE3D29"/>
    <w:rsid w:val="00EE3D8F"/>
    <w:rsid w:val="00EE6A12"/>
    <w:rsid w:val="00EE7C66"/>
    <w:rsid w:val="00EF2CD2"/>
    <w:rsid w:val="00EF3344"/>
    <w:rsid w:val="00EF489C"/>
    <w:rsid w:val="00EF588B"/>
    <w:rsid w:val="00F06C7F"/>
    <w:rsid w:val="00F07272"/>
    <w:rsid w:val="00F113BD"/>
    <w:rsid w:val="00F1268E"/>
    <w:rsid w:val="00F15FD9"/>
    <w:rsid w:val="00F175C0"/>
    <w:rsid w:val="00F21BD6"/>
    <w:rsid w:val="00F252B5"/>
    <w:rsid w:val="00F2620E"/>
    <w:rsid w:val="00F3024E"/>
    <w:rsid w:val="00F302D6"/>
    <w:rsid w:val="00F31AF7"/>
    <w:rsid w:val="00F33A61"/>
    <w:rsid w:val="00F37DC8"/>
    <w:rsid w:val="00F42E57"/>
    <w:rsid w:val="00F44703"/>
    <w:rsid w:val="00F44BA6"/>
    <w:rsid w:val="00F4529D"/>
    <w:rsid w:val="00F458C0"/>
    <w:rsid w:val="00F46D2A"/>
    <w:rsid w:val="00F46E58"/>
    <w:rsid w:val="00F47015"/>
    <w:rsid w:val="00F50B85"/>
    <w:rsid w:val="00F55871"/>
    <w:rsid w:val="00F56034"/>
    <w:rsid w:val="00F56E95"/>
    <w:rsid w:val="00F57A0C"/>
    <w:rsid w:val="00F60D04"/>
    <w:rsid w:val="00F651D3"/>
    <w:rsid w:val="00F66DED"/>
    <w:rsid w:val="00F66E33"/>
    <w:rsid w:val="00F677E9"/>
    <w:rsid w:val="00F70307"/>
    <w:rsid w:val="00F721B7"/>
    <w:rsid w:val="00F72C00"/>
    <w:rsid w:val="00F7486B"/>
    <w:rsid w:val="00F748C0"/>
    <w:rsid w:val="00F7543A"/>
    <w:rsid w:val="00F8111A"/>
    <w:rsid w:val="00F81249"/>
    <w:rsid w:val="00F81FEB"/>
    <w:rsid w:val="00F84E26"/>
    <w:rsid w:val="00F84E55"/>
    <w:rsid w:val="00F87F8C"/>
    <w:rsid w:val="00F93C3E"/>
    <w:rsid w:val="00F95917"/>
    <w:rsid w:val="00F9781D"/>
    <w:rsid w:val="00FA327B"/>
    <w:rsid w:val="00FA41CD"/>
    <w:rsid w:val="00FA60B5"/>
    <w:rsid w:val="00FA7C84"/>
    <w:rsid w:val="00FB31B6"/>
    <w:rsid w:val="00FB443D"/>
    <w:rsid w:val="00FB481C"/>
    <w:rsid w:val="00FC4B45"/>
    <w:rsid w:val="00FC5BF5"/>
    <w:rsid w:val="00FD0B52"/>
    <w:rsid w:val="00FD0DCA"/>
    <w:rsid w:val="00FD20B1"/>
    <w:rsid w:val="00FD3007"/>
    <w:rsid w:val="00FD351C"/>
    <w:rsid w:val="00FD359E"/>
    <w:rsid w:val="00FD4DD1"/>
    <w:rsid w:val="00FD6888"/>
    <w:rsid w:val="00FD6A3D"/>
    <w:rsid w:val="00FD7711"/>
    <w:rsid w:val="00FE07E2"/>
    <w:rsid w:val="00FE0DC7"/>
    <w:rsid w:val="00FE1BCE"/>
    <w:rsid w:val="00FE6873"/>
    <w:rsid w:val="00FE7664"/>
    <w:rsid w:val="00FE7F7F"/>
    <w:rsid w:val="00FF4444"/>
    <w:rsid w:val="00FF4D58"/>
    <w:rsid w:val="00FF607A"/>
    <w:rsid w:val="02800F4D"/>
    <w:rsid w:val="04EE972E"/>
    <w:rsid w:val="14472DF3"/>
    <w:rsid w:val="14A07F39"/>
    <w:rsid w:val="199A22B5"/>
    <w:rsid w:val="1B01DF0D"/>
    <w:rsid w:val="1F7F26C7"/>
    <w:rsid w:val="1FDDEB8A"/>
    <w:rsid w:val="20181D7D"/>
    <w:rsid w:val="21E974FA"/>
    <w:rsid w:val="220D71C7"/>
    <w:rsid w:val="224AE7A5"/>
    <w:rsid w:val="27323D18"/>
    <w:rsid w:val="279A77C4"/>
    <w:rsid w:val="2C0793AB"/>
    <w:rsid w:val="307F9FAC"/>
    <w:rsid w:val="31A1ED16"/>
    <w:rsid w:val="3B461EFF"/>
    <w:rsid w:val="3D6A41F1"/>
    <w:rsid w:val="425A5DFA"/>
    <w:rsid w:val="448838A3"/>
    <w:rsid w:val="465353D5"/>
    <w:rsid w:val="4752AF5A"/>
    <w:rsid w:val="48A8C62D"/>
    <w:rsid w:val="4DC25F0A"/>
    <w:rsid w:val="53BF2023"/>
    <w:rsid w:val="59DB6F25"/>
    <w:rsid w:val="5C0D859F"/>
    <w:rsid w:val="5F6C9B20"/>
    <w:rsid w:val="6373395C"/>
    <w:rsid w:val="6451E16F"/>
    <w:rsid w:val="6C50A476"/>
    <w:rsid w:val="6D43C2D9"/>
    <w:rsid w:val="7AE27216"/>
    <w:rsid w:val="7EDC9B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2F4"/>
    <w:pPr>
      <w:tabs>
        <w:tab w:val="left" w:pos="567"/>
      </w:tabs>
      <w:spacing w:before="120" w:line="254" w:lineRule="auto"/>
    </w:pPr>
    <w:rPr>
      <w:rFonts w:ascii="Open Sans Light" w:hAnsi="Open Sans Light"/>
      <w:sz w:val="20"/>
      <w:szCs w:val="22"/>
    </w:rPr>
  </w:style>
  <w:style w:type="paragraph" w:styleId="Heading1">
    <w:name w:val="heading 1"/>
    <w:basedOn w:val="CGCSubHead"/>
    <w:next w:val="Normal"/>
    <w:link w:val="Heading1Char"/>
    <w:uiPriority w:val="9"/>
    <w:qFormat/>
    <w:rsid w:val="006D7625"/>
    <w:pPr>
      <w:outlineLvl w:val="0"/>
    </w:pPr>
    <w:rPr>
      <w:sz w:val="40"/>
      <w:szCs w:val="40"/>
    </w:rPr>
  </w:style>
  <w:style w:type="paragraph" w:styleId="Heading2">
    <w:name w:val="heading 2"/>
    <w:basedOn w:val="CGCSubHead"/>
    <w:next w:val="Normal"/>
    <w:link w:val="Heading2Char"/>
    <w:uiPriority w:val="9"/>
    <w:unhideWhenUsed/>
    <w:qFormat/>
    <w:rsid w:val="000672F4"/>
    <w:pPr>
      <w:outlineLvl w:val="1"/>
    </w:pPr>
  </w:style>
  <w:style w:type="paragraph" w:styleId="Heading3">
    <w:name w:val="heading 3"/>
    <w:basedOn w:val="CGCSubHead"/>
    <w:next w:val="Normal"/>
    <w:link w:val="Heading3Char"/>
    <w:uiPriority w:val="9"/>
    <w:unhideWhenUsed/>
    <w:qFormat/>
    <w:rsid w:val="00A17983"/>
    <w:pPr>
      <w:spacing w:before="240"/>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aliases w:val="CGC Caption"/>
    <w:basedOn w:val="Normal"/>
    <w:next w:val="Normal"/>
    <w:link w:val="CaptionChar"/>
    <w:qFormat/>
    <w:rsid w:val="003937A6"/>
    <w:pPr>
      <w:keepNext/>
      <w:keepLines/>
      <w:tabs>
        <w:tab w:val="clear" w:pos="567"/>
        <w:tab w:val="left" w:pos="1134"/>
        <w:tab w:val="left" w:pos="1418"/>
      </w:tabs>
      <w:spacing w:before="240" w:after="120" w:line="240" w:lineRule="auto"/>
      <w:ind w:left="1134" w:hanging="1134"/>
    </w:pPr>
    <w:rPr>
      <w:rFonts w:ascii="Work Sans" w:hAnsi="Work Sans"/>
      <w:b/>
      <w:bCs/>
      <w:szCs w:val="20"/>
    </w:rPr>
  </w:style>
  <w:style w:type="character" w:customStyle="1" w:styleId="CaptionChar">
    <w:name w:val="Caption Char"/>
    <w:aliases w:val="CGC Caption Char"/>
    <w:basedOn w:val="DefaultParagraphFont"/>
    <w:link w:val="Caption"/>
    <w:rsid w:val="003937A6"/>
    <w:rPr>
      <w:rFonts w:ascii="Work Sans" w:hAnsi="Work Sans"/>
      <w:b/>
      <w:bCs/>
      <w:sz w:val="20"/>
      <w:szCs w:val="20"/>
    </w:rPr>
  </w:style>
  <w:style w:type="paragraph" w:customStyle="1" w:styleId="CGCTablenote">
    <w:name w:val="CGC Table note"/>
    <w:basedOn w:val="Normal"/>
    <w:next w:val="Normal"/>
    <w:qFormat/>
    <w:rsid w:val="00925354"/>
    <w:pPr>
      <w:tabs>
        <w:tab w:val="left" w:pos="680"/>
      </w:tabs>
      <w:spacing w:before="40" w:line="240" w:lineRule="auto"/>
      <w:ind w:left="340" w:hanging="227"/>
    </w:pPr>
    <w:rPr>
      <w:rFonts w:ascii="Work Sans" w:hAnsi="Work Sans"/>
      <w:sz w:val="14"/>
    </w:rPr>
  </w:style>
  <w:style w:type="paragraph" w:styleId="BodyText">
    <w:name w:val="Body Text"/>
    <w:link w:val="BodyTextChar"/>
    <w:qFormat/>
    <w:rsid w:val="005C0550"/>
    <w:pPr>
      <w:spacing w:before="240" w:line="300" w:lineRule="atLeast"/>
      <w:jc w:val="both"/>
    </w:pPr>
    <w:rPr>
      <w:rFonts w:ascii="Open Sans Light" w:eastAsia="Times New Roman" w:hAnsi="Open Sans Light" w:cs="Times New Roman"/>
      <w:szCs w:val="20"/>
      <w:lang w:eastAsia="en-AU"/>
    </w:rPr>
  </w:style>
  <w:style w:type="character" w:customStyle="1" w:styleId="BodyTextChar">
    <w:name w:val="Body Text Char"/>
    <w:basedOn w:val="DefaultParagraphFont"/>
    <w:link w:val="BodyText"/>
    <w:rsid w:val="005C0550"/>
    <w:rPr>
      <w:rFonts w:ascii="Open Sans Light" w:eastAsia="Times New Roman" w:hAnsi="Open Sans Light" w:cs="Times New Roman"/>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C9327A"/>
    <w:pPr>
      <w:jc w:val="both"/>
    </w:pPr>
    <w:rPr>
      <w:rFonts w:cs="Cambria Math"/>
      <w:color w:val="000000"/>
      <w:sz w:val="24"/>
      <w:szCs w:val="21"/>
      <w:shd w:val="clear" w:color="auto" w:fill="FFFFFF"/>
    </w:rPr>
  </w:style>
  <w:style w:type="paragraph" w:customStyle="1" w:styleId="CGCSubHead">
    <w:name w:val="CGC Sub Head"/>
    <w:autoRedefine/>
    <w:qFormat/>
    <w:rsid w:val="006D7625"/>
    <w:pPr>
      <w:spacing w:before="360" w:after="200" w:line="276" w:lineRule="auto"/>
    </w:pPr>
    <w:rPr>
      <w:rFonts w:ascii="Work Sans" w:eastAsiaTheme="majorEastAsia" w:hAnsi="Work Sans" w:cs="Open Sans"/>
      <w:b/>
      <w:bCs/>
      <w:color w:val="CC5E12" w:themeColor="accent3"/>
      <w:sz w:val="36"/>
      <w:szCs w:val="36"/>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semiHidden/>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6D7625"/>
    <w:rPr>
      <w:rFonts w:ascii="Work Sans" w:eastAsiaTheme="majorEastAsia" w:hAnsi="Work Sans" w:cs="Open Sans"/>
      <w:b/>
      <w:bCs/>
      <w:color w:val="CC5E12" w:themeColor="accent3"/>
      <w:sz w:val="40"/>
      <w:szCs w:val="40"/>
    </w:rPr>
  </w:style>
  <w:style w:type="character" w:customStyle="1" w:styleId="Heading2Char">
    <w:name w:val="Heading 2 Char"/>
    <w:basedOn w:val="DefaultParagraphFont"/>
    <w:link w:val="Heading2"/>
    <w:uiPriority w:val="9"/>
    <w:rsid w:val="006D7625"/>
    <w:rPr>
      <w:rFonts w:ascii="Work Sans" w:eastAsiaTheme="majorEastAsia" w:hAnsi="Work Sans" w:cs="Open Sans"/>
      <w:b/>
      <w:bCs/>
      <w:color w:val="CC5E12" w:themeColor="accent3"/>
      <w:sz w:val="36"/>
      <w:szCs w:val="36"/>
    </w:rPr>
  </w:style>
  <w:style w:type="character" w:customStyle="1" w:styleId="Heading3Char">
    <w:name w:val="Heading 3 Char"/>
    <w:basedOn w:val="DefaultParagraphFont"/>
    <w:link w:val="Heading3"/>
    <w:uiPriority w:val="9"/>
    <w:rsid w:val="00A17983"/>
    <w:rPr>
      <w:rFonts w:ascii="Work Sans" w:eastAsiaTheme="majorEastAsia" w:hAnsi="Work Sans" w:cs="Open Sans"/>
      <w:b/>
      <w:bCs/>
      <w:color w:val="CC5E12" w:themeColor="accent3"/>
      <w:sz w:val="28"/>
      <w:szCs w:val="28"/>
    </w:rPr>
  </w:style>
  <w:style w:type="paragraph" w:customStyle="1" w:styleId="CGCBullet1">
    <w:name w:val="CGC Bullet 1"/>
    <w:basedOn w:val="Normal"/>
    <w:link w:val="CGCBullet1Char"/>
    <w:qFormat/>
    <w:rsid w:val="00D03C57"/>
    <w:pPr>
      <w:numPr>
        <w:numId w:val="3"/>
      </w:numPr>
      <w:spacing w:after="120"/>
    </w:pPr>
    <w:rPr>
      <w:rFonts w:ascii="Work Sans" w:hAnsi="Work Sans"/>
      <w:color w:val="171717" w:themeColor="background2" w:themeShade="1A"/>
      <w:szCs w:val="20"/>
    </w:rPr>
  </w:style>
  <w:style w:type="character" w:customStyle="1" w:styleId="CGCBullet1Char">
    <w:name w:val="CGC Bullet 1 Char"/>
    <w:basedOn w:val="DefaultParagraphFont"/>
    <w:link w:val="CGCBullet1"/>
    <w:rsid w:val="00D03C57"/>
    <w:rPr>
      <w:rFonts w:ascii="Work Sans" w:hAnsi="Work Sans"/>
      <w:color w:val="171717" w:themeColor="background2" w:themeShade="1A"/>
      <w:sz w:val="20"/>
      <w:szCs w:val="20"/>
    </w:rPr>
  </w:style>
  <w:style w:type="character" w:styleId="CommentReference">
    <w:name w:val="annotation reference"/>
    <w:basedOn w:val="DefaultParagraphFont"/>
    <w:uiPriority w:val="99"/>
    <w:semiHidden/>
    <w:unhideWhenUsed/>
    <w:rsid w:val="00D03C57"/>
    <w:rPr>
      <w:sz w:val="16"/>
      <w:szCs w:val="16"/>
    </w:rPr>
  </w:style>
  <w:style w:type="paragraph" w:styleId="CommentText">
    <w:name w:val="annotation text"/>
    <w:basedOn w:val="Normal"/>
    <w:link w:val="CommentTextChar"/>
    <w:uiPriority w:val="99"/>
    <w:unhideWhenUsed/>
    <w:rsid w:val="00D03C57"/>
    <w:pPr>
      <w:spacing w:line="240" w:lineRule="auto"/>
    </w:pPr>
    <w:rPr>
      <w:szCs w:val="20"/>
    </w:rPr>
  </w:style>
  <w:style w:type="character" w:customStyle="1" w:styleId="CommentTextChar">
    <w:name w:val="Comment Text Char"/>
    <w:basedOn w:val="DefaultParagraphFont"/>
    <w:link w:val="CommentText"/>
    <w:uiPriority w:val="99"/>
    <w:rsid w:val="00D03C57"/>
    <w:rPr>
      <w:rFonts w:ascii="Open Sans Light" w:hAnsi="Open Sans Light"/>
      <w:sz w:val="20"/>
      <w:szCs w:val="20"/>
    </w:rPr>
  </w:style>
  <w:style w:type="paragraph" w:customStyle="1" w:styleId="FWPNormal">
    <w:name w:val="FWP Normal"/>
    <w:basedOn w:val="Normal"/>
    <w:link w:val="FWPNormalChar"/>
    <w:qFormat/>
    <w:rsid w:val="00D03C57"/>
    <w:rPr>
      <w:rFonts w:ascii="Work Sans" w:hAnsi="Work Sans"/>
      <w:color w:val="171717" w:themeColor="background2" w:themeShade="1A"/>
      <w:szCs w:val="20"/>
    </w:rPr>
  </w:style>
  <w:style w:type="character" w:customStyle="1" w:styleId="FWPNormalChar">
    <w:name w:val="FWP Normal Char"/>
    <w:basedOn w:val="DefaultParagraphFont"/>
    <w:link w:val="FWPNormal"/>
    <w:rsid w:val="00D03C57"/>
    <w:rPr>
      <w:rFonts w:ascii="Work Sans" w:hAnsi="Work Sans"/>
      <w:color w:val="171717" w:themeColor="background2" w:themeShade="1A"/>
      <w:sz w:val="20"/>
      <w:szCs w:val="20"/>
    </w:rPr>
  </w:style>
  <w:style w:type="paragraph" w:styleId="FootnoteText">
    <w:name w:val="footnote text"/>
    <w:basedOn w:val="Normal"/>
    <w:link w:val="FootnoteTextChar"/>
    <w:uiPriority w:val="99"/>
    <w:unhideWhenUsed/>
    <w:rsid w:val="00E42A95"/>
    <w:pPr>
      <w:spacing w:before="0" w:line="240" w:lineRule="auto"/>
    </w:pPr>
    <w:rPr>
      <w:rFonts w:ascii="Work Sans" w:hAnsi="Work Sans"/>
      <w:sz w:val="14"/>
      <w:szCs w:val="20"/>
    </w:rPr>
  </w:style>
  <w:style w:type="character" w:customStyle="1" w:styleId="FootnoteTextChar">
    <w:name w:val="Footnote Text Char"/>
    <w:basedOn w:val="DefaultParagraphFont"/>
    <w:link w:val="FootnoteText"/>
    <w:uiPriority w:val="99"/>
    <w:rsid w:val="00E42A95"/>
    <w:rPr>
      <w:rFonts w:ascii="Work Sans" w:hAnsi="Work Sans"/>
      <w:sz w:val="14"/>
      <w:szCs w:val="20"/>
    </w:rPr>
  </w:style>
  <w:style w:type="character" w:styleId="FootnoteReference">
    <w:name w:val="footnote reference"/>
    <w:aliases w:val="CGC Footnote Reference"/>
    <w:basedOn w:val="DefaultParagraphFont"/>
    <w:unhideWhenUsed/>
    <w:qFormat/>
    <w:rsid w:val="00E42A95"/>
    <w:rPr>
      <w:rFonts w:ascii="Work Sans" w:hAnsi="Work Sans"/>
      <w:sz w:val="14"/>
      <w:vertAlign w:val="baseline"/>
    </w:rPr>
  </w:style>
  <w:style w:type="paragraph" w:customStyle="1" w:styleId="Bullet">
    <w:name w:val="Bullet"/>
    <w:basedOn w:val="Normal"/>
    <w:link w:val="BulletChar"/>
    <w:rsid w:val="00E42A95"/>
    <w:pPr>
      <w:numPr>
        <w:numId w:val="4"/>
      </w:numPr>
    </w:pPr>
    <w:rPr>
      <w:rFonts w:ascii="Work Sans" w:hAnsi="Work Sans"/>
      <w:szCs w:val="20"/>
    </w:rPr>
  </w:style>
  <w:style w:type="character" w:customStyle="1" w:styleId="BulletChar">
    <w:name w:val="Bullet Char"/>
    <w:basedOn w:val="DefaultParagraphFont"/>
    <w:link w:val="Bullet"/>
    <w:rsid w:val="00E42A95"/>
    <w:rPr>
      <w:rFonts w:ascii="Work Sans" w:hAnsi="Work Sans"/>
      <w:sz w:val="20"/>
      <w:szCs w:val="20"/>
    </w:rPr>
  </w:style>
  <w:style w:type="paragraph" w:customStyle="1" w:styleId="Dash">
    <w:name w:val="Dash"/>
    <w:basedOn w:val="Normal"/>
    <w:rsid w:val="00E42A95"/>
    <w:pPr>
      <w:numPr>
        <w:ilvl w:val="1"/>
        <w:numId w:val="4"/>
      </w:numPr>
    </w:pPr>
    <w:rPr>
      <w:rFonts w:ascii="Work Sans" w:hAnsi="Work Sans"/>
      <w:szCs w:val="20"/>
    </w:rPr>
  </w:style>
  <w:style w:type="paragraph" w:customStyle="1" w:styleId="DoubleDot">
    <w:name w:val="Double Dot"/>
    <w:basedOn w:val="Normal"/>
    <w:rsid w:val="00E42A95"/>
    <w:pPr>
      <w:numPr>
        <w:ilvl w:val="2"/>
        <w:numId w:val="4"/>
      </w:numPr>
    </w:pPr>
    <w:rPr>
      <w:rFonts w:ascii="Work Sans" w:hAnsi="Work Sans"/>
      <w:szCs w:val="20"/>
    </w:rPr>
  </w:style>
  <w:style w:type="paragraph" w:customStyle="1" w:styleId="CGCBullet2">
    <w:name w:val="CGC Bullet 2"/>
    <w:basedOn w:val="CGCBullet1"/>
    <w:qFormat/>
    <w:rsid w:val="000672F4"/>
    <w:pPr>
      <w:numPr>
        <w:numId w:val="5"/>
      </w:numPr>
      <w:ind w:left="1305" w:hanging="284"/>
    </w:pPr>
  </w:style>
  <w:style w:type="paragraph" w:styleId="CommentSubject">
    <w:name w:val="annotation subject"/>
    <w:basedOn w:val="CommentText"/>
    <w:next w:val="CommentText"/>
    <w:link w:val="CommentSubjectChar"/>
    <w:uiPriority w:val="99"/>
    <w:semiHidden/>
    <w:unhideWhenUsed/>
    <w:rsid w:val="00BB3A52"/>
    <w:rPr>
      <w:b/>
      <w:bCs/>
    </w:rPr>
  </w:style>
  <w:style w:type="character" w:customStyle="1" w:styleId="CommentSubjectChar">
    <w:name w:val="Comment Subject Char"/>
    <w:basedOn w:val="CommentTextChar"/>
    <w:link w:val="CommentSubject"/>
    <w:uiPriority w:val="99"/>
    <w:semiHidden/>
    <w:rsid w:val="00BB3A52"/>
    <w:rPr>
      <w:rFonts w:ascii="Open Sans Light" w:hAnsi="Open Sans Light"/>
      <w:b/>
      <w:bCs/>
      <w:sz w:val="20"/>
      <w:szCs w:val="20"/>
    </w:rPr>
  </w:style>
  <w:style w:type="paragraph" w:styleId="NormalWeb">
    <w:name w:val="Normal (Web)"/>
    <w:basedOn w:val="Normal"/>
    <w:uiPriority w:val="99"/>
    <w:unhideWhenUsed/>
    <w:rsid w:val="005F0047"/>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C309C2"/>
    <w:rPr>
      <w:rFonts w:ascii="Open Sans Light" w:hAnsi="Open Sans Light"/>
      <w:sz w:val="20"/>
      <w:szCs w:val="22"/>
    </w:rPr>
  </w:style>
  <w:style w:type="character" w:styleId="Mention">
    <w:name w:val="Mention"/>
    <w:basedOn w:val="DefaultParagraphFont"/>
    <w:uiPriority w:val="99"/>
    <w:unhideWhenUsed/>
    <w:rsid w:val="0022680E"/>
    <w:rPr>
      <w:color w:val="2B579A"/>
      <w:shd w:val="clear" w:color="auto" w:fill="E1DFDD"/>
    </w:rPr>
  </w:style>
  <w:style w:type="character" w:styleId="FollowedHyperlink">
    <w:name w:val="FollowedHyperlink"/>
    <w:basedOn w:val="DefaultParagraphFont"/>
    <w:uiPriority w:val="99"/>
    <w:semiHidden/>
    <w:unhideWhenUsed/>
    <w:rsid w:val="00830F22"/>
    <w:rPr>
      <w:color w:val="93EA9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gc.gov.au/reports-for-government/2025-methodology-review/review-outcomes/review-outcomes-chapters" TargetMode="External"/><Relationship Id="rId2" Type="http://schemas.openxmlformats.org/officeDocument/2006/relationships/numbering" Target="numbering.xml"/><Relationship Id="rId16" Type="http://schemas.openxmlformats.org/officeDocument/2006/relationships/hyperlink" Target="(http:/www.cg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4.0/legalcod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gc.gov.au/sites/default/files/2021-11/r2020_review_-_revenue_elasticity_report_0.pdf" TargetMode="External"/><Relationship Id="rId1" Type="http://schemas.openxmlformats.org/officeDocument/2006/relationships/hyperlink" Target="https://www.cgc.gov.au/sites/default/files/2021-11/r2020_review_-_revenue_elasticity_report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17151</CharactersWithSpaces>
  <SharedDoc>false</SharedDoc>
  <HLinks>
    <vt:vector size="24" baseType="variant">
      <vt:variant>
        <vt:i4>2424934</vt:i4>
      </vt:variant>
      <vt:variant>
        <vt:i4>3</vt:i4>
      </vt:variant>
      <vt:variant>
        <vt:i4>0</vt:i4>
      </vt:variant>
      <vt:variant>
        <vt:i4>5</vt:i4>
      </vt:variant>
      <vt:variant>
        <vt:lpwstr>https://www.cgc.gov.au/reports-for-government/2025-methodology-review/review-outcomes/review-outcomes-chapters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1900615</vt:i4>
      </vt:variant>
      <vt:variant>
        <vt:i4>3</vt:i4>
      </vt:variant>
      <vt:variant>
        <vt:i4>0</vt:i4>
      </vt:variant>
      <vt:variant>
        <vt:i4>5</vt:i4>
      </vt:variant>
      <vt:variant>
        <vt:lpwstr>https://www.cgc.gov.au/sites/default/files/2021-11/r2020_review_-_revenue_elasticity_report_0.pdf</vt:lpwstr>
      </vt:variant>
      <vt:variant>
        <vt:lpwstr/>
      </vt:variant>
      <vt:variant>
        <vt:i4>1900615</vt:i4>
      </vt:variant>
      <vt:variant>
        <vt:i4>0</vt:i4>
      </vt:variant>
      <vt:variant>
        <vt:i4>0</vt:i4>
      </vt:variant>
      <vt:variant>
        <vt:i4>5</vt:i4>
      </vt:variant>
      <vt:variant>
        <vt:lpwstr>https://www.cgc.gov.au/sites/default/files/2021-11/r2020_review_-_revenue_elasticity_report_0.pdf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2026-05-10T23:30:00Z</dcterms:created>
  <dcterms:modified xsi:type="dcterms:W3CDTF">2026-05-10T23:30:00Z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2026-05-10T23:30:39Z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76f840ab-0a2b-4298-8a48-44358273d5d7</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